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27409">
      <w:pPr>
        <w:spacing w:line="320" w:lineRule="exact"/>
        <w:jc w:val="center"/>
        <w:rPr>
          <w:rFonts w:hint="eastAsia" w:asciiTheme="majorEastAsia" w:hAnsiTheme="majorEastAsia" w:eastAsiaTheme="majorEastAsia"/>
          <w:b/>
          <w:sz w:val="32"/>
          <w:szCs w:val="32"/>
        </w:rPr>
      </w:pPr>
      <w:r>
        <w:rPr>
          <w:rFonts w:hint="eastAsia" w:asciiTheme="majorEastAsia" w:hAnsiTheme="majorEastAsia" w:eastAsiaTheme="majorEastAsia"/>
          <w:b/>
          <w:sz w:val="32"/>
          <w:szCs w:val="32"/>
        </w:rPr>
        <w:t>附件：拟购六安市中医院智慧共享中药房项目初步参数论证</w:t>
      </w:r>
    </w:p>
    <w:p w14:paraId="1A5BCEB7">
      <w:pPr>
        <w:spacing w:line="320" w:lineRule="exact"/>
        <w:jc w:val="center"/>
        <w:rPr>
          <w:rFonts w:ascii="仿宋" w:hAnsi="仿宋" w:eastAsia="仿宋"/>
          <w:sz w:val="32"/>
          <w:szCs w:val="32"/>
        </w:rPr>
      </w:pPr>
      <w:r>
        <w:rPr>
          <w:rFonts w:hint="eastAsia" w:asciiTheme="majorEastAsia" w:hAnsiTheme="majorEastAsia" w:eastAsiaTheme="majorEastAsia"/>
          <w:b/>
          <w:sz w:val="32"/>
          <w:szCs w:val="32"/>
        </w:rPr>
        <w:t>征集意见表</w:t>
      </w:r>
    </w:p>
    <w:p w14:paraId="7ADE7657">
      <w:pPr>
        <w:spacing w:line="320" w:lineRule="exact"/>
        <w:rPr>
          <w:rFonts w:ascii="仿宋" w:hAnsi="仿宋" w:eastAsia="仿宋"/>
          <w:sz w:val="24"/>
          <w:szCs w:val="24"/>
        </w:rPr>
      </w:pPr>
    </w:p>
    <w:p w14:paraId="0E9FF024">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14:paraId="10AB28BB">
      <w:pPr>
        <w:keepNext w:val="0"/>
        <w:keepLines w:val="0"/>
        <w:pageBreakBefore w:val="0"/>
        <w:widowControl w:val="0"/>
        <w:kinsoku/>
        <w:wordWrap/>
        <w:overflowPunct/>
        <w:topLinePunct w:val="0"/>
        <w:autoSpaceDE/>
        <w:autoSpaceDN/>
        <w:bidi w:val="0"/>
        <w:adjustRightInd/>
        <w:snapToGrid/>
        <w:spacing w:line="300" w:lineRule="exact"/>
        <w:textAlignment w:val="auto"/>
        <w:rPr>
          <w:rFonts w:ascii="仿宋" w:hAnsi="仿宋" w:eastAsia="仿宋"/>
          <w:szCs w:val="21"/>
          <w:u w:val="single"/>
        </w:rPr>
      </w:pPr>
      <w:r>
        <w:rPr>
          <w:rFonts w:hint="eastAsia" w:ascii="仿宋" w:hAnsi="仿宋" w:eastAsia="仿宋"/>
          <w:szCs w:val="21"/>
        </w:rPr>
        <w:t>产品品牌、规格型号、产地、医疗器械注册证号及最低报价：</w:t>
      </w:r>
      <w:r>
        <w:rPr>
          <w:rFonts w:hint="eastAsia" w:ascii="仿宋" w:hAnsi="仿宋" w:eastAsia="仿宋"/>
          <w:szCs w:val="21"/>
          <w:u w:val="single"/>
        </w:rPr>
        <w:t xml:space="preserve">                                 </w:t>
      </w:r>
    </w:p>
    <w:p w14:paraId="6821FC4C">
      <w:pPr>
        <w:keepNext w:val="0"/>
        <w:keepLines w:val="0"/>
        <w:pageBreakBefore w:val="0"/>
        <w:widowControl w:val="0"/>
        <w:kinsoku/>
        <w:wordWrap/>
        <w:overflowPunct/>
        <w:topLinePunct w:val="0"/>
        <w:autoSpaceDE/>
        <w:autoSpaceDN/>
        <w:bidi w:val="0"/>
        <w:adjustRightInd/>
        <w:snapToGrid/>
        <w:spacing w:line="300" w:lineRule="exact"/>
        <w:ind w:firstLine="422" w:firstLineChars="200"/>
        <w:textAlignment w:val="auto"/>
        <w:rPr>
          <w:rFonts w:hint="eastAsia" w:ascii="仿宋" w:hAnsi="仿宋" w:eastAsia="仿宋"/>
          <w:b/>
          <w:szCs w:val="21"/>
        </w:rPr>
      </w:pPr>
      <w:r>
        <w:rPr>
          <w:rFonts w:hint="eastAsia" w:ascii="仿宋" w:hAnsi="仿宋" w:eastAsia="仿宋"/>
          <w:b/>
          <w:szCs w:val="21"/>
        </w:rPr>
        <w:t>备注：</w:t>
      </w:r>
    </w:p>
    <w:p w14:paraId="20482C66">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ascii="仿宋" w:hAnsi="仿宋" w:eastAsia="仿宋"/>
          <w:szCs w:val="21"/>
        </w:rPr>
      </w:pP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w:t>
      </w:r>
      <w:r>
        <w:rPr>
          <w:rFonts w:hint="eastAsia" w:ascii="仿宋" w:hAnsi="仿宋" w:eastAsia="仿宋"/>
          <w:szCs w:val="21"/>
          <w:lang w:val="en-US" w:eastAsia="zh-CN"/>
        </w:rPr>
        <w:t>工程部</w:t>
      </w:r>
      <w:r>
        <w:rPr>
          <w:rFonts w:hint="eastAsia" w:ascii="仿宋" w:hAnsi="仿宋" w:eastAsia="仿宋"/>
          <w:szCs w:val="21"/>
        </w:rPr>
        <w:t>□、</w:t>
      </w:r>
      <w:r>
        <w:rPr>
          <w:rFonts w:hint="eastAsia" w:ascii="仿宋" w:hAnsi="仿宋" w:eastAsia="仿宋"/>
          <w:szCs w:val="21"/>
          <w:lang w:val="en-US" w:eastAsia="zh-CN"/>
        </w:rPr>
        <w:t>信息管理部</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szCs w:val="21"/>
          <w:lang w:val="en-US" w:eastAsia="zh-CN"/>
        </w:rPr>
        <w:t>后勤保障部</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】：LASZYYXXK@163.com</w:t>
      </w:r>
      <w:r>
        <w:rPr>
          <w:rFonts w:hint="eastAsia" w:ascii="仿宋" w:hAnsi="仿宋" w:eastAsia="仿宋"/>
          <w:szCs w:val="21"/>
          <w:u w:val="single"/>
        </w:rPr>
        <w:t xml:space="preserve"> </w:t>
      </w:r>
      <w:r>
        <w:rPr>
          <w:rFonts w:hint="eastAsia" w:ascii="仿宋" w:hAnsi="仿宋" w:eastAsia="仿宋"/>
          <w:szCs w:val="21"/>
        </w:rPr>
        <w:t>）；</w:t>
      </w:r>
    </w:p>
    <w:p w14:paraId="2B8BFDA7">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u w:val="single"/>
        </w:rPr>
      </w:pPr>
      <w:r>
        <w:rPr>
          <w:rFonts w:hint="eastAsia" w:ascii="仿宋" w:hAnsi="仿宋" w:eastAsia="仿宋"/>
          <w:szCs w:val="21"/>
          <w:lang w:val="en-US" w:eastAsia="zh-CN"/>
        </w:rPr>
        <w:t>2、</w:t>
      </w:r>
      <w:r>
        <w:rPr>
          <w:rFonts w:hint="eastAsia" w:ascii="仿宋" w:hAnsi="仿宋" w:eastAsia="仿宋"/>
          <w:szCs w:val="21"/>
        </w:rPr>
        <w:t>响应情况（是/否）若为否则</w:t>
      </w:r>
      <w:r>
        <w:rPr>
          <w:rFonts w:hint="eastAsia" w:ascii="仿宋" w:hAnsi="仿宋" w:eastAsia="仿宋"/>
          <w:szCs w:val="21"/>
          <w:lang w:eastAsia="zh-CN"/>
        </w:rPr>
        <w:t>须标注</w:t>
      </w:r>
      <w:r>
        <w:rPr>
          <w:rFonts w:hint="eastAsia" w:ascii="仿宋" w:hAnsi="仿宋" w:eastAsia="仿宋"/>
          <w:szCs w:val="21"/>
        </w:rPr>
        <w:t>具体建议修改</w:t>
      </w:r>
      <w:r>
        <w:rPr>
          <w:rFonts w:hint="eastAsia" w:ascii="仿宋" w:hAnsi="仿宋" w:eastAsia="仿宋"/>
          <w:szCs w:val="21"/>
          <w:lang w:eastAsia="zh-CN"/>
        </w:rPr>
        <w:t>指标（</w:t>
      </w:r>
      <w:r>
        <w:rPr>
          <w:rFonts w:hint="eastAsia" w:ascii="仿宋" w:hAnsi="仿宋" w:eastAsia="仿宋"/>
          <w:b/>
          <w:bCs/>
          <w:szCs w:val="21"/>
          <w:lang w:eastAsia="zh-CN"/>
        </w:rPr>
        <w:t>未标注则默认为响应初步参数</w:t>
      </w:r>
      <w:r>
        <w:rPr>
          <w:rFonts w:hint="eastAsia" w:ascii="仿宋" w:hAnsi="仿宋" w:eastAsia="仿宋"/>
          <w:szCs w:val="21"/>
          <w:lang w:eastAsia="zh-CN"/>
        </w:rPr>
        <w:t>）</w:t>
      </w:r>
      <w:r>
        <w:rPr>
          <w:rFonts w:hint="eastAsia" w:ascii="仿宋" w:hAnsi="仿宋" w:eastAsia="仿宋"/>
          <w:szCs w:val="21"/>
        </w:rPr>
        <w:t>，</w:t>
      </w:r>
      <w:r>
        <w:rPr>
          <w:rFonts w:hint="eastAsia" w:ascii="仿宋" w:hAnsi="仿宋" w:eastAsia="仿宋"/>
          <w:b/>
          <w:bCs/>
          <w:szCs w:val="21"/>
        </w:rPr>
        <w:t>建议修改</w:t>
      </w:r>
      <w:r>
        <w:rPr>
          <w:rFonts w:hint="eastAsia" w:ascii="仿宋" w:hAnsi="仿宋" w:eastAsia="仿宋"/>
          <w:b/>
          <w:bCs/>
          <w:szCs w:val="21"/>
          <w:lang w:eastAsia="zh-CN"/>
        </w:rPr>
        <w:t>指标</w:t>
      </w:r>
      <w:r>
        <w:rPr>
          <w:rFonts w:hint="eastAsia" w:ascii="仿宋" w:hAnsi="仿宋" w:eastAsia="仿宋"/>
          <w:b/>
          <w:bCs/>
          <w:szCs w:val="21"/>
        </w:rPr>
        <w:t>须</w:t>
      </w:r>
      <w:r>
        <w:rPr>
          <w:rFonts w:hint="eastAsia" w:ascii="仿宋" w:hAnsi="仿宋" w:eastAsia="仿宋"/>
          <w:b/>
          <w:bCs/>
          <w:szCs w:val="21"/>
          <w:lang w:eastAsia="zh-CN"/>
        </w:rPr>
        <w:t>提供相应证明材料</w:t>
      </w:r>
      <w:r>
        <w:rPr>
          <w:rFonts w:hint="eastAsia" w:ascii="仿宋" w:hAnsi="仿宋" w:eastAsia="仿宋"/>
          <w:szCs w:val="21"/>
        </w:rPr>
        <w:t>（</w:t>
      </w:r>
      <w:r>
        <w:rPr>
          <w:rFonts w:hint="eastAsia" w:ascii="仿宋" w:hAnsi="仿宋" w:eastAsia="仿宋" w:cs="仿宋"/>
          <w:b w:val="0"/>
          <w:bCs/>
          <w:szCs w:val="21"/>
          <w:lang w:eastAsia="zh-CN"/>
        </w:rPr>
        <w:t>★项</w:t>
      </w:r>
      <w:r>
        <w:rPr>
          <w:rFonts w:hint="eastAsia" w:ascii="仿宋" w:hAnsi="仿宋" w:eastAsia="仿宋"/>
          <w:szCs w:val="21"/>
          <w:lang w:eastAsia="zh-CN"/>
        </w:rPr>
        <w:t>证明材料须为政府主管部门【或</w:t>
      </w:r>
      <w:r>
        <w:rPr>
          <w:rStyle w:val="17"/>
          <w:rFonts w:hint="eastAsia" w:ascii="仿宋" w:hAnsi="仿宋" w:eastAsia="仿宋" w:cs="仿宋"/>
          <w:b w:val="0"/>
          <w:bCs/>
          <w:color w:val="auto"/>
          <w:sz w:val="21"/>
          <w:szCs w:val="21"/>
          <w:lang w:eastAsia="zh-CN"/>
        </w:rPr>
        <w:t>具备</w:t>
      </w:r>
      <w:r>
        <w:rPr>
          <w:rStyle w:val="17"/>
          <w:rFonts w:hint="eastAsia" w:ascii="仿宋" w:hAnsi="仿宋" w:eastAsia="仿宋" w:cs="仿宋"/>
          <w:b w:val="0"/>
          <w:bCs/>
          <w:color w:val="auto"/>
          <w:sz w:val="21"/>
          <w:szCs w:val="21"/>
          <w:lang w:val="en-US" w:eastAsia="zh-CN"/>
        </w:rPr>
        <w:t>CMA&lt;或CNAS&gt;资质检测机构】出具的</w:t>
      </w:r>
      <w:r>
        <w:rPr>
          <w:rFonts w:hint="eastAsia" w:ascii="仿宋" w:hAnsi="仿宋" w:eastAsia="仿宋"/>
          <w:szCs w:val="21"/>
          <w:lang w:eastAsia="zh-CN"/>
        </w:rPr>
        <w:t>检测报告，非</w:t>
      </w:r>
      <w:r>
        <w:rPr>
          <w:rFonts w:hint="eastAsia" w:ascii="仿宋" w:hAnsi="仿宋" w:eastAsia="仿宋" w:cs="仿宋"/>
          <w:b w:val="0"/>
          <w:bCs/>
          <w:szCs w:val="21"/>
          <w:lang w:eastAsia="zh-CN"/>
        </w:rPr>
        <w:t>★项</w:t>
      </w:r>
      <w:r>
        <w:rPr>
          <w:rFonts w:hint="eastAsia" w:ascii="仿宋" w:hAnsi="仿宋" w:eastAsia="仿宋"/>
          <w:szCs w:val="21"/>
          <w:lang w:eastAsia="zh-CN"/>
        </w:rPr>
        <w:t>证明材料可为除彩页外的其他材料，</w:t>
      </w:r>
      <w:r>
        <w:rPr>
          <w:rFonts w:hint="eastAsia" w:ascii="仿宋" w:hAnsi="仿宋" w:eastAsia="仿宋"/>
          <w:b/>
          <w:bCs/>
          <w:szCs w:val="21"/>
          <w:lang w:eastAsia="zh-CN"/>
        </w:rPr>
        <w:t>无证明材料则可不予采纳</w:t>
      </w:r>
      <w:r>
        <w:rPr>
          <w:rFonts w:hint="eastAsia" w:ascii="仿宋" w:hAnsi="仿宋" w:eastAsia="仿宋"/>
          <w:szCs w:val="21"/>
          <w:lang w:eastAsia="zh-CN"/>
        </w:rPr>
        <w:t>；建议修改意见</w:t>
      </w:r>
      <w:r>
        <w:rPr>
          <w:rFonts w:hint="eastAsia" w:ascii="仿宋" w:hAnsi="仿宋" w:eastAsia="仿宋"/>
          <w:szCs w:val="21"/>
        </w:rPr>
        <w:t>原则上须满足业界主流品牌同档次水平产品</w:t>
      </w:r>
      <w:r>
        <w:rPr>
          <w:rFonts w:hint="eastAsia" w:ascii="仿宋" w:hAnsi="仿宋" w:eastAsia="仿宋"/>
          <w:szCs w:val="21"/>
          <w:lang w:eastAsia="zh-CN"/>
        </w:rPr>
        <w:t>且不得为独家</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1FD8E2CB">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u w:val="none"/>
          <w:lang w:eastAsia="zh-CN"/>
        </w:rPr>
      </w:pPr>
      <w:r>
        <w:rPr>
          <w:rFonts w:hint="eastAsia" w:ascii="仿宋" w:hAnsi="仿宋" w:eastAsia="仿宋"/>
          <w:b w:val="0"/>
          <w:bCs/>
          <w:szCs w:val="21"/>
          <w:u w:val="none"/>
          <w:lang w:val="en-US" w:eastAsia="zh-CN"/>
        </w:rPr>
        <w:t>3、院方根据各</w:t>
      </w:r>
      <w:r>
        <w:rPr>
          <w:rFonts w:hint="eastAsia" w:ascii="仿宋" w:hAnsi="仿宋" w:eastAsia="仿宋"/>
          <w:b w:val="0"/>
          <w:bCs/>
          <w:szCs w:val="21"/>
          <w:u w:val="none"/>
          <w:lang w:eastAsia="zh-CN"/>
        </w:rPr>
        <w:t>潜在供应商提供的配套耗材和须定期更换零部件的报价清单</w:t>
      </w:r>
      <w:r>
        <w:rPr>
          <w:rFonts w:hint="eastAsia" w:ascii="仿宋" w:hAnsi="仿宋" w:eastAsia="仿宋"/>
          <w:b w:val="0"/>
          <w:bCs/>
          <w:szCs w:val="21"/>
          <w:u w:val="none"/>
          <w:lang w:val="en-US" w:eastAsia="zh-CN"/>
        </w:rPr>
        <w:t>(须同步提供近2年内至少3家二级及以上医院发票原件扫描件和入库清单【遮挡无效】)进行</w:t>
      </w:r>
      <w:r>
        <w:rPr>
          <w:rFonts w:hint="eastAsia" w:ascii="仿宋" w:hAnsi="仿宋" w:eastAsia="仿宋"/>
          <w:b w:val="0"/>
          <w:bCs/>
          <w:szCs w:val="21"/>
          <w:u w:val="none"/>
          <w:lang w:eastAsia="zh-CN"/>
        </w:rPr>
        <w:t>设置相关报价限价，若潜在供应商均未提供报价清单（含发票原件扫描件和入库清单）则视同本项目无耗材和须定期更换零部件。</w:t>
      </w:r>
    </w:p>
    <w:p w14:paraId="2266D20E">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2" w:firstLineChars="200"/>
        <w:textAlignment w:val="auto"/>
        <w:rPr>
          <w:rFonts w:ascii="仿宋" w:hAnsi="仿宋" w:eastAsia="仿宋"/>
          <w:szCs w:val="21"/>
        </w:rPr>
      </w:pPr>
      <w:r>
        <w:rPr>
          <w:rFonts w:hint="eastAsia" w:ascii="仿宋" w:hAnsi="仿宋" w:eastAsia="仿宋"/>
          <w:b/>
          <w:bCs w:val="0"/>
          <w:szCs w:val="21"/>
          <w:u w:val="none"/>
          <w:lang w:val="en-US" w:eastAsia="zh-CN"/>
        </w:rPr>
        <w:t>4、</w:t>
      </w:r>
      <w:r>
        <w:rPr>
          <w:rFonts w:hint="eastAsia" w:ascii="仿宋" w:hAnsi="仿宋" w:eastAsia="仿宋"/>
          <w:b/>
          <w:bCs w:val="0"/>
          <w:szCs w:val="21"/>
          <w:u w:val="none"/>
          <w:lang w:eastAsia="zh-CN"/>
        </w:rPr>
        <w:t>杜绝两现象：</w:t>
      </w:r>
      <w:r>
        <w:rPr>
          <w:rFonts w:hint="eastAsia" w:ascii="仿宋" w:hAnsi="仿宋" w:eastAsia="仿宋"/>
          <w:b w:val="0"/>
          <w:bCs/>
          <w:szCs w:val="21"/>
          <w:u w:val="none"/>
          <w:lang w:eastAsia="zh-CN"/>
        </w:rPr>
        <w:t>一是整机保修</w:t>
      </w:r>
      <w:r>
        <w:rPr>
          <w:rFonts w:hint="eastAsia" w:ascii="仿宋" w:hAnsi="仿宋" w:eastAsia="仿宋"/>
          <w:b w:val="0"/>
          <w:bCs/>
          <w:szCs w:val="21"/>
          <w:u w:val="none"/>
          <w:lang w:val="en-US" w:eastAsia="zh-CN"/>
        </w:rPr>
        <w:t>3年，保修范围不包含须定期更换零部件，须定期更换零部件报价清单如下...；二是将须定期更换零部件变为耗材，恶意降低货物价格，提高耗材价（或直接提高耗材报价）。</w:t>
      </w:r>
    </w:p>
    <w:p w14:paraId="50C58F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Cs w:val="21"/>
          <w:lang w:eastAsia="zh-CN"/>
        </w:rPr>
      </w:pPr>
      <w:r>
        <w:rPr>
          <w:rFonts w:hint="eastAsia" w:ascii="仿宋" w:hAnsi="仿宋" w:eastAsia="仿宋"/>
          <w:b/>
          <w:bCs w:val="0"/>
          <w:szCs w:val="21"/>
        </w:rPr>
        <w:t>附件：配套耗材、试剂【单人次费用】及须定期更换零部件报价清单（样表【若无则标注“无”且不可删除】、可单列</w:t>
      </w:r>
      <w:r>
        <w:rPr>
          <w:rFonts w:hint="eastAsia" w:ascii="仿宋" w:hAnsi="仿宋" w:eastAsia="仿宋"/>
          <w:b/>
          <w:bCs w:val="0"/>
          <w:szCs w:val="21"/>
          <w:lang w:eastAsia="zh-CN"/>
        </w:rPr>
        <w:t>）。</w:t>
      </w:r>
    </w:p>
    <w:p w14:paraId="2FD3648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szCs w:val="21"/>
        </w:rPr>
      </w:pPr>
      <w:r>
        <w:rPr>
          <w:rFonts w:hint="eastAsia" w:ascii="仿宋" w:hAnsi="仿宋" w:eastAsia="仿宋" w:cs="仿宋"/>
          <w:b w:val="0"/>
          <w:bCs/>
          <w:szCs w:val="21"/>
          <w:lang w:val="en-US" w:eastAsia="zh-CN"/>
        </w:rPr>
        <w:t>5、</w:t>
      </w:r>
      <w:r>
        <w:rPr>
          <w:rFonts w:hint="eastAsia" w:ascii="仿宋" w:hAnsi="仿宋" w:eastAsia="仿宋" w:cs="仿宋"/>
          <w:b w:val="0"/>
          <w:bCs/>
          <w:color w:val="FF0000"/>
          <w:szCs w:val="21"/>
          <w:lang w:val="en-US" w:eastAsia="zh-CN"/>
        </w:rPr>
        <w:t>拟设置为</w:t>
      </w:r>
      <w:r>
        <w:rPr>
          <w:rFonts w:hint="eastAsia" w:ascii="仿宋" w:hAnsi="仿宋" w:eastAsia="仿宋" w:cs="仿宋"/>
          <w:b w:val="0"/>
          <w:bCs/>
          <w:color w:val="auto"/>
          <w:szCs w:val="21"/>
          <w:lang w:eastAsia="zh-CN"/>
        </w:rPr>
        <w:t>★项参数</w:t>
      </w:r>
      <w:r>
        <w:rPr>
          <w:rFonts w:hint="eastAsia" w:ascii="仿宋" w:hAnsi="仿宋" w:eastAsia="仿宋" w:cs="仿宋"/>
          <w:b w:val="0"/>
          <w:bCs/>
          <w:color w:val="FF0000"/>
          <w:szCs w:val="21"/>
          <w:lang w:val="en-US" w:eastAsia="zh-CN"/>
        </w:rPr>
        <w:t>(</w:t>
      </w:r>
      <w:r>
        <w:rPr>
          <w:rFonts w:hint="eastAsia" w:ascii="仿宋" w:hAnsi="仿宋" w:eastAsia="仿宋" w:cs="仿宋"/>
          <w:b w:val="0"/>
          <w:bCs/>
          <w:color w:val="FF0000"/>
          <w:szCs w:val="21"/>
          <w:lang w:eastAsia="zh-CN"/>
        </w:rPr>
        <w:t>★项标准：</w:t>
      </w:r>
      <w:r>
        <w:rPr>
          <w:rFonts w:hint="eastAsia" w:ascii="仿宋" w:hAnsi="仿宋" w:eastAsia="仿宋" w:cs="仿宋"/>
          <w:b w:val="0"/>
          <w:bCs/>
          <w:color w:val="FF0000"/>
          <w:szCs w:val="21"/>
          <w:lang w:val="en-US" w:eastAsia="zh-CN"/>
        </w:rPr>
        <w:t>拟购设备核心参数指标</w:t>
      </w:r>
      <w:r>
        <w:rPr>
          <w:rFonts w:hint="eastAsia" w:ascii="仿宋" w:hAnsi="仿宋" w:eastAsia="仿宋" w:cs="仿宋"/>
          <w:b/>
          <w:bCs w:val="0"/>
          <w:color w:val="auto"/>
          <w:szCs w:val="21"/>
          <w:lang w:val="en-US" w:eastAsia="zh-CN"/>
        </w:rPr>
        <w:t>【如有不妥，请提出并提供权威部门证明文件，否则不予采纳】)</w:t>
      </w:r>
      <w:r>
        <w:rPr>
          <w:rFonts w:hint="eastAsia" w:ascii="仿宋" w:hAnsi="仿宋" w:eastAsia="仿宋" w:cs="仿宋"/>
          <w:b w:val="0"/>
          <w:bCs/>
          <w:szCs w:val="21"/>
          <w:lang w:eastAsia="zh-CN"/>
        </w:rPr>
        <w:t>要求投标人在投标文件中所提供的证明材料须为</w:t>
      </w:r>
      <w:r>
        <w:rPr>
          <w:rFonts w:hint="eastAsia" w:ascii="仿宋" w:hAnsi="仿宋" w:eastAsia="仿宋" w:cs="仿宋"/>
          <w:b w:val="0"/>
          <w:bCs/>
          <w:color w:val="auto"/>
          <w:sz w:val="21"/>
          <w:szCs w:val="21"/>
        </w:rPr>
        <w:t>政府主管部门</w:t>
      </w:r>
      <w:r>
        <w:rPr>
          <w:rFonts w:hint="eastAsia" w:ascii="仿宋" w:hAnsi="仿宋" w:eastAsia="仿宋" w:cs="仿宋"/>
          <w:b/>
          <w:bCs w:val="0"/>
          <w:color w:val="auto"/>
          <w:sz w:val="21"/>
          <w:szCs w:val="21"/>
          <w:lang w:eastAsia="zh-CN"/>
        </w:rPr>
        <w:t>（</w:t>
      </w:r>
      <w:r>
        <w:rPr>
          <w:rStyle w:val="17"/>
          <w:rFonts w:hint="eastAsia" w:ascii="仿宋" w:hAnsi="仿宋" w:eastAsia="仿宋" w:cs="仿宋"/>
          <w:b/>
          <w:bCs w:val="0"/>
          <w:color w:val="auto"/>
          <w:sz w:val="21"/>
          <w:szCs w:val="21"/>
          <w:lang w:eastAsia="zh-CN"/>
        </w:rPr>
        <w:t>或具备</w:t>
      </w:r>
      <w:r>
        <w:rPr>
          <w:rStyle w:val="17"/>
          <w:rFonts w:hint="eastAsia" w:ascii="仿宋" w:hAnsi="仿宋" w:eastAsia="仿宋" w:cs="仿宋"/>
          <w:b/>
          <w:bCs w:val="0"/>
          <w:color w:val="auto"/>
          <w:sz w:val="21"/>
          <w:szCs w:val="21"/>
          <w:lang w:val="en-US" w:eastAsia="zh-CN"/>
        </w:rPr>
        <w:t>CMA【或CNAS】资质检测机构）</w:t>
      </w:r>
      <w:r>
        <w:rPr>
          <w:rStyle w:val="17"/>
          <w:rFonts w:hint="eastAsia" w:ascii="仿宋" w:hAnsi="仿宋" w:eastAsia="仿宋" w:cs="仿宋"/>
          <w:b w:val="0"/>
          <w:bCs/>
          <w:color w:val="auto"/>
          <w:sz w:val="21"/>
          <w:szCs w:val="21"/>
          <w:lang w:val="en-US" w:eastAsia="zh-CN"/>
        </w:rPr>
        <w:t>出具的</w:t>
      </w:r>
      <w:r>
        <w:rPr>
          <w:rStyle w:val="17"/>
          <w:rFonts w:hint="eastAsia" w:ascii="仿宋" w:hAnsi="仿宋" w:eastAsia="仿宋" w:cs="仿宋"/>
          <w:b w:val="0"/>
          <w:bCs/>
          <w:color w:val="auto"/>
          <w:sz w:val="21"/>
          <w:szCs w:val="21"/>
        </w:rPr>
        <w:t>质检报告原件扫描件</w:t>
      </w:r>
      <w:r>
        <w:rPr>
          <w:rStyle w:val="17"/>
          <w:rFonts w:hint="eastAsia" w:ascii="仿宋" w:hAnsi="仿宋" w:eastAsia="仿宋" w:cs="仿宋"/>
          <w:b w:val="0"/>
          <w:bCs/>
          <w:color w:val="auto"/>
          <w:sz w:val="21"/>
          <w:szCs w:val="21"/>
          <w:lang w:eastAsia="zh-CN"/>
        </w:rPr>
        <w:t>（政府主管部门</w:t>
      </w:r>
      <w:r>
        <w:rPr>
          <w:rFonts w:hint="eastAsia" w:ascii="仿宋" w:hAnsi="仿宋" w:eastAsia="仿宋" w:cs="仿宋"/>
          <w:b w:val="0"/>
          <w:bCs/>
          <w:color w:val="auto"/>
          <w:sz w:val="21"/>
          <w:szCs w:val="21"/>
        </w:rPr>
        <w:t>如</w:t>
      </w:r>
      <w:r>
        <w:rPr>
          <w:rFonts w:hint="eastAsia" w:ascii="仿宋" w:hAnsi="仿宋" w:eastAsia="仿宋" w:cs="仿宋"/>
          <w:b w:val="0"/>
          <w:bCs/>
          <w:color w:val="auto"/>
          <w:sz w:val="21"/>
          <w:szCs w:val="21"/>
          <w:lang w:eastAsia="zh-CN"/>
        </w:rPr>
        <w:t>国家</w:t>
      </w:r>
      <w:r>
        <w:rPr>
          <w:rStyle w:val="17"/>
          <w:rFonts w:hint="eastAsia" w:ascii="仿宋" w:hAnsi="仿宋" w:eastAsia="仿宋" w:cs="仿宋"/>
          <w:b w:val="0"/>
          <w:bCs/>
          <w:color w:val="auto"/>
          <w:sz w:val="21"/>
          <w:szCs w:val="21"/>
        </w:rPr>
        <w:t>食药监局</w:t>
      </w:r>
      <w:r>
        <w:rPr>
          <w:rStyle w:val="17"/>
          <w:rFonts w:hint="eastAsia" w:ascii="仿宋" w:hAnsi="仿宋" w:eastAsia="仿宋" w:cs="仿宋"/>
          <w:b w:val="0"/>
          <w:bCs/>
          <w:color w:val="auto"/>
          <w:sz w:val="21"/>
          <w:szCs w:val="21"/>
          <w:lang w:eastAsia="zh-CN"/>
        </w:rPr>
        <w:t>或</w:t>
      </w:r>
      <w:r>
        <w:rPr>
          <w:rStyle w:val="17"/>
          <w:rFonts w:hint="eastAsia" w:ascii="仿宋" w:hAnsi="仿宋" w:eastAsia="仿宋" w:cs="仿宋"/>
          <w:b w:val="0"/>
          <w:bCs/>
          <w:color w:val="auto"/>
          <w:sz w:val="21"/>
          <w:szCs w:val="21"/>
        </w:rPr>
        <w:t>其下属单位</w:t>
      </w:r>
      <w:r>
        <w:rPr>
          <w:rStyle w:val="17"/>
          <w:rFonts w:hint="eastAsia" w:ascii="仿宋" w:hAnsi="仿宋" w:eastAsia="仿宋" w:cs="仿宋"/>
          <w:b w:val="0"/>
          <w:bCs/>
          <w:color w:val="auto"/>
          <w:sz w:val="21"/>
          <w:szCs w:val="21"/>
          <w:lang w:eastAsia="zh-CN"/>
        </w:rPr>
        <w:t>或省级医疗器械检验机构或省级食品药品检验机构等）。</w:t>
      </w:r>
    </w:p>
    <w:p w14:paraId="7F480D95">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eastAsia" w:ascii="仿宋" w:hAnsi="仿宋" w:eastAsia="仿宋"/>
          <w:b w:val="0"/>
          <w:bCs/>
          <w:szCs w:val="21"/>
          <w:lang w:val="en-US" w:eastAsia="zh-CN"/>
        </w:rPr>
      </w:pPr>
      <w:r>
        <w:rPr>
          <w:rFonts w:hint="eastAsia" w:ascii="仿宋" w:hAnsi="仿宋" w:eastAsia="仿宋"/>
          <w:b w:val="0"/>
          <w:bCs/>
          <w:szCs w:val="21"/>
          <w:lang w:eastAsia="zh-CN"/>
        </w:rPr>
        <w:t>附件：表</w:t>
      </w:r>
      <w:r>
        <w:rPr>
          <w:rFonts w:hint="eastAsia" w:ascii="仿宋" w:hAnsi="仿宋" w:eastAsia="仿宋"/>
          <w:b w:val="0"/>
          <w:bCs/>
          <w:szCs w:val="21"/>
          <w:lang w:val="en-US" w:eastAsia="zh-CN"/>
        </w:rPr>
        <w:t>1-4</w:t>
      </w:r>
    </w:p>
    <w:p w14:paraId="2B28A5FB">
      <w:pPr>
        <w:spacing w:line="320" w:lineRule="exact"/>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t>建设目标：</w:t>
      </w:r>
    </w:p>
    <w:p w14:paraId="1A7543A5">
      <w:pPr>
        <w:spacing w:line="320" w:lineRule="exact"/>
        <w:ind w:firstLine="420" w:firstLineChars="200"/>
        <w:rPr>
          <w:rFonts w:hint="eastAsia" w:ascii="仿宋" w:hAnsi="仿宋" w:eastAsia="仿宋"/>
          <w:b w:val="0"/>
          <w:bCs/>
          <w:szCs w:val="21"/>
          <w:lang w:val="en-US" w:eastAsia="zh-CN"/>
        </w:rPr>
      </w:pPr>
      <w:r>
        <w:rPr>
          <w:rFonts w:hint="eastAsia" w:ascii="仿宋" w:hAnsi="仿宋" w:eastAsia="仿宋"/>
          <w:b w:val="0"/>
          <w:bCs/>
          <w:szCs w:val="21"/>
          <w:lang w:val="en-US" w:eastAsia="zh-CN"/>
        </w:rPr>
        <w:t>为提升医院中药房智能化管理水平，优化患者服务体验，推动区域中药服务资源共享，智慧共享中药房项目拟实现中药饮片处方审核、调剂、发药、煎药、配送各环节的信息化闭环管理，强化用药安全保障，提高药学服务效率。同时，项目拟打通医共(联)体成员单位(或相关基层医疗机构),促进优质中医药服务下沉，并通过数据采集与分析，为区域中药药事管理决策提供支撑。</w:t>
      </w:r>
    </w:p>
    <w:p w14:paraId="2C0E6202">
      <w:pPr>
        <w:spacing w:line="320" w:lineRule="exact"/>
        <w:rPr>
          <w:rFonts w:hint="eastAsia" w:ascii="仿宋" w:hAnsi="仿宋" w:eastAsia="仿宋"/>
          <w:b w:val="0"/>
          <w:bCs/>
          <w:szCs w:val="21"/>
        </w:rPr>
      </w:pPr>
      <w:r>
        <w:rPr>
          <w:rFonts w:hint="eastAsia" w:ascii="仿宋" w:hAnsi="仿宋" w:eastAsia="仿宋"/>
          <w:b w:val="0"/>
          <w:bCs/>
          <w:szCs w:val="21"/>
          <w:lang w:val="en-US" w:eastAsia="zh-CN"/>
        </w:rPr>
        <w:t>附件</w:t>
      </w:r>
      <w:r>
        <w:rPr>
          <w:rFonts w:hint="eastAsia" w:ascii="仿宋" w:hAnsi="仿宋" w:eastAsia="仿宋"/>
          <w:b w:val="0"/>
          <w:bCs/>
          <w:szCs w:val="21"/>
        </w:rPr>
        <w:t>：拟购项目初步参数结构</w:t>
      </w:r>
    </w:p>
    <w:p w14:paraId="08CCF85C">
      <w:pPr>
        <w:spacing w:line="320" w:lineRule="exact"/>
        <w:rPr>
          <w:rFonts w:hint="eastAsia" w:ascii="仿宋" w:hAnsi="仿宋" w:eastAsia="仿宋"/>
          <w:b/>
          <w:szCs w:val="21"/>
        </w:rPr>
      </w:pPr>
    </w:p>
    <w:p w14:paraId="75664C6B">
      <w:pPr>
        <w:spacing w:line="320" w:lineRule="exact"/>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b/>
          <w:szCs w:val="21"/>
          <w:lang w:val="en-US" w:eastAsia="zh-CN"/>
        </w:rPr>
        <w:t>系统详细功能要求</w:t>
      </w:r>
      <w:r>
        <w:rPr>
          <w:rFonts w:hint="eastAsia" w:asciiTheme="minorEastAsia" w:hAnsiTheme="minorEastAsia" w:cstheme="minorEastAsia"/>
          <w:b/>
          <w:szCs w:val="21"/>
          <w:lang w:val="en-US" w:eastAsia="zh-CN"/>
        </w:rPr>
        <w:t>：</w:t>
      </w:r>
    </w:p>
    <w:tbl>
      <w:tblPr>
        <w:tblStyle w:val="9"/>
        <w:tblW w:w="99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1161"/>
        <w:gridCol w:w="4400"/>
        <w:gridCol w:w="752"/>
        <w:gridCol w:w="978"/>
        <w:gridCol w:w="978"/>
        <w:gridCol w:w="995"/>
      </w:tblGrid>
      <w:tr w14:paraId="636B7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6987" w:type="dxa"/>
            <w:gridSpan w:val="4"/>
            <w:tcBorders>
              <w:top w:val="single" w:color="auto" w:sz="4" w:space="0"/>
              <w:left w:val="single" w:color="auto" w:sz="4" w:space="0"/>
              <w:bottom w:val="single" w:color="auto" w:sz="4" w:space="0"/>
              <w:right w:val="single" w:color="auto" w:sz="4" w:space="0"/>
            </w:tcBorders>
            <w:noWrap w:val="0"/>
            <w:vAlign w:val="center"/>
          </w:tcPr>
          <w:p w14:paraId="713ED59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本项目初步参数拟设置情况</w:t>
            </w:r>
          </w:p>
        </w:tc>
        <w:tc>
          <w:tcPr>
            <w:tcW w:w="978" w:type="dxa"/>
            <w:vMerge w:val="restart"/>
            <w:tcBorders>
              <w:top w:val="single" w:color="auto" w:sz="4" w:space="0"/>
              <w:left w:val="single" w:color="auto" w:sz="4" w:space="0"/>
              <w:right w:val="single" w:color="auto" w:sz="4" w:space="0"/>
            </w:tcBorders>
            <w:noWrap w:val="0"/>
            <w:vAlign w:val="center"/>
          </w:tcPr>
          <w:p w14:paraId="02E0D10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heme="minorBidi"/>
                <w:bCs/>
                <w:kern w:val="2"/>
                <w:sz w:val="21"/>
                <w:szCs w:val="21"/>
                <w:lang w:val="en-US" w:eastAsia="zh-CN" w:bidi="ar-SA"/>
              </w:rPr>
              <w:t>响应情况</w:t>
            </w:r>
          </w:p>
        </w:tc>
        <w:tc>
          <w:tcPr>
            <w:tcW w:w="978" w:type="dxa"/>
            <w:vMerge w:val="restart"/>
            <w:tcBorders>
              <w:top w:val="single" w:color="auto" w:sz="4" w:space="0"/>
              <w:left w:val="single" w:color="auto" w:sz="4" w:space="0"/>
              <w:right w:val="single" w:color="auto" w:sz="4" w:space="0"/>
            </w:tcBorders>
            <w:noWrap w:val="0"/>
            <w:vAlign w:val="center"/>
          </w:tcPr>
          <w:p w14:paraId="141D4BC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建议修改指标</w:t>
            </w:r>
          </w:p>
        </w:tc>
        <w:tc>
          <w:tcPr>
            <w:tcW w:w="995" w:type="dxa"/>
            <w:vMerge w:val="restart"/>
            <w:tcBorders>
              <w:top w:val="single" w:color="auto" w:sz="4" w:space="0"/>
              <w:left w:val="single" w:color="auto" w:sz="4" w:space="0"/>
              <w:right w:val="single" w:color="auto" w:sz="4" w:space="0"/>
            </w:tcBorders>
            <w:noWrap w:val="0"/>
            <w:vAlign w:val="top"/>
          </w:tcPr>
          <w:p w14:paraId="535539D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备注（真实指标、是否独家、是否提供有效检测报告）</w:t>
            </w:r>
          </w:p>
        </w:tc>
      </w:tr>
      <w:tr w14:paraId="0955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524CA40">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模块名称</w:t>
            </w:r>
          </w:p>
        </w:tc>
        <w:tc>
          <w:tcPr>
            <w:tcW w:w="1161" w:type="dxa"/>
            <w:tcBorders>
              <w:top w:val="single" w:color="auto" w:sz="4" w:space="0"/>
              <w:left w:val="single" w:color="auto" w:sz="4" w:space="0"/>
              <w:bottom w:val="single" w:color="auto" w:sz="4" w:space="0"/>
              <w:right w:val="single" w:color="auto" w:sz="4" w:space="0"/>
            </w:tcBorders>
            <w:noWrap w:val="0"/>
            <w:vAlign w:val="center"/>
          </w:tcPr>
          <w:p w14:paraId="22569745">
            <w:pPr>
              <w:pStyle w:val="18"/>
              <w:widowControl/>
              <w:kinsoku w:val="0"/>
              <w:overflowPunct w:val="0"/>
              <w:spacing w:line="400" w:lineRule="exact"/>
              <w:jc w:val="center"/>
              <w:rPr>
                <w:rFonts w:hint="default"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系统功能</w:t>
            </w:r>
          </w:p>
        </w:tc>
        <w:tc>
          <w:tcPr>
            <w:tcW w:w="4400" w:type="dxa"/>
            <w:tcBorders>
              <w:top w:val="single" w:color="auto" w:sz="4" w:space="0"/>
              <w:left w:val="single" w:color="auto" w:sz="4" w:space="0"/>
              <w:bottom w:val="single" w:color="auto" w:sz="4" w:space="0"/>
              <w:right w:val="single" w:color="auto" w:sz="4" w:space="0"/>
            </w:tcBorders>
            <w:noWrap w:val="0"/>
            <w:vAlign w:val="center"/>
          </w:tcPr>
          <w:p w14:paraId="5EAE24D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初步参数设置情况</w:t>
            </w:r>
          </w:p>
        </w:tc>
        <w:tc>
          <w:tcPr>
            <w:tcW w:w="752" w:type="dxa"/>
            <w:tcBorders>
              <w:top w:val="single" w:color="auto" w:sz="4" w:space="0"/>
              <w:left w:val="single" w:color="auto" w:sz="4" w:space="0"/>
              <w:bottom w:val="single" w:color="auto" w:sz="4" w:space="0"/>
              <w:right w:val="single" w:color="auto" w:sz="4" w:space="0"/>
            </w:tcBorders>
            <w:noWrap w:val="0"/>
            <w:vAlign w:val="center"/>
          </w:tcPr>
          <w:p w14:paraId="14C102F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cs="Times New Roman"/>
                <w:bCs/>
                <w:kern w:val="2"/>
                <w:sz w:val="21"/>
                <w:szCs w:val="21"/>
                <w:lang w:val="en-US" w:eastAsia="zh-CN" w:bidi="ar-SA"/>
              </w:rPr>
              <w:t>是否设置为★</w:t>
            </w:r>
          </w:p>
        </w:tc>
        <w:tc>
          <w:tcPr>
            <w:tcW w:w="978" w:type="dxa"/>
            <w:vMerge w:val="continue"/>
            <w:tcBorders>
              <w:left w:val="single" w:color="auto" w:sz="4" w:space="0"/>
              <w:right w:val="single" w:color="auto" w:sz="4" w:space="0"/>
            </w:tcBorders>
            <w:noWrap w:val="0"/>
            <w:vAlign w:val="center"/>
          </w:tcPr>
          <w:p w14:paraId="0253ECF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vMerge w:val="continue"/>
            <w:tcBorders>
              <w:left w:val="single" w:color="auto" w:sz="4" w:space="0"/>
              <w:right w:val="single" w:color="auto" w:sz="4" w:space="0"/>
            </w:tcBorders>
            <w:noWrap w:val="0"/>
            <w:vAlign w:val="center"/>
          </w:tcPr>
          <w:p w14:paraId="1F4788C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vMerge w:val="continue"/>
            <w:tcBorders>
              <w:left w:val="single" w:color="auto" w:sz="4" w:space="0"/>
              <w:right w:val="single" w:color="auto" w:sz="4" w:space="0"/>
            </w:tcBorders>
            <w:noWrap w:val="0"/>
            <w:vAlign w:val="top"/>
          </w:tcPr>
          <w:p w14:paraId="40CD7E0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C78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674" w:type="dxa"/>
            <w:vMerge w:val="restart"/>
            <w:tcBorders>
              <w:top w:val="single" w:color="auto" w:sz="4" w:space="0"/>
              <w:left w:val="single" w:color="auto" w:sz="4" w:space="0"/>
              <w:right w:val="single" w:color="auto" w:sz="4" w:space="0"/>
            </w:tcBorders>
            <w:noWrap w:val="0"/>
            <w:vAlign w:val="center"/>
          </w:tcPr>
          <w:p w14:paraId="2CDCB9AE">
            <w:pPr>
              <w:pStyle w:val="18"/>
              <w:widowControl/>
              <w:kinsoku w:val="0"/>
              <w:overflowPunct w:val="0"/>
              <w:spacing w:line="400" w:lineRule="exact"/>
              <w:rPr>
                <w:rFonts w:hint="eastAsia" w:ascii="宋体" w:hAnsi="宋体" w:cs="宋体"/>
                <w:color w:val="000000"/>
                <w:sz w:val="32"/>
                <w:szCs w:val="32"/>
              </w:rPr>
            </w:pPr>
          </w:p>
          <w:p w14:paraId="1506873E">
            <w:pPr>
              <w:pStyle w:val="18"/>
              <w:widowControl/>
              <w:numPr>
                <w:ilvl w:val="0"/>
                <w:numId w:val="0"/>
              </w:numPr>
              <w:kinsoku w:val="0"/>
              <w:overflowPunct w:val="0"/>
              <w:spacing w:line="400" w:lineRule="exact"/>
              <w:jc w:val="left"/>
              <w:rPr>
                <w:rFonts w:hint="eastAsia" w:ascii="仿宋" w:hAnsi="仿宋" w:eastAsia="仿宋" w:cs="Times New Roman"/>
                <w:bCs/>
                <w:kern w:val="2"/>
                <w:sz w:val="21"/>
                <w:szCs w:val="21"/>
                <w:lang w:val="en-US" w:eastAsia="zh-CN" w:bidi="ar-SA"/>
              </w:rPr>
            </w:pPr>
          </w:p>
          <w:p w14:paraId="33DB7825">
            <w:pPr>
              <w:pStyle w:val="18"/>
              <w:widowControl/>
              <w:kinsoku w:val="0"/>
              <w:overflowPunct w:val="0"/>
              <w:spacing w:line="400" w:lineRule="exact"/>
              <w:rPr>
                <w:rFonts w:hint="eastAsia" w:ascii="宋体" w:hAnsi="宋体" w:cs="宋体"/>
                <w:color w:val="000000"/>
                <w:sz w:val="32"/>
                <w:szCs w:val="32"/>
              </w:rPr>
            </w:pPr>
            <w:r>
              <w:rPr>
                <w:rFonts w:hint="eastAsia" w:ascii="仿宋" w:hAnsi="仿宋" w:eastAsia="仿宋"/>
                <w:bCs/>
                <w:sz w:val="21"/>
                <w:szCs w:val="21"/>
              </w:rPr>
              <w:t>处方审核功能</w:t>
            </w:r>
          </w:p>
          <w:p w14:paraId="7ACD6112">
            <w:pPr>
              <w:pStyle w:val="18"/>
              <w:widowControl/>
              <w:kinsoku w:val="0"/>
              <w:overflowPunct w:val="0"/>
              <w:spacing w:line="400" w:lineRule="exact"/>
              <w:rPr>
                <w:rFonts w:hint="eastAsia" w:ascii="宋体" w:hAnsi="宋体" w:cs="宋体"/>
                <w:color w:val="000000"/>
                <w:sz w:val="32"/>
                <w:szCs w:val="32"/>
              </w:rPr>
            </w:pPr>
          </w:p>
          <w:p w14:paraId="188E1544">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00E9275">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前置处方审核结果回传</w:t>
            </w:r>
          </w:p>
        </w:tc>
        <w:tc>
          <w:tcPr>
            <w:tcW w:w="4400" w:type="dxa"/>
            <w:tcBorders>
              <w:top w:val="single" w:color="auto" w:sz="4" w:space="0"/>
              <w:left w:val="single" w:color="auto" w:sz="4" w:space="0"/>
              <w:bottom w:val="single" w:color="auto" w:sz="4" w:space="0"/>
              <w:right w:val="single" w:color="auto" w:sz="4" w:space="0"/>
            </w:tcBorders>
            <w:noWrap w:val="0"/>
            <w:vAlign w:val="top"/>
          </w:tcPr>
          <w:p w14:paraId="2D4F67AB">
            <w:pPr>
              <w:pStyle w:val="18"/>
              <w:widowControl/>
              <w:kinsoku w:val="0"/>
              <w:overflowPunct w:val="0"/>
              <w:spacing w:line="400" w:lineRule="exact"/>
              <w:rPr>
                <w:rFonts w:hint="default" w:ascii="仿宋" w:hAnsi="仿宋" w:eastAsia="仿宋" w:cs="Times New Roman"/>
                <w:bCs/>
                <w:kern w:val="2"/>
                <w:sz w:val="21"/>
                <w:szCs w:val="21"/>
                <w:lang w:val="en-US" w:eastAsia="zh-CN" w:bidi="ar-SA"/>
              </w:rPr>
            </w:pPr>
            <w:r>
              <w:rPr>
                <w:rFonts w:ascii="仿宋" w:hAnsi="仿宋" w:eastAsia="仿宋"/>
                <w:bCs/>
                <w:sz w:val="21"/>
                <w:szCs w:val="21"/>
              </w:rPr>
              <w:t>支持将前置处方审核结果回传至中药房审方、调剂、发药界面并在显著位置展示；审核结论包括审核时间、审核人（系统或药师）、审核意见。</w:t>
            </w:r>
          </w:p>
        </w:tc>
        <w:tc>
          <w:tcPr>
            <w:tcW w:w="752" w:type="dxa"/>
            <w:tcBorders>
              <w:top w:val="single" w:color="auto" w:sz="4" w:space="0"/>
              <w:left w:val="single" w:color="auto" w:sz="4" w:space="0"/>
              <w:bottom w:val="single" w:color="auto" w:sz="4" w:space="0"/>
              <w:right w:val="single" w:color="auto" w:sz="4" w:space="0"/>
            </w:tcBorders>
            <w:noWrap w:val="0"/>
            <w:vAlign w:val="top"/>
          </w:tcPr>
          <w:p w14:paraId="0358E28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E8F0AA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AF85BC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26B2007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F86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jc w:val="center"/>
        </w:trPr>
        <w:tc>
          <w:tcPr>
            <w:tcW w:w="674" w:type="dxa"/>
            <w:vMerge w:val="continue"/>
            <w:tcBorders>
              <w:left w:val="single" w:color="auto" w:sz="4" w:space="0"/>
              <w:right w:val="single" w:color="auto" w:sz="4" w:space="0"/>
            </w:tcBorders>
            <w:noWrap w:val="0"/>
            <w:vAlign w:val="center"/>
          </w:tcPr>
          <w:p w14:paraId="54DE5074">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noWrap w:val="0"/>
            <w:vAlign w:val="center"/>
          </w:tcPr>
          <w:p w14:paraId="5F770A5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中药专项审核</w:t>
            </w:r>
          </w:p>
        </w:tc>
        <w:tc>
          <w:tcPr>
            <w:tcW w:w="4400" w:type="dxa"/>
            <w:tcBorders>
              <w:top w:val="single" w:color="auto" w:sz="4" w:space="0"/>
              <w:left w:val="single" w:color="auto" w:sz="4" w:space="0"/>
              <w:bottom w:val="single" w:color="auto" w:sz="4" w:space="0"/>
              <w:right w:val="single" w:color="auto" w:sz="4" w:space="0"/>
            </w:tcBorders>
            <w:noWrap w:val="0"/>
            <w:vAlign w:val="top"/>
          </w:tcPr>
          <w:p w14:paraId="7AEA3935">
            <w:pPr>
              <w:pStyle w:val="18"/>
              <w:widowControl/>
              <w:kinsoku w:val="0"/>
              <w:overflowPunct w:val="0"/>
              <w:spacing w:line="400" w:lineRule="exact"/>
              <w:jc w:val="left"/>
              <w:rPr>
                <w:rFonts w:hint="default" w:ascii="仿宋" w:hAnsi="仿宋" w:eastAsia="仿宋" w:cs="Times New Roman"/>
                <w:bCs/>
                <w:kern w:val="2"/>
                <w:sz w:val="21"/>
                <w:szCs w:val="21"/>
                <w:lang w:val="en-US" w:eastAsia="zh-CN" w:bidi="ar-SA"/>
              </w:rPr>
            </w:pPr>
            <w:r>
              <w:rPr>
                <w:rFonts w:ascii="仿宋" w:hAnsi="仿宋" w:eastAsia="仿宋"/>
                <w:bCs/>
                <w:sz w:val="21"/>
                <w:szCs w:val="21"/>
              </w:rPr>
              <w:t>支持中药处方（医嘱）在中药房调配前再次进行中药专项智能审核，包括诊断与用药一致性校验、毒性中药饮片监控、配伍禁忌识别、剂量范围校验（硬件配套可连接系统读取数据：显示每付药总重量）、特殊人群校验、审核结论生成等功能；并有拒绝发药功能。</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F7596C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F57DAA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7B4C28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D498B3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FBE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atLeast"/>
          <w:jc w:val="center"/>
        </w:trPr>
        <w:tc>
          <w:tcPr>
            <w:tcW w:w="674" w:type="dxa"/>
            <w:vMerge w:val="restart"/>
            <w:tcBorders>
              <w:left w:val="single" w:color="auto" w:sz="4" w:space="0"/>
              <w:right w:val="single" w:color="auto" w:sz="4" w:space="0"/>
            </w:tcBorders>
            <w:noWrap w:val="0"/>
            <w:vAlign w:val="center"/>
          </w:tcPr>
          <w:p w14:paraId="61AEEB52">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bookmarkStart w:id="0" w:name="_GoBack"/>
            <w:bookmarkEnd w:id="0"/>
            <w:r>
              <w:rPr>
                <w:rFonts w:hint="eastAsia" w:ascii="仿宋" w:hAnsi="仿宋" w:eastAsia="仿宋"/>
                <w:bCs/>
                <w:sz w:val="21"/>
                <w:szCs w:val="21"/>
              </w:rPr>
              <w:t>调剂发药管理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23FD9D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调剂任务自动分配</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1D4BDC30">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系统支持根据中药饮片处方复杂度、药师工作量等因素（可自定义规则：例：按处方时间、患者信息等顺序排队等）分配调剂任务。支持按照处方（医嘱）优先级设置调剂排队，针对优先级比较高的处方（医嘱），例如急煎、高龄老人、军人等，优先进入紧急调剂分发序列。</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2A58E8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64CA01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7575A7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64ED71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7E2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74" w:type="dxa"/>
            <w:vMerge w:val="continue"/>
            <w:tcBorders>
              <w:left w:val="single" w:color="auto" w:sz="4" w:space="0"/>
              <w:right w:val="single" w:color="auto" w:sz="4" w:space="0"/>
            </w:tcBorders>
            <w:noWrap w:val="0"/>
            <w:vAlign w:val="center"/>
          </w:tcPr>
          <w:p w14:paraId="53FDDF81">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880C8C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全流程操作记录与电子签名</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22DA144D">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系统配备手持终端工作站，操作人员配备移动平板完成全流程操作：中药饮片（含配方颗粒剂）处方审核、调剂、复核、发药各环节均记录操作人、操作时间、操作内容，并电子签名确认。</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CF4015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6279DD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6BE2F2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79CF55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7BE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4" w:type="dxa"/>
            <w:vMerge w:val="continue"/>
            <w:tcBorders>
              <w:left w:val="single" w:color="auto" w:sz="4" w:space="0"/>
              <w:right w:val="single" w:color="auto" w:sz="4" w:space="0"/>
            </w:tcBorders>
            <w:noWrap w:val="0"/>
            <w:vAlign w:val="center"/>
          </w:tcPr>
          <w:p w14:paraId="71DE2567">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2B68F17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调剂实时校验</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31B91097">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支持对调剂饮片重量、类型不符等情况进行实时校验，警示后续操作。</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A52649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351599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A38340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80E95E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E43C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674" w:type="dxa"/>
            <w:vMerge w:val="continue"/>
            <w:tcBorders>
              <w:left w:val="single" w:color="auto" w:sz="4" w:space="0"/>
              <w:right w:val="single" w:color="auto" w:sz="4" w:space="0"/>
            </w:tcBorders>
            <w:noWrap w:val="0"/>
            <w:vAlign w:val="center"/>
          </w:tcPr>
          <w:p w14:paraId="2A836DBE">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2FF219C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调剂复核</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0A68DC8D">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支持对处方调剂进行复核，实时记录复核数据并归档</w:t>
            </w:r>
            <w:r>
              <w:rPr>
                <w:rFonts w:hint="eastAsia" w:ascii="仿宋" w:hAnsi="仿宋" w:eastAsia="仿宋"/>
                <w:bCs/>
                <w:sz w:val="21"/>
                <w:szCs w:val="21"/>
              </w:rPr>
              <w:t>。</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4BFD72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2C2C42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0DA1D9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5E0A7A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5BD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74" w:type="dxa"/>
            <w:vMerge w:val="continue"/>
            <w:tcBorders>
              <w:left w:val="single" w:color="auto" w:sz="4" w:space="0"/>
              <w:right w:val="single" w:color="auto" w:sz="4" w:space="0"/>
            </w:tcBorders>
            <w:noWrap w:val="0"/>
            <w:vAlign w:val="center"/>
          </w:tcPr>
          <w:p w14:paraId="3884F6CD">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558A273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发药条码核验</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728FB389">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发药时扫描处方条码，系统自动核验处方审核状态、调剂完成状态，核验通过后方可发药。</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E96BAF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526B0A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8CBD78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ABF6C3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572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674" w:type="dxa"/>
            <w:vMerge w:val="continue"/>
            <w:tcBorders>
              <w:left w:val="single" w:color="auto" w:sz="4" w:space="0"/>
              <w:right w:val="single" w:color="auto" w:sz="4" w:space="0"/>
            </w:tcBorders>
            <w:noWrap w:val="0"/>
            <w:vAlign w:val="center"/>
          </w:tcPr>
          <w:p w14:paraId="2914E69C">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1AC3CC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操作界面</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2A096DA3">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界面诊断信息显示完整，简洁清晰，操作流程符合药师工作习惯</w:t>
            </w:r>
            <w:r>
              <w:rPr>
                <w:rFonts w:hint="eastAsia" w:ascii="仿宋" w:hAnsi="仿宋" w:eastAsia="仿宋"/>
                <w:bCs/>
                <w:sz w:val="21"/>
                <w:szCs w:val="21"/>
              </w:rPr>
              <w:t>。</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7B3609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7FFB82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27A20F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52F147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508B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74" w:type="dxa"/>
            <w:vMerge w:val="continue"/>
            <w:tcBorders>
              <w:left w:val="single" w:color="auto" w:sz="4" w:space="0"/>
              <w:right w:val="single" w:color="auto" w:sz="4" w:space="0"/>
            </w:tcBorders>
            <w:noWrap w:val="0"/>
            <w:vAlign w:val="center"/>
          </w:tcPr>
          <w:p w14:paraId="4333D40C">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D38B66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支持外部设备</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237B708F">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支持平板电脑、扫码枪等外设接入</w:t>
            </w:r>
            <w:r>
              <w:rPr>
                <w:rFonts w:hint="eastAsia" w:ascii="仿宋" w:hAnsi="仿宋" w:eastAsia="仿宋"/>
                <w:bCs/>
                <w:sz w:val="21"/>
                <w:szCs w:val="21"/>
              </w:rPr>
              <w:t>。</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8DD8C3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8A62DB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1AD201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F27066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985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14AA7D3A">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4B3092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药品追溯管理</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7A35C182">
            <w:pPr>
              <w:pStyle w:val="18"/>
              <w:widowControl/>
              <w:kinsoku w:val="0"/>
              <w:overflowPunct w:val="0"/>
              <w:spacing w:line="400" w:lineRule="exact"/>
              <w:jc w:val="left"/>
              <w:rPr>
                <w:rFonts w:ascii="仿宋" w:hAnsi="仿宋" w:eastAsia="仿宋" w:cs="Times New Roman"/>
                <w:bCs/>
                <w:kern w:val="2"/>
                <w:sz w:val="21"/>
                <w:szCs w:val="21"/>
                <w:lang w:val="en-US" w:eastAsia="zh-CN" w:bidi="ar-SA"/>
              </w:rPr>
            </w:pPr>
            <w:r>
              <w:rPr>
                <w:rFonts w:ascii="仿宋" w:hAnsi="仿宋" w:eastAsia="仿宋"/>
                <w:bCs/>
                <w:sz w:val="21"/>
                <w:szCs w:val="21"/>
              </w:rPr>
              <w:t>支持对接安徽省中药饮片信息化追溯系统，实现药品追溯信息与患者绑定。</w:t>
            </w:r>
          </w:p>
        </w:tc>
        <w:tc>
          <w:tcPr>
            <w:tcW w:w="752" w:type="dxa"/>
            <w:tcBorders>
              <w:top w:val="single" w:color="auto" w:sz="4" w:space="0"/>
              <w:left w:val="single" w:color="auto" w:sz="4" w:space="0"/>
              <w:bottom w:val="single" w:color="auto" w:sz="4" w:space="0"/>
              <w:right w:val="single" w:color="auto" w:sz="4" w:space="0"/>
            </w:tcBorders>
            <w:noWrap w:val="0"/>
            <w:vAlign w:val="top"/>
          </w:tcPr>
          <w:p w14:paraId="0CE8779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A3C640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A47273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4CA015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E80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57E2A30F">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退药流程管理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72DBBBBB">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未调剂处方退药</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7F155B64">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支持HIS 发起退费申请推送至共享中药房，共享中药房校验处方状态为未调剂，标记处方作废，释放调剂临时占用；回传 HIS 确认，HIS 不扣减库存。</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94D7AE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59971E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D348F7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B5CFBA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E4E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136F1EE8">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633E7538">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已调剂、未发药处方退药</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18A9F7B3">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支持HIS发起退费；共享中药房锁定处方任务，药师执行退药核验，确认饮片回收；系统释放临时占用库存；退药确认完成后推送消息至 HIS，HIS 执行库存回冲。完整记录退药人、复核人、时间、原因等信息</w:t>
            </w:r>
            <w:r>
              <w:rPr>
                <w:rFonts w:hint="eastAsia" w:ascii="仿宋" w:hAnsi="仿宋" w:eastAsia="仿宋"/>
                <w:bCs/>
                <w:sz w:val="21"/>
                <w:szCs w:val="21"/>
              </w:rPr>
              <w:t>。</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BF63B9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97FE07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CCC7AD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718DC0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DF3F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29E324B1">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7F8A48A">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已发药处方退药</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20351310">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支持HIS发起退费；共享中药房创建退药任务，支持按条件批量操作退药，药师核验退回药品，录入退药原因、批号、数量；完成退药确认，推送退药完成消息给 HIS，HIS 执行库存回冲；完整记录退药人、复核人、时间、原因等信息。</w:t>
            </w:r>
          </w:p>
        </w:tc>
        <w:tc>
          <w:tcPr>
            <w:tcW w:w="752" w:type="dxa"/>
            <w:tcBorders>
              <w:top w:val="single" w:color="auto" w:sz="4" w:space="0"/>
              <w:left w:val="single" w:color="auto" w:sz="4" w:space="0"/>
              <w:bottom w:val="single" w:color="auto" w:sz="4" w:space="0"/>
              <w:right w:val="single" w:color="auto" w:sz="4" w:space="0"/>
            </w:tcBorders>
            <w:noWrap w:val="0"/>
            <w:vAlign w:val="top"/>
          </w:tcPr>
          <w:p w14:paraId="0BEFF15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C6653A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609B73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BDDAEA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2BA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2B198C68">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51EBF16A">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退药权限控制</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0623D8F0">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支持退药操作可自定义设置人员权限，退药记录永久留痕，不可删除。</w:t>
            </w:r>
          </w:p>
        </w:tc>
        <w:tc>
          <w:tcPr>
            <w:tcW w:w="752" w:type="dxa"/>
            <w:tcBorders>
              <w:top w:val="single" w:color="auto" w:sz="4" w:space="0"/>
              <w:left w:val="single" w:color="auto" w:sz="4" w:space="0"/>
              <w:bottom w:val="single" w:color="auto" w:sz="4" w:space="0"/>
              <w:right w:val="single" w:color="auto" w:sz="4" w:space="0"/>
            </w:tcBorders>
            <w:noWrap w:val="0"/>
            <w:vAlign w:val="top"/>
          </w:tcPr>
          <w:p w14:paraId="3E365D9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87F054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E81195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AA065D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C88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4B674D9A">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8B4D095">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退药查询与报表</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74374828">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支持按时间、处方号、患者、机构、退药原因查询；生成退药统计报表，支持导出 Excel。</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C449D7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8B5ED2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37AC36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3703A9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E8A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40BFBEE0">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11A96C5">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退药异常处理</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468AA32B">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接口中断时，系统缓存退药事件；接口恢复后自动同步 HIS；支持人工干预重推退药消息。</w:t>
            </w:r>
          </w:p>
        </w:tc>
        <w:tc>
          <w:tcPr>
            <w:tcW w:w="752" w:type="dxa"/>
            <w:tcBorders>
              <w:top w:val="single" w:color="auto" w:sz="4" w:space="0"/>
              <w:left w:val="single" w:color="auto" w:sz="4" w:space="0"/>
              <w:bottom w:val="single" w:color="auto" w:sz="4" w:space="0"/>
              <w:right w:val="single" w:color="auto" w:sz="4" w:space="0"/>
            </w:tcBorders>
            <w:noWrap w:val="0"/>
            <w:vAlign w:val="top"/>
          </w:tcPr>
          <w:p w14:paraId="5B613D0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A8183C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C8B364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E383FA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FE55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4612E0AA">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中药临方加工管理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7FA11DD">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加工任务管理</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4D484DB3">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支持包括但不限于按接单模式等接收加工任务。</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BD06A4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BF537C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E3B0A7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42348A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A08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07A54334">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6395FCD4">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工序全程记录与电子签名</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63751C6E">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支持记录每道工序操作人、时间等信息，各环节须电子签名确认，实现全程可追溯。</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8F7DCB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63E106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A79AFB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2244791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464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1E13F78D">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6E74366A">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成品编码与标签打印</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5F33B4ED">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支持为制成品生成唯一成品编码，打印标签含患者信息、加工日期、加工类型、用法用量等。</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FB287B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1323F8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2F2AF5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382A41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5A51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404C73C0">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C04BB20">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加工工作量统计</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5A1B6CA1">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支持将临方加工等（含其他统计口径）纳入工作量统计范畴，可供查询导出。</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74B6BE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99DC3D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5E4C31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3DFC79F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530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6EEF610A">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煎药管理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C43EC89">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代煎处方推送</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66F11DDB">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支持对接我院现有煎药系统、支持已调剂完成的代煎中药饮片处方推送至现有煎药系统。</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DB7A734">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730300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0355A9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6B4E58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3E4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333F0E8">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A3D396D">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煎药数据互联互通</w:t>
            </w:r>
          </w:p>
        </w:tc>
        <w:tc>
          <w:tcPr>
            <w:tcW w:w="4400" w:type="dxa"/>
            <w:tcBorders>
              <w:top w:val="single" w:color="auto" w:sz="4" w:space="0"/>
              <w:left w:val="single" w:color="auto" w:sz="4" w:space="0"/>
              <w:bottom w:val="single" w:color="auto" w:sz="4" w:space="0"/>
              <w:right w:val="single" w:color="auto" w:sz="4" w:space="0"/>
            </w:tcBorders>
            <w:shd w:val="clear"/>
            <w:noWrap w:val="0"/>
            <w:vAlign w:val="top"/>
          </w:tcPr>
          <w:p w14:paraId="3EC8E94D">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支持调取现有煎药系统设备的相关节点数据，包括浸泡时间、煎煮时间、火候、加水量、特殊煎法、包装执行情况、操作人员信息等，实现互联互通。</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EE71E4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4820FA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B39AAB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80BE80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90EB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2C974FFF">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患者服务</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A684386">
            <w:pPr>
              <w:pStyle w:val="18"/>
              <w:widowControl/>
              <w:kinsoku w:val="0"/>
              <w:overflowPunct w:val="0"/>
              <w:spacing w:line="400" w:lineRule="exact"/>
              <w:jc w:val="center"/>
              <w:rPr>
                <w:rFonts w:hint="eastAsia" w:ascii="仿宋" w:hAnsi="仿宋" w:eastAsia="仿宋"/>
                <w:bCs/>
                <w:sz w:val="21"/>
                <w:szCs w:val="21"/>
              </w:rPr>
            </w:pPr>
            <w:r>
              <w:rPr>
                <w:rFonts w:ascii="仿宋" w:hAnsi="仿宋" w:eastAsia="仿宋"/>
                <w:bCs/>
                <w:sz w:val="21"/>
                <w:szCs w:val="21"/>
              </w:rPr>
              <w:t>处方状态实时查询</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6B431D84">
            <w:pPr>
              <w:pStyle w:val="18"/>
              <w:widowControl/>
              <w:kinsoku w:val="0"/>
              <w:overflowPunct w:val="0"/>
              <w:spacing w:line="400" w:lineRule="exact"/>
              <w:jc w:val="left"/>
              <w:rPr>
                <w:rFonts w:ascii="仿宋" w:hAnsi="仿宋" w:eastAsia="仿宋"/>
                <w:bCs/>
                <w:sz w:val="21"/>
                <w:szCs w:val="21"/>
              </w:rPr>
            </w:pPr>
            <w:r>
              <w:rPr>
                <w:rFonts w:ascii="仿宋" w:hAnsi="仿宋" w:eastAsia="仿宋"/>
                <w:bCs/>
                <w:sz w:val="21"/>
                <w:szCs w:val="21"/>
              </w:rPr>
              <w:t>支持患者通过微信公众号或小程序输入就诊信息（可嵌入我院互联网医院 ），可实时查看处方当前所处环节（例如待审核、审核中、调配中、煎药中、配送中、已完成）。</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FD4E8E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BFB071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E02BD8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DD56E6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763B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27B0995D">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33B7F7A">
            <w:pPr>
              <w:pStyle w:val="18"/>
              <w:widowControl/>
              <w:kinsoku w:val="0"/>
              <w:overflowPunct w:val="0"/>
              <w:spacing w:line="400" w:lineRule="exact"/>
              <w:jc w:val="center"/>
              <w:rPr>
                <w:rFonts w:hint="eastAsia" w:ascii="仿宋" w:hAnsi="仿宋" w:eastAsia="仿宋"/>
                <w:bCs/>
                <w:sz w:val="21"/>
                <w:szCs w:val="21"/>
              </w:rPr>
            </w:pPr>
            <w:r>
              <w:rPr>
                <w:rFonts w:ascii="仿宋" w:hAnsi="仿宋" w:eastAsia="仿宋"/>
                <w:bCs/>
                <w:sz w:val="21"/>
                <w:szCs w:val="21"/>
              </w:rPr>
              <w:t>候药时间动态预估</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0A5823AF">
            <w:pPr>
              <w:pStyle w:val="18"/>
              <w:widowControl/>
              <w:kinsoku w:val="0"/>
              <w:overflowPunct w:val="0"/>
              <w:spacing w:line="400" w:lineRule="exact"/>
              <w:jc w:val="left"/>
              <w:rPr>
                <w:rFonts w:ascii="仿宋" w:hAnsi="仿宋" w:eastAsia="仿宋"/>
                <w:bCs/>
                <w:sz w:val="21"/>
                <w:szCs w:val="21"/>
              </w:rPr>
            </w:pPr>
            <w:r>
              <w:rPr>
                <w:rFonts w:hint="eastAsia" w:ascii="仿宋" w:hAnsi="仿宋" w:eastAsia="仿宋"/>
                <w:bCs/>
                <w:sz w:val="21"/>
                <w:szCs w:val="21"/>
              </w:rPr>
              <w:t>支持系统根据历史数据、当前排队队列、处方复杂度、煎药排程等信息，动态预估候药时间或预计配送到达时间。</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02F705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2C34C6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C79EF1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DE9425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948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D76C2C6">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0A6A036">
            <w:pPr>
              <w:pStyle w:val="18"/>
              <w:widowControl/>
              <w:kinsoku w:val="0"/>
              <w:overflowPunct w:val="0"/>
              <w:spacing w:line="400" w:lineRule="exact"/>
              <w:jc w:val="center"/>
              <w:rPr>
                <w:rFonts w:hint="eastAsia" w:ascii="仿宋" w:hAnsi="仿宋" w:eastAsia="仿宋"/>
                <w:bCs/>
                <w:sz w:val="21"/>
                <w:szCs w:val="21"/>
              </w:rPr>
            </w:pPr>
            <w:r>
              <w:rPr>
                <w:rFonts w:ascii="仿宋" w:hAnsi="仿宋" w:eastAsia="仿宋"/>
                <w:bCs/>
                <w:sz w:val="21"/>
                <w:szCs w:val="21"/>
              </w:rPr>
              <w:t>状态变更主动通知</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05E38DA9">
            <w:pPr>
              <w:pStyle w:val="18"/>
              <w:widowControl/>
              <w:kinsoku w:val="0"/>
              <w:overflowPunct w:val="0"/>
              <w:spacing w:line="400" w:lineRule="exact"/>
              <w:jc w:val="left"/>
              <w:rPr>
                <w:rFonts w:ascii="仿宋" w:hAnsi="仿宋" w:eastAsia="仿宋"/>
                <w:bCs/>
                <w:sz w:val="21"/>
                <w:szCs w:val="21"/>
              </w:rPr>
            </w:pPr>
            <w:r>
              <w:rPr>
                <w:rFonts w:hint="eastAsia" w:ascii="仿宋" w:hAnsi="仿宋" w:eastAsia="仿宋"/>
                <w:bCs/>
                <w:sz w:val="21"/>
                <w:szCs w:val="21"/>
              </w:rPr>
              <w:t>支持处方状态变更时主动向患者推送通知，包括审核完成提醒、调配完成提醒、开始配送提醒等。</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F35F52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AE6234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E3E23B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FDDE57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E761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66F019B">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23D44A6E">
            <w:pPr>
              <w:pStyle w:val="18"/>
              <w:widowControl/>
              <w:kinsoku w:val="0"/>
              <w:overflowPunct w:val="0"/>
              <w:spacing w:line="400" w:lineRule="exact"/>
              <w:jc w:val="center"/>
              <w:rPr>
                <w:rFonts w:hint="eastAsia" w:ascii="仿宋" w:hAnsi="仿宋" w:eastAsia="仿宋"/>
                <w:bCs/>
                <w:sz w:val="21"/>
                <w:szCs w:val="21"/>
              </w:rPr>
            </w:pPr>
            <w:r>
              <w:rPr>
                <w:rFonts w:hint="eastAsia" w:ascii="仿宋" w:hAnsi="仿宋" w:eastAsia="仿宋"/>
                <w:bCs/>
                <w:sz w:val="21"/>
                <w:szCs w:val="21"/>
              </w:rPr>
              <w:t>物流进度查询</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3B14C471">
            <w:pPr>
              <w:pStyle w:val="18"/>
              <w:widowControl/>
              <w:kinsoku w:val="0"/>
              <w:overflowPunct w:val="0"/>
              <w:spacing w:line="400" w:lineRule="exact"/>
              <w:jc w:val="left"/>
              <w:rPr>
                <w:rFonts w:ascii="仿宋" w:hAnsi="仿宋" w:eastAsia="仿宋"/>
                <w:bCs/>
                <w:sz w:val="21"/>
                <w:szCs w:val="21"/>
              </w:rPr>
            </w:pPr>
            <w:r>
              <w:rPr>
                <w:rFonts w:hint="eastAsia" w:ascii="仿宋" w:hAnsi="仿宋" w:eastAsia="仿宋"/>
                <w:bCs/>
                <w:sz w:val="21"/>
                <w:szCs w:val="21"/>
              </w:rPr>
              <w:t>支持对接物流系统，患者可查看配送进度。</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2FF865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FE5703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EFB89D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F90EE9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8E69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0135876F">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中医药服务区域共享</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165231C">
            <w:pPr>
              <w:widowControl/>
              <w:jc w:val="left"/>
              <w:textAlignment w:val="center"/>
              <w:rPr>
                <w:rFonts w:hint="eastAsia" w:ascii="仿宋" w:hAnsi="仿宋" w:eastAsia="仿宋"/>
                <w:bCs/>
                <w:sz w:val="21"/>
                <w:szCs w:val="21"/>
              </w:rPr>
            </w:pPr>
            <w:r>
              <w:rPr>
                <w:rFonts w:hint="eastAsia" w:ascii="仿宋" w:hAnsi="仿宋" w:eastAsia="仿宋"/>
                <w:bCs/>
                <w:szCs w:val="21"/>
              </w:rPr>
              <w:t>基层机构接入</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4B3C6E1D">
            <w:pPr>
              <w:widowControl/>
              <w:jc w:val="left"/>
              <w:textAlignment w:val="center"/>
              <w:rPr>
                <w:rFonts w:hint="eastAsia" w:ascii="仿宋" w:hAnsi="仿宋" w:eastAsia="仿宋"/>
                <w:bCs/>
                <w:sz w:val="21"/>
                <w:szCs w:val="21"/>
              </w:rPr>
            </w:pPr>
            <w:r>
              <w:rPr>
                <w:rFonts w:hint="eastAsia" w:ascii="仿宋" w:hAnsi="仿宋" w:eastAsia="仿宋"/>
                <w:bCs/>
                <w:szCs w:val="21"/>
              </w:rPr>
              <w:t>支持与基层医疗信息系统、主流HIS、药房、物流系统快速适配对接，实现处方数据接入与双向同步；</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7C15AE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20B04E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969879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3F98EC3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600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5FE115A1">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3D4FB17">
            <w:pPr>
              <w:widowControl/>
              <w:jc w:val="left"/>
              <w:textAlignment w:val="center"/>
              <w:rPr>
                <w:rFonts w:hint="eastAsia" w:ascii="仿宋" w:hAnsi="仿宋" w:eastAsia="仿宋"/>
                <w:bCs/>
                <w:sz w:val="21"/>
                <w:szCs w:val="21"/>
              </w:rPr>
            </w:pPr>
            <w:r>
              <w:rPr>
                <w:rFonts w:hint="eastAsia" w:ascii="仿宋" w:hAnsi="仿宋" w:eastAsia="仿宋"/>
                <w:bCs/>
                <w:szCs w:val="21"/>
              </w:rPr>
              <w:t>基层处方上传与前置审核</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66F8A2BD">
            <w:pPr>
              <w:widowControl/>
              <w:jc w:val="left"/>
              <w:textAlignment w:val="center"/>
              <w:rPr>
                <w:rFonts w:hint="eastAsia" w:ascii="仿宋" w:hAnsi="仿宋" w:eastAsia="仿宋"/>
                <w:bCs/>
                <w:sz w:val="21"/>
                <w:szCs w:val="21"/>
              </w:rPr>
            </w:pPr>
            <w:r>
              <w:rPr>
                <w:rFonts w:hint="eastAsia" w:ascii="仿宋" w:hAnsi="仿宋" w:eastAsia="仿宋"/>
                <w:bCs/>
                <w:szCs w:val="21"/>
              </w:rPr>
              <w:t>支持基层机构上传中药处方并进入我院前置审核系统进行审核，审核结果回传基层机构。</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F7F9C3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BDF51C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E4107F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283F25A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CDE0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5AF90E4">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7D0A063">
            <w:pPr>
              <w:widowControl/>
              <w:jc w:val="left"/>
              <w:textAlignment w:val="center"/>
              <w:rPr>
                <w:rFonts w:hint="eastAsia" w:ascii="仿宋" w:hAnsi="仿宋" w:eastAsia="仿宋"/>
                <w:bCs/>
                <w:sz w:val="21"/>
                <w:szCs w:val="21"/>
              </w:rPr>
            </w:pPr>
            <w:r>
              <w:rPr>
                <w:rFonts w:ascii="仿宋" w:hAnsi="仿宋" w:eastAsia="仿宋"/>
                <w:bCs/>
                <w:szCs w:val="21"/>
              </w:rPr>
              <w:t>基层处方纳入调配流程</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65619084">
            <w:pPr>
              <w:widowControl/>
              <w:jc w:val="left"/>
              <w:textAlignment w:val="center"/>
              <w:rPr>
                <w:rFonts w:hint="eastAsia" w:ascii="仿宋" w:hAnsi="仿宋" w:eastAsia="仿宋"/>
                <w:bCs/>
                <w:sz w:val="21"/>
                <w:szCs w:val="21"/>
              </w:rPr>
            </w:pPr>
            <w:r>
              <w:rPr>
                <w:rFonts w:hint="eastAsia" w:ascii="仿宋" w:hAnsi="仿宋" w:eastAsia="仿宋"/>
                <w:bCs/>
                <w:szCs w:val="21"/>
              </w:rPr>
              <w:t>支持审核通过的基层处方纳入调配、煎药、配送流程。</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F35DD7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60DB18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5B3C82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F31A40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06D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34113AE4">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0D811BE">
            <w:pPr>
              <w:widowControl/>
              <w:jc w:val="left"/>
              <w:textAlignment w:val="center"/>
              <w:rPr>
                <w:rFonts w:hint="eastAsia" w:ascii="仿宋" w:hAnsi="仿宋" w:eastAsia="仿宋"/>
                <w:bCs/>
                <w:sz w:val="21"/>
                <w:szCs w:val="21"/>
              </w:rPr>
            </w:pPr>
            <w:r>
              <w:rPr>
                <w:rFonts w:ascii="仿宋" w:hAnsi="仿宋" w:eastAsia="仿宋"/>
                <w:bCs/>
                <w:szCs w:val="21"/>
              </w:rPr>
              <w:t>费用结算与对账</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3EC5A76D">
            <w:pPr>
              <w:widowControl/>
              <w:jc w:val="left"/>
              <w:textAlignment w:val="center"/>
              <w:rPr>
                <w:rFonts w:hint="eastAsia" w:ascii="仿宋" w:hAnsi="仿宋" w:eastAsia="仿宋"/>
                <w:bCs/>
                <w:sz w:val="21"/>
                <w:szCs w:val="21"/>
              </w:rPr>
            </w:pPr>
            <w:r>
              <w:rPr>
                <w:rFonts w:hint="eastAsia" w:ascii="仿宋" w:hAnsi="仿宋" w:eastAsia="仿宋"/>
                <w:bCs/>
                <w:szCs w:val="21"/>
              </w:rPr>
              <w:t>支持按机构、按时间进行费用结算与对账，生成结算报表。</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E781FA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8C89B0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6766B1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231FE7A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06B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5B9753B8">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E59EE0E">
            <w:pPr>
              <w:widowControl/>
              <w:jc w:val="left"/>
              <w:textAlignment w:val="center"/>
              <w:rPr>
                <w:rFonts w:hint="eastAsia" w:ascii="仿宋" w:hAnsi="仿宋" w:eastAsia="仿宋"/>
                <w:bCs/>
                <w:sz w:val="21"/>
                <w:szCs w:val="21"/>
              </w:rPr>
            </w:pPr>
            <w:r>
              <w:rPr>
                <w:rFonts w:hint="eastAsia" w:ascii="仿宋" w:hAnsi="仿宋" w:eastAsia="仿宋"/>
                <w:bCs/>
                <w:szCs w:val="21"/>
              </w:rPr>
              <w:t>处方精准查询</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031740F4">
            <w:pPr>
              <w:widowControl/>
              <w:jc w:val="left"/>
              <w:textAlignment w:val="center"/>
              <w:rPr>
                <w:rFonts w:hint="eastAsia" w:ascii="仿宋" w:hAnsi="仿宋" w:eastAsia="仿宋"/>
                <w:bCs/>
                <w:sz w:val="21"/>
                <w:szCs w:val="21"/>
              </w:rPr>
            </w:pPr>
            <w:r>
              <w:rPr>
                <w:rFonts w:hint="eastAsia" w:ascii="仿宋" w:hAnsi="仿宋" w:eastAsia="仿宋"/>
                <w:bCs/>
                <w:szCs w:val="21"/>
              </w:rPr>
              <w:t>支持按处方号、患者姓名、医院名称、时间、状态多维度精准检索处方。</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C046B3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B01FB7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D015AC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923E61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8416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52283D60">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6FE418B6">
            <w:pPr>
              <w:widowControl/>
              <w:jc w:val="left"/>
              <w:textAlignment w:val="center"/>
              <w:rPr>
                <w:rFonts w:hint="eastAsia" w:ascii="仿宋" w:hAnsi="仿宋" w:eastAsia="仿宋"/>
                <w:bCs/>
                <w:sz w:val="21"/>
                <w:szCs w:val="21"/>
              </w:rPr>
            </w:pPr>
            <w:r>
              <w:rPr>
                <w:rFonts w:hint="eastAsia" w:ascii="仿宋" w:hAnsi="仿宋" w:eastAsia="仿宋"/>
                <w:bCs/>
                <w:szCs w:val="21"/>
              </w:rPr>
              <w:t>处方全生命周期管理</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70DDB2C9">
            <w:pPr>
              <w:widowControl/>
              <w:jc w:val="left"/>
              <w:textAlignment w:val="center"/>
              <w:rPr>
                <w:rFonts w:hint="eastAsia" w:ascii="仿宋" w:hAnsi="仿宋" w:eastAsia="仿宋"/>
                <w:bCs/>
                <w:sz w:val="21"/>
                <w:szCs w:val="21"/>
              </w:rPr>
            </w:pPr>
            <w:r>
              <w:rPr>
                <w:rFonts w:hint="eastAsia" w:ascii="仿宋" w:hAnsi="仿宋" w:eastAsia="仿宋"/>
                <w:bCs/>
                <w:szCs w:val="21"/>
              </w:rPr>
              <w:t>实现处方全生命周期管理，从开具、审核、接方、配送至签收全程可追溯，流程透明可控。</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7EFCCC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0C9A2F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5A6397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27E05EE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DAA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7F712460">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工作量统计与质控管理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5B8D206E">
            <w:pPr>
              <w:widowControl/>
              <w:jc w:val="left"/>
              <w:textAlignment w:val="center"/>
              <w:rPr>
                <w:rFonts w:hint="eastAsia" w:ascii="仿宋" w:hAnsi="仿宋" w:eastAsia="仿宋"/>
                <w:bCs/>
                <w:szCs w:val="21"/>
              </w:rPr>
            </w:pPr>
            <w:r>
              <w:rPr>
                <w:rFonts w:ascii="仿宋" w:hAnsi="仿宋" w:eastAsia="仿宋"/>
                <w:bCs/>
                <w:szCs w:val="21"/>
              </w:rPr>
              <w:t>工作量指标统计</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5E5734C9">
            <w:pPr>
              <w:widowControl/>
              <w:jc w:val="left"/>
              <w:textAlignment w:val="center"/>
              <w:rPr>
                <w:rFonts w:hint="eastAsia" w:ascii="仿宋" w:hAnsi="仿宋" w:eastAsia="仿宋"/>
                <w:bCs/>
                <w:szCs w:val="21"/>
              </w:rPr>
            </w:pPr>
            <w:r>
              <w:rPr>
                <w:rFonts w:hint="eastAsia" w:ascii="仿宋" w:hAnsi="仿宋" w:eastAsia="仿宋"/>
                <w:bCs/>
                <w:szCs w:val="21"/>
              </w:rPr>
              <w:t>按日、周、月、年统计每位操作人员的处方审核量、调剂处方数、煎药批次、发药人次等指标。</w:t>
            </w:r>
          </w:p>
        </w:tc>
        <w:tc>
          <w:tcPr>
            <w:tcW w:w="752" w:type="dxa"/>
            <w:tcBorders>
              <w:top w:val="single" w:color="auto" w:sz="4" w:space="0"/>
              <w:left w:val="single" w:color="auto" w:sz="4" w:space="0"/>
              <w:bottom w:val="single" w:color="auto" w:sz="4" w:space="0"/>
              <w:right w:val="single" w:color="auto" w:sz="4" w:space="0"/>
            </w:tcBorders>
            <w:noWrap w:val="0"/>
            <w:vAlign w:val="top"/>
          </w:tcPr>
          <w:p w14:paraId="46069BA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5EC682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844143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1EA06B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30299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170A2463">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BC2542C">
            <w:pPr>
              <w:widowControl/>
              <w:jc w:val="left"/>
              <w:textAlignment w:val="center"/>
              <w:rPr>
                <w:rFonts w:hint="eastAsia" w:ascii="仿宋" w:hAnsi="仿宋" w:eastAsia="仿宋"/>
                <w:bCs/>
                <w:szCs w:val="21"/>
              </w:rPr>
            </w:pPr>
            <w:r>
              <w:rPr>
                <w:rFonts w:ascii="仿宋" w:hAnsi="仿宋" w:eastAsia="仿宋"/>
                <w:bCs/>
                <w:szCs w:val="21"/>
              </w:rPr>
              <w:t>效率指标统计</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64B92A99">
            <w:pPr>
              <w:widowControl/>
              <w:jc w:val="left"/>
              <w:textAlignment w:val="center"/>
              <w:rPr>
                <w:rFonts w:hint="eastAsia" w:ascii="仿宋" w:hAnsi="仿宋" w:eastAsia="仿宋"/>
                <w:bCs/>
                <w:szCs w:val="21"/>
              </w:rPr>
            </w:pPr>
            <w:r>
              <w:rPr>
                <w:rFonts w:ascii="仿宋" w:hAnsi="仿宋" w:eastAsia="仿宋"/>
                <w:bCs/>
                <w:szCs w:val="21"/>
              </w:rPr>
              <w:t>统计平均审核时长、平均调剂时长、平均煎药时长等效率指标，支持横向对比。</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983BA7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17D847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8473FB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595570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BD1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3882F5BE">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BB5B1DE">
            <w:pPr>
              <w:widowControl/>
              <w:jc w:val="left"/>
              <w:textAlignment w:val="center"/>
              <w:rPr>
                <w:rFonts w:hint="eastAsia" w:ascii="仿宋" w:hAnsi="仿宋" w:eastAsia="仿宋"/>
                <w:bCs/>
                <w:szCs w:val="21"/>
              </w:rPr>
            </w:pPr>
            <w:r>
              <w:rPr>
                <w:rFonts w:ascii="仿宋" w:hAnsi="仿宋" w:eastAsia="仿宋"/>
                <w:bCs/>
                <w:szCs w:val="21"/>
              </w:rPr>
              <w:t>实时工作数据展示</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48096A04">
            <w:pPr>
              <w:widowControl/>
              <w:jc w:val="left"/>
              <w:textAlignment w:val="center"/>
              <w:rPr>
                <w:rFonts w:hint="eastAsia" w:ascii="仿宋" w:hAnsi="仿宋" w:eastAsia="仿宋"/>
                <w:bCs/>
                <w:szCs w:val="21"/>
              </w:rPr>
            </w:pPr>
            <w:r>
              <w:rPr>
                <w:rFonts w:ascii="仿宋" w:hAnsi="仿宋" w:eastAsia="仿宋"/>
                <w:bCs/>
                <w:szCs w:val="21"/>
              </w:rPr>
              <w:t>在大屏或管理端展示实时工作数据，包括待处理任务数、今日完成量、平均等待时间等。</w:t>
            </w:r>
          </w:p>
        </w:tc>
        <w:tc>
          <w:tcPr>
            <w:tcW w:w="752" w:type="dxa"/>
            <w:tcBorders>
              <w:top w:val="single" w:color="auto" w:sz="4" w:space="0"/>
              <w:left w:val="single" w:color="auto" w:sz="4" w:space="0"/>
              <w:bottom w:val="single" w:color="auto" w:sz="4" w:space="0"/>
              <w:right w:val="single" w:color="auto" w:sz="4" w:space="0"/>
            </w:tcBorders>
            <w:noWrap w:val="0"/>
            <w:vAlign w:val="top"/>
          </w:tcPr>
          <w:p w14:paraId="04AE894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CBF843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6DF13B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1407E9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76A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6310A6B1">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1A684176">
            <w:pPr>
              <w:widowControl/>
              <w:jc w:val="left"/>
              <w:textAlignment w:val="center"/>
              <w:rPr>
                <w:rFonts w:hint="eastAsia" w:ascii="仿宋" w:hAnsi="仿宋" w:eastAsia="仿宋"/>
                <w:bCs/>
                <w:szCs w:val="21"/>
              </w:rPr>
            </w:pPr>
            <w:r>
              <w:rPr>
                <w:rFonts w:hint="eastAsia" w:ascii="仿宋" w:hAnsi="仿宋" w:eastAsia="仿宋"/>
                <w:bCs/>
                <w:szCs w:val="21"/>
              </w:rPr>
              <w:t>处方审核统计</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35AD90DF">
            <w:pPr>
              <w:widowControl/>
              <w:jc w:val="left"/>
              <w:textAlignment w:val="center"/>
              <w:rPr>
                <w:rFonts w:hint="eastAsia" w:ascii="仿宋" w:hAnsi="仿宋" w:eastAsia="仿宋"/>
                <w:bCs/>
                <w:szCs w:val="21"/>
              </w:rPr>
            </w:pPr>
            <w:r>
              <w:rPr>
                <w:rFonts w:hint="eastAsia" w:ascii="仿宋" w:hAnsi="仿宋" w:eastAsia="仿宋"/>
                <w:bCs/>
                <w:szCs w:val="21"/>
              </w:rPr>
              <w:t>自动统计审方通过量、退回率、问题处方占比等核心业务数据。</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382BF5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31C886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7A59C3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64498186">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A32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589F0F19">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DD3DD33">
            <w:pPr>
              <w:widowControl/>
              <w:jc w:val="left"/>
              <w:textAlignment w:val="center"/>
              <w:rPr>
                <w:rFonts w:hint="eastAsia" w:ascii="仿宋" w:hAnsi="仿宋" w:eastAsia="仿宋"/>
                <w:bCs/>
                <w:szCs w:val="21"/>
              </w:rPr>
            </w:pPr>
            <w:r>
              <w:rPr>
                <w:rFonts w:hint="eastAsia" w:ascii="仿宋" w:hAnsi="仿宋" w:eastAsia="仿宋"/>
                <w:bCs/>
                <w:szCs w:val="21"/>
              </w:rPr>
              <w:t>关键数据报表导出</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79C8447D">
            <w:pPr>
              <w:widowControl/>
              <w:jc w:val="left"/>
              <w:textAlignment w:val="center"/>
              <w:rPr>
                <w:rFonts w:hint="eastAsia" w:ascii="仿宋" w:hAnsi="仿宋" w:eastAsia="仿宋"/>
                <w:bCs/>
                <w:szCs w:val="21"/>
              </w:rPr>
            </w:pPr>
            <w:r>
              <w:rPr>
                <w:rFonts w:hint="eastAsia" w:ascii="仿宋" w:hAnsi="仿宋" w:eastAsia="仿宋"/>
                <w:bCs/>
                <w:szCs w:val="21"/>
              </w:rPr>
              <w:t>支持审核台账、统计报表、问题处方清单一键导出。</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6DC6DA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E7B904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58C0EA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DB0605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154A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EBC3CFF">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FF26AB6">
            <w:pPr>
              <w:widowControl/>
              <w:jc w:val="left"/>
              <w:textAlignment w:val="center"/>
              <w:rPr>
                <w:rFonts w:hint="eastAsia" w:ascii="仿宋" w:hAnsi="仿宋" w:eastAsia="仿宋"/>
                <w:bCs/>
                <w:szCs w:val="21"/>
              </w:rPr>
            </w:pPr>
            <w:r>
              <w:rPr>
                <w:rFonts w:ascii="仿宋" w:hAnsi="仿宋" w:eastAsia="仿宋"/>
                <w:bCs/>
                <w:szCs w:val="21"/>
              </w:rPr>
              <w:t>质量指标统计</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16C56BBB">
            <w:pPr>
              <w:widowControl/>
              <w:jc w:val="left"/>
              <w:textAlignment w:val="center"/>
              <w:rPr>
                <w:rFonts w:hint="eastAsia" w:ascii="仿宋" w:hAnsi="仿宋" w:eastAsia="仿宋"/>
                <w:bCs/>
                <w:szCs w:val="21"/>
              </w:rPr>
            </w:pPr>
            <w:r>
              <w:rPr>
                <w:rFonts w:hint="eastAsia" w:ascii="仿宋" w:hAnsi="仿宋" w:eastAsia="仿宋"/>
                <w:bCs/>
                <w:szCs w:val="21"/>
              </w:rPr>
              <w:t>统计差错率、退回率、节点时限符合率等质量指标，辅助质量管理。</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E411EA7">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E95441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219F3B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98EF1C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ECE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429E8467">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34D45F0">
            <w:pPr>
              <w:widowControl/>
              <w:jc w:val="left"/>
              <w:textAlignment w:val="center"/>
              <w:rPr>
                <w:rFonts w:hint="eastAsia" w:ascii="仿宋" w:hAnsi="仿宋" w:eastAsia="仿宋"/>
                <w:bCs/>
                <w:szCs w:val="21"/>
              </w:rPr>
            </w:pPr>
            <w:r>
              <w:rPr>
                <w:rFonts w:ascii="仿宋" w:hAnsi="仿宋" w:eastAsia="仿宋"/>
                <w:bCs/>
                <w:szCs w:val="21"/>
              </w:rPr>
              <w:t>物流数据统计</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1B7AD6C5">
            <w:pPr>
              <w:widowControl/>
              <w:jc w:val="left"/>
              <w:textAlignment w:val="center"/>
              <w:rPr>
                <w:rFonts w:hint="eastAsia" w:ascii="仿宋" w:hAnsi="仿宋" w:eastAsia="仿宋"/>
                <w:bCs/>
                <w:szCs w:val="21"/>
              </w:rPr>
            </w:pPr>
            <w:r>
              <w:rPr>
                <w:rFonts w:ascii="仿宋" w:hAnsi="仿宋" w:eastAsia="仿宋"/>
                <w:bCs/>
                <w:szCs w:val="21"/>
              </w:rPr>
              <w:t>查询统计物流数据，如物流时间符合率、冷链数据等。</w:t>
            </w:r>
          </w:p>
        </w:tc>
        <w:tc>
          <w:tcPr>
            <w:tcW w:w="752" w:type="dxa"/>
            <w:tcBorders>
              <w:top w:val="single" w:color="auto" w:sz="4" w:space="0"/>
              <w:left w:val="single" w:color="auto" w:sz="4" w:space="0"/>
              <w:bottom w:val="single" w:color="auto" w:sz="4" w:space="0"/>
              <w:right w:val="single" w:color="auto" w:sz="4" w:space="0"/>
            </w:tcBorders>
            <w:noWrap w:val="0"/>
            <w:vAlign w:val="top"/>
          </w:tcPr>
          <w:p w14:paraId="3D85E72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A447B8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24507C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A70187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A5D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restart"/>
            <w:tcBorders>
              <w:left w:val="single" w:color="auto" w:sz="4" w:space="0"/>
              <w:right w:val="single" w:color="auto" w:sz="4" w:space="0"/>
            </w:tcBorders>
            <w:noWrap w:val="0"/>
            <w:vAlign w:val="center"/>
          </w:tcPr>
          <w:p w14:paraId="5A25E90A">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r>
              <w:rPr>
                <w:rFonts w:hint="eastAsia" w:ascii="仿宋" w:hAnsi="仿宋" w:eastAsia="仿宋"/>
                <w:bCs/>
                <w:sz w:val="21"/>
                <w:szCs w:val="21"/>
              </w:rPr>
              <w:t>药库管理</w:t>
            </w:r>
          </w:p>
        </w:tc>
        <w:tc>
          <w:tcPr>
            <w:tcW w:w="1161" w:type="dxa"/>
            <w:vMerge w:val="restart"/>
            <w:tcBorders>
              <w:top w:val="single" w:color="auto" w:sz="4" w:space="0"/>
              <w:left w:val="single" w:color="auto" w:sz="4" w:space="0"/>
              <w:bottom w:val="single" w:color="auto" w:sz="4" w:space="0"/>
              <w:right w:val="single" w:color="auto" w:sz="4" w:space="0"/>
            </w:tcBorders>
            <w:shd w:val="clear"/>
            <w:noWrap w:val="0"/>
            <w:vAlign w:val="center"/>
          </w:tcPr>
          <w:p w14:paraId="26536968">
            <w:pPr>
              <w:widowControl/>
              <w:jc w:val="left"/>
              <w:textAlignment w:val="center"/>
              <w:rPr>
                <w:rFonts w:ascii="仿宋" w:hAnsi="仿宋" w:eastAsia="仿宋"/>
                <w:bCs/>
                <w:szCs w:val="21"/>
              </w:rPr>
            </w:pPr>
            <w:r>
              <w:rPr>
                <w:rFonts w:ascii="仿宋" w:hAnsi="仿宋" w:eastAsia="仿宋"/>
                <w:bCs/>
                <w:szCs w:val="21"/>
              </w:rPr>
              <w:t>药品库存流程管理</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22FBF114">
            <w:pPr>
              <w:widowControl/>
              <w:jc w:val="left"/>
              <w:textAlignment w:val="center"/>
              <w:rPr>
                <w:rFonts w:ascii="仿宋" w:hAnsi="仿宋" w:eastAsia="仿宋"/>
                <w:bCs/>
                <w:szCs w:val="21"/>
              </w:rPr>
            </w:pPr>
            <w:r>
              <w:rPr>
                <w:rFonts w:hint="eastAsia" w:ascii="仿宋" w:hAnsi="仿宋" w:eastAsia="仿宋"/>
                <w:bCs/>
                <w:szCs w:val="21"/>
              </w:rPr>
              <w:t>支持</w:t>
            </w:r>
            <w:r>
              <w:rPr>
                <w:rFonts w:ascii="仿宋" w:hAnsi="仿宋" w:eastAsia="仿宋"/>
                <w:bCs/>
                <w:szCs w:val="21"/>
              </w:rPr>
              <w:t xml:space="preserve">HIS </w:t>
            </w:r>
            <w:r>
              <w:rPr>
                <w:rFonts w:hint="eastAsia" w:ascii="仿宋" w:hAnsi="仿宋" w:eastAsia="仿宋"/>
                <w:bCs/>
                <w:szCs w:val="21"/>
              </w:rPr>
              <w:t>为药品库存唯一主数据源，本共享中药房软件不独立管理饮片采购、入库、盘点、调价、效期主台账；共享中药房系统内的药品信息只能从</w:t>
            </w:r>
            <w:r>
              <w:rPr>
                <w:rFonts w:ascii="仿宋" w:hAnsi="仿宋" w:eastAsia="仿宋"/>
                <w:bCs/>
                <w:szCs w:val="21"/>
              </w:rPr>
              <w:t xml:space="preserve"> HIS </w:t>
            </w:r>
            <w:r>
              <w:rPr>
                <w:rFonts w:hint="eastAsia" w:ascii="仿宋" w:hAnsi="仿宋" w:eastAsia="仿宋"/>
                <w:bCs/>
                <w:szCs w:val="21"/>
              </w:rPr>
              <w:t>同步，不允许在共享中药房新增、修改药品基础信息、库存数量。</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12BE74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21D793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A93AC4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8D2075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3A7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7DB5763E">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vMerge w:val="continue"/>
            <w:tcBorders>
              <w:top w:val="single" w:color="auto" w:sz="4" w:space="0"/>
              <w:left w:val="single" w:color="auto" w:sz="4" w:space="0"/>
              <w:bottom w:val="single" w:color="auto" w:sz="4" w:space="0"/>
              <w:right w:val="single" w:color="auto" w:sz="4" w:space="0"/>
            </w:tcBorders>
            <w:shd w:val="clear"/>
            <w:noWrap w:val="0"/>
            <w:vAlign w:val="center"/>
          </w:tcPr>
          <w:p w14:paraId="71ABA5B5">
            <w:pPr>
              <w:widowControl/>
              <w:jc w:val="left"/>
              <w:textAlignment w:val="center"/>
              <w:rPr>
                <w:rFonts w:ascii="仿宋" w:hAnsi="仿宋" w:eastAsia="仿宋"/>
                <w:bCs/>
                <w:szCs w:val="21"/>
              </w:rPr>
            </w:pP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1D303B1A">
            <w:pPr>
              <w:widowControl/>
              <w:jc w:val="left"/>
              <w:textAlignment w:val="center"/>
              <w:rPr>
                <w:rFonts w:ascii="仿宋" w:hAnsi="仿宋" w:eastAsia="仿宋"/>
                <w:bCs/>
                <w:szCs w:val="21"/>
              </w:rPr>
            </w:pPr>
            <w:r>
              <w:rPr>
                <w:rFonts w:hint="eastAsia" w:ascii="仿宋" w:hAnsi="仿宋" w:eastAsia="仿宋"/>
                <w:bCs/>
                <w:szCs w:val="21"/>
              </w:rPr>
              <w:t>支持共享中药房仅管理调剂临时占用量：处方进入调剂环节时，标记饮片临时占用；仅用于药房内部作业管控，不作为真实库存账；HIS 库存不受临时占用影响，最终库存变动必须由 HIS 执行。</w:t>
            </w:r>
          </w:p>
        </w:tc>
        <w:tc>
          <w:tcPr>
            <w:tcW w:w="752" w:type="dxa"/>
            <w:tcBorders>
              <w:top w:val="single" w:color="auto" w:sz="4" w:space="0"/>
              <w:left w:val="single" w:color="auto" w:sz="4" w:space="0"/>
              <w:bottom w:val="single" w:color="auto" w:sz="4" w:space="0"/>
              <w:right w:val="single" w:color="auto" w:sz="4" w:space="0"/>
            </w:tcBorders>
            <w:noWrap w:val="0"/>
            <w:vAlign w:val="top"/>
          </w:tcPr>
          <w:p w14:paraId="2C2B9D5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1C77C84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EB293B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4B721FC0">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42A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67D42BE2">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vMerge w:val="continue"/>
            <w:tcBorders>
              <w:top w:val="single" w:color="auto" w:sz="4" w:space="0"/>
              <w:left w:val="single" w:color="auto" w:sz="4" w:space="0"/>
              <w:bottom w:val="single" w:color="auto" w:sz="4" w:space="0"/>
              <w:right w:val="single" w:color="auto" w:sz="4" w:space="0"/>
            </w:tcBorders>
            <w:shd w:val="clear"/>
            <w:noWrap w:val="0"/>
            <w:vAlign w:val="center"/>
          </w:tcPr>
          <w:p w14:paraId="76F20545">
            <w:pPr>
              <w:widowControl/>
              <w:jc w:val="left"/>
              <w:textAlignment w:val="center"/>
              <w:rPr>
                <w:rFonts w:ascii="仿宋" w:hAnsi="仿宋" w:eastAsia="仿宋"/>
                <w:bCs/>
                <w:szCs w:val="21"/>
              </w:rPr>
            </w:pP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2CEFC0F9">
            <w:pPr>
              <w:widowControl/>
              <w:jc w:val="left"/>
              <w:textAlignment w:val="center"/>
              <w:rPr>
                <w:rFonts w:ascii="仿宋" w:hAnsi="仿宋" w:eastAsia="仿宋"/>
                <w:bCs/>
                <w:szCs w:val="21"/>
              </w:rPr>
            </w:pPr>
            <w:r>
              <w:rPr>
                <w:rFonts w:hint="eastAsia" w:ascii="仿宋" w:hAnsi="仿宋" w:eastAsia="仿宋"/>
                <w:bCs/>
                <w:szCs w:val="21"/>
              </w:rPr>
              <w:t>支持库存校验机制：药师开始调剂前，系统调用 HIS 实时库存接口校验；HIS 库存不足，系统拦截调剂任务并告警，提示药师。</w:t>
            </w:r>
          </w:p>
        </w:tc>
        <w:tc>
          <w:tcPr>
            <w:tcW w:w="752" w:type="dxa"/>
            <w:tcBorders>
              <w:top w:val="single" w:color="auto" w:sz="4" w:space="0"/>
              <w:left w:val="single" w:color="auto" w:sz="4" w:space="0"/>
              <w:bottom w:val="single" w:color="auto" w:sz="4" w:space="0"/>
              <w:right w:val="single" w:color="auto" w:sz="4" w:space="0"/>
            </w:tcBorders>
            <w:noWrap w:val="0"/>
            <w:vAlign w:val="top"/>
          </w:tcPr>
          <w:p w14:paraId="5DCF207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7B6063C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D95C63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1CC73B6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6398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2EE0D556">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vMerge w:val="continue"/>
            <w:tcBorders>
              <w:top w:val="single" w:color="auto" w:sz="4" w:space="0"/>
              <w:left w:val="single" w:color="auto" w:sz="4" w:space="0"/>
              <w:bottom w:val="single" w:color="auto" w:sz="4" w:space="0"/>
              <w:right w:val="single" w:color="auto" w:sz="4" w:space="0"/>
            </w:tcBorders>
            <w:shd w:val="clear"/>
            <w:noWrap w:val="0"/>
            <w:vAlign w:val="center"/>
          </w:tcPr>
          <w:p w14:paraId="6D517035">
            <w:pPr>
              <w:widowControl/>
              <w:jc w:val="left"/>
              <w:textAlignment w:val="center"/>
              <w:rPr>
                <w:rFonts w:ascii="仿宋" w:hAnsi="仿宋" w:eastAsia="仿宋"/>
                <w:bCs/>
                <w:szCs w:val="21"/>
              </w:rPr>
            </w:pP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5EBE37B4">
            <w:pPr>
              <w:widowControl/>
              <w:jc w:val="left"/>
              <w:textAlignment w:val="center"/>
              <w:rPr>
                <w:rFonts w:ascii="仿宋" w:hAnsi="仿宋" w:eastAsia="仿宋"/>
                <w:bCs/>
                <w:szCs w:val="21"/>
              </w:rPr>
            </w:pPr>
            <w:r>
              <w:rPr>
                <w:rFonts w:hint="eastAsia" w:ascii="仿宋" w:hAnsi="仿宋" w:eastAsia="仿宋"/>
                <w:bCs/>
                <w:szCs w:val="21"/>
              </w:rPr>
              <w:t>支持批次信息同步：从 HIS 同步饮片批号、效期、产地信息，调剂时可选择对应批次，批次信息随处方记录保存；批次变更仍在 HIS 维护。</w:t>
            </w:r>
          </w:p>
        </w:tc>
        <w:tc>
          <w:tcPr>
            <w:tcW w:w="752" w:type="dxa"/>
            <w:tcBorders>
              <w:top w:val="single" w:color="auto" w:sz="4" w:space="0"/>
              <w:left w:val="single" w:color="auto" w:sz="4" w:space="0"/>
              <w:bottom w:val="single" w:color="auto" w:sz="4" w:space="0"/>
              <w:right w:val="single" w:color="auto" w:sz="4" w:space="0"/>
            </w:tcBorders>
            <w:noWrap w:val="0"/>
            <w:vAlign w:val="top"/>
          </w:tcPr>
          <w:p w14:paraId="1C80FAC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741C1B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E2020B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3790E0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739AF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0D4BDC51">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vMerge w:val="continue"/>
            <w:tcBorders>
              <w:top w:val="single" w:color="auto" w:sz="4" w:space="0"/>
              <w:left w:val="single" w:color="auto" w:sz="4" w:space="0"/>
              <w:bottom w:val="single" w:color="auto" w:sz="4" w:space="0"/>
              <w:right w:val="single" w:color="auto" w:sz="4" w:space="0"/>
            </w:tcBorders>
            <w:shd w:val="clear"/>
            <w:noWrap w:val="0"/>
            <w:vAlign w:val="center"/>
          </w:tcPr>
          <w:p w14:paraId="66BB2034">
            <w:pPr>
              <w:widowControl/>
              <w:jc w:val="left"/>
              <w:textAlignment w:val="center"/>
              <w:rPr>
                <w:rFonts w:ascii="仿宋" w:hAnsi="仿宋" w:eastAsia="仿宋"/>
                <w:bCs/>
                <w:szCs w:val="21"/>
              </w:rPr>
            </w:pP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1C59A640">
            <w:pPr>
              <w:widowControl/>
              <w:jc w:val="left"/>
              <w:textAlignment w:val="center"/>
              <w:rPr>
                <w:rFonts w:ascii="仿宋" w:hAnsi="仿宋" w:eastAsia="仿宋"/>
                <w:bCs/>
                <w:szCs w:val="21"/>
              </w:rPr>
            </w:pPr>
            <w:r>
              <w:rPr>
                <w:rFonts w:hint="eastAsia" w:ascii="仿宋" w:hAnsi="仿宋" w:eastAsia="仿宋"/>
                <w:bCs/>
                <w:szCs w:val="21"/>
              </w:rPr>
              <w:t>支持库存对账：共享中药房可生成发药明细、退药明细，导出后与 HIS 库存变动明细对账；共享中药房不生成独立库存盘点账，盘点工作在 HIS 完成。</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4871C4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FD695A2">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C07957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755C727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ADD9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vMerge w:val="continue"/>
            <w:tcBorders>
              <w:left w:val="single" w:color="auto" w:sz="4" w:space="0"/>
              <w:right w:val="single" w:color="auto" w:sz="4" w:space="0"/>
            </w:tcBorders>
            <w:noWrap w:val="0"/>
            <w:vAlign w:val="center"/>
          </w:tcPr>
          <w:p w14:paraId="2E22605D">
            <w:pPr>
              <w:pStyle w:val="18"/>
              <w:widowControl/>
              <w:kinsoku w:val="0"/>
              <w:overflowPunct w:val="0"/>
              <w:spacing w:line="400" w:lineRule="exact"/>
              <w:rPr>
                <w:rFonts w:hint="eastAsia" w:ascii="仿宋" w:hAnsi="仿宋" w:eastAsia="仿宋" w:cs="Times New Roman"/>
                <w:bCs/>
                <w:kern w:val="2"/>
                <w:sz w:val="21"/>
                <w:szCs w:val="21"/>
                <w:lang w:val="en-US" w:eastAsia="zh-CN" w:bidi="ar-SA"/>
              </w:rPr>
            </w:pPr>
          </w:p>
        </w:tc>
        <w:tc>
          <w:tcPr>
            <w:tcW w:w="1161" w:type="dxa"/>
            <w:vMerge w:val="continue"/>
            <w:tcBorders>
              <w:top w:val="single" w:color="auto" w:sz="4" w:space="0"/>
              <w:left w:val="single" w:color="auto" w:sz="4" w:space="0"/>
              <w:bottom w:val="single" w:color="auto" w:sz="4" w:space="0"/>
              <w:right w:val="single" w:color="auto" w:sz="4" w:space="0"/>
            </w:tcBorders>
            <w:shd w:val="clear"/>
            <w:noWrap w:val="0"/>
            <w:vAlign w:val="center"/>
          </w:tcPr>
          <w:p w14:paraId="4608BE33">
            <w:pPr>
              <w:widowControl/>
              <w:jc w:val="left"/>
              <w:textAlignment w:val="center"/>
              <w:rPr>
                <w:rFonts w:ascii="仿宋" w:hAnsi="仿宋" w:eastAsia="仿宋"/>
                <w:bCs/>
                <w:szCs w:val="21"/>
              </w:rPr>
            </w:pP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0125026C">
            <w:pPr>
              <w:widowControl/>
              <w:jc w:val="left"/>
              <w:textAlignment w:val="center"/>
              <w:rPr>
                <w:rFonts w:ascii="仿宋" w:hAnsi="仿宋" w:eastAsia="仿宋"/>
                <w:bCs/>
                <w:szCs w:val="21"/>
              </w:rPr>
            </w:pPr>
            <w:r>
              <w:rPr>
                <w:rFonts w:hint="eastAsia" w:ascii="仿宋" w:hAnsi="仿宋" w:eastAsia="仿宋"/>
                <w:bCs/>
                <w:szCs w:val="21"/>
              </w:rPr>
              <w:t>支持库存异常告警：接口中断、HIS 库存校验失败、占用量异常时系统弹窗 + 消息告警，通知药房管理员。</w:t>
            </w:r>
          </w:p>
        </w:tc>
        <w:tc>
          <w:tcPr>
            <w:tcW w:w="752" w:type="dxa"/>
            <w:tcBorders>
              <w:top w:val="single" w:color="auto" w:sz="4" w:space="0"/>
              <w:left w:val="single" w:color="auto" w:sz="4" w:space="0"/>
              <w:bottom w:val="single" w:color="auto" w:sz="4" w:space="0"/>
              <w:right w:val="single" w:color="auto" w:sz="4" w:space="0"/>
            </w:tcBorders>
            <w:noWrap w:val="0"/>
            <w:vAlign w:val="top"/>
          </w:tcPr>
          <w:p w14:paraId="6187070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882387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AE1B0D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54E6CFD">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044E8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tcBorders>
              <w:left w:val="single" w:color="auto" w:sz="4" w:space="0"/>
              <w:right w:val="single" w:color="auto" w:sz="4" w:space="0"/>
            </w:tcBorders>
            <w:noWrap w:val="0"/>
            <w:vAlign w:val="center"/>
          </w:tcPr>
          <w:p w14:paraId="14D4F0EF">
            <w:pPr>
              <w:widowControl/>
              <w:jc w:val="left"/>
              <w:textAlignment w:val="center"/>
              <w:rPr>
                <w:rFonts w:hint="eastAsia" w:ascii="仿宋" w:hAnsi="仿宋" w:eastAsia="仿宋" w:cs="Times New Roman"/>
                <w:bCs/>
                <w:kern w:val="2"/>
                <w:sz w:val="21"/>
                <w:szCs w:val="21"/>
                <w:lang w:val="en-US" w:eastAsia="zh-CN" w:bidi="ar-SA"/>
              </w:rPr>
            </w:pPr>
            <w:r>
              <w:rPr>
                <w:rFonts w:hint="eastAsia" w:ascii="仿宋" w:hAnsi="仿宋" w:eastAsia="仿宋"/>
                <w:bCs/>
                <w:szCs w:val="21"/>
              </w:rPr>
              <w:t>系统管理</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08B5F943">
            <w:pPr>
              <w:widowControl/>
              <w:jc w:val="left"/>
              <w:textAlignment w:val="center"/>
              <w:rPr>
                <w:rFonts w:ascii="仿宋" w:hAnsi="仿宋" w:eastAsia="仿宋"/>
                <w:bCs/>
                <w:szCs w:val="21"/>
              </w:rPr>
            </w:pPr>
            <w:r>
              <w:rPr>
                <w:rFonts w:hint="eastAsia" w:ascii="仿宋" w:hAnsi="仿宋" w:eastAsia="仿宋"/>
                <w:bCs/>
                <w:szCs w:val="21"/>
              </w:rPr>
              <w:t>系统管理</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7383EB96">
            <w:pPr>
              <w:widowControl/>
              <w:jc w:val="left"/>
              <w:textAlignment w:val="center"/>
              <w:rPr>
                <w:rFonts w:hint="eastAsia" w:ascii="仿宋" w:hAnsi="仿宋" w:eastAsia="仿宋"/>
                <w:bCs/>
                <w:szCs w:val="21"/>
              </w:rPr>
            </w:pPr>
            <w:r>
              <w:rPr>
                <w:rFonts w:hint="eastAsia" w:ascii="仿宋" w:hAnsi="仿宋" w:eastAsia="仿宋"/>
                <w:bCs/>
                <w:szCs w:val="21"/>
              </w:rPr>
              <w:t>系统须提供包括但不限于权限管理、角色管理、基础字典维护、人员账户注册、口令密码复杂度设置、个人隐私数据脱敏设置、报表设置、导出打印设置等基础配套功能。</w:t>
            </w:r>
          </w:p>
        </w:tc>
        <w:tc>
          <w:tcPr>
            <w:tcW w:w="752" w:type="dxa"/>
            <w:tcBorders>
              <w:top w:val="single" w:color="auto" w:sz="4" w:space="0"/>
              <w:left w:val="single" w:color="auto" w:sz="4" w:space="0"/>
              <w:bottom w:val="single" w:color="auto" w:sz="4" w:space="0"/>
              <w:right w:val="single" w:color="auto" w:sz="4" w:space="0"/>
            </w:tcBorders>
            <w:noWrap w:val="0"/>
            <w:vAlign w:val="top"/>
          </w:tcPr>
          <w:p w14:paraId="3E706E4A">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69A2CB4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F4C7891">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32B51F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22E62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tcBorders>
              <w:left w:val="single" w:color="auto" w:sz="4" w:space="0"/>
              <w:right w:val="single" w:color="auto" w:sz="4" w:space="0"/>
            </w:tcBorders>
            <w:noWrap w:val="0"/>
            <w:vAlign w:val="center"/>
          </w:tcPr>
          <w:p w14:paraId="5FBB249A">
            <w:pPr>
              <w:widowControl/>
              <w:jc w:val="left"/>
              <w:textAlignment w:val="center"/>
              <w:rPr>
                <w:rFonts w:hint="eastAsia" w:ascii="仿宋" w:hAnsi="仿宋" w:eastAsia="仿宋" w:cs="Times New Roman"/>
                <w:bCs/>
                <w:kern w:val="2"/>
                <w:sz w:val="21"/>
                <w:szCs w:val="21"/>
                <w:lang w:val="en-US" w:eastAsia="zh-CN" w:bidi="ar-SA"/>
              </w:rPr>
            </w:pPr>
            <w:r>
              <w:rPr>
                <w:rFonts w:hint="eastAsia" w:ascii="仿宋" w:hAnsi="仿宋" w:eastAsia="仿宋"/>
                <w:bCs/>
                <w:szCs w:val="21"/>
              </w:rPr>
              <w:t>硬件设备</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49E8FB9B">
            <w:pPr>
              <w:widowControl/>
              <w:jc w:val="left"/>
              <w:textAlignment w:val="center"/>
              <w:rPr>
                <w:rFonts w:ascii="仿宋" w:hAnsi="仿宋" w:eastAsia="仿宋"/>
                <w:bCs/>
                <w:szCs w:val="21"/>
              </w:rPr>
            </w:pPr>
            <w:r>
              <w:rPr>
                <w:rFonts w:hint="eastAsia" w:ascii="仿宋" w:hAnsi="仿宋" w:eastAsia="仿宋"/>
                <w:bCs/>
                <w:szCs w:val="21"/>
              </w:rPr>
              <w:t>系统配套平板电脑</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1356F374">
            <w:pPr>
              <w:widowControl/>
              <w:jc w:val="left"/>
              <w:textAlignment w:val="center"/>
              <w:rPr>
                <w:rFonts w:hint="eastAsia" w:ascii="仿宋" w:hAnsi="仿宋" w:eastAsia="仿宋"/>
                <w:bCs/>
                <w:szCs w:val="21"/>
              </w:rPr>
            </w:pPr>
            <w:r>
              <w:rPr>
                <w:rFonts w:hint="eastAsia" w:ascii="仿宋" w:hAnsi="仿宋" w:eastAsia="仿宋"/>
                <w:bCs/>
                <w:szCs w:val="21"/>
              </w:rPr>
              <w:t>数量：20台。</w:t>
            </w:r>
          </w:p>
          <w:p w14:paraId="206BBBD8">
            <w:pPr>
              <w:widowControl/>
              <w:jc w:val="left"/>
              <w:textAlignment w:val="center"/>
              <w:rPr>
                <w:rFonts w:hint="eastAsia" w:ascii="仿宋" w:hAnsi="仿宋" w:eastAsia="仿宋"/>
                <w:bCs/>
                <w:szCs w:val="21"/>
              </w:rPr>
            </w:pPr>
            <w:r>
              <w:rPr>
                <w:rFonts w:hint="eastAsia" w:ascii="仿宋" w:hAnsi="仿宋" w:eastAsia="仿宋"/>
                <w:bCs/>
                <w:szCs w:val="21"/>
                <w:lang w:val="en-US" w:eastAsia="zh-CN"/>
              </w:rPr>
              <w:t>移动工作站APP：支持药房人员全流程平板操作。</w:t>
            </w:r>
            <w:r>
              <w:rPr>
                <w:rFonts w:hint="eastAsia" w:ascii="仿宋" w:hAnsi="仿宋" w:eastAsia="仿宋"/>
                <w:bCs/>
                <w:szCs w:val="21"/>
              </w:rPr>
              <w:br w:type="textWrapping"/>
            </w:r>
            <w:r>
              <w:rPr>
                <w:rFonts w:hint="eastAsia" w:ascii="仿宋" w:hAnsi="仿宋" w:eastAsia="仿宋"/>
                <w:bCs/>
                <w:szCs w:val="21"/>
              </w:rPr>
              <w:t>支持安卓（Android12以上版本）及国产系统。</w:t>
            </w:r>
            <w:r>
              <w:rPr>
                <w:rFonts w:hint="eastAsia" w:ascii="仿宋" w:hAnsi="仿宋" w:eastAsia="仿宋"/>
                <w:bCs/>
                <w:szCs w:val="21"/>
              </w:rPr>
              <w:br w:type="textWrapping"/>
            </w:r>
            <w:r>
              <w:rPr>
                <w:rFonts w:hint="eastAsia" w:ascii="仿宋" w:hAnsi="仿宋" w:eastAsia="仿宋"/>
                <w:bCs/>
                <w:szCs w:val="21"/>
              </w:rPr>
              <w:t>处理器:八核处理器，频率&gt;2.2GHZ、运行内存≥8GBRAM、储存内存≥64GB ROM。</w:t>
            </w:r>
            <w:r>
              <w:rPr>
                <w:rFonts w:hint="eastAsia" w:ascii="仿宋" w:hAnsi="仿宋" w:eastAsia="仿宋"/>
                <w:bCs/>
                <w:szCs w:val="21"/>
              </w:rPr>
              <w:br w:type="textWrapping"/>
            </w:r>
            <w:r>
              <w:rPr>
                <w:rFonts w:hint="eastAsia" w:ascii="仿宋" w:hAnsi="仿宋" w:eastAsia="仿宋"/>
                <w:bCs/>
                <w:szCs w:val="21"/>
              </w:rPr>
              <w:t>续航能力:可充电的锂离子电池，容量≥9800mAh，工作时间≥12小时、具有Type-C接口。</w:t>
            </w:r>
            <w:r>
              <w:rPr>
                <w:rFonts w:hint="eastAsia" w:ascii="仿宋" w:hAnsi="仿宋" w:eastAsia="仿宋"/>
                <w:bCs/>
                <w:szCs w:val="21"/>
              </w:rPr>
              <w:br w:type="textWrapping"/>
            </w:r>
            <w:r>
              <w:rPr>
                <w:rFonts w:hint="eastAsia" w:ascii="仿宋" w:hAnsi="仿宋" w:eastAsia="仿宋"/>
                <w:bCs/>
                <w:szCs w:val="21"/>
              </w:rPr>
              <w:t>屏幕尺寸:≥7.9英寸、 屏幕分辨率:分辨率&gt;1920*1200。</w:t>
            </w:r>
            <w:r>
              <w:rPr>
                <w:rFonts w:hint="eastAsia" w:ascii="仿宋" w:hAnsi="仿宋" w:eastAsia="仿宋"/>
                <w:bCs/>
                <w:szCs w:val="21"/>
              </w:rPr>
              <w:br w:type="textWrapping"/>
            </w:r>
            <w:r>
              <w:rPr>
                <w:rFonts w:hint="eastAsia" w:ascii="仿宋" w:hAnsi="仿宋" w:eastAsia="仿宋"/>
                <w:bCs/>
                <w:szCs w:val="21"/>
              </w:rPr>
              <w:t>摄像头:前置≥500万像素;后置&gt;1300万像素，自动对焦摄像头。</w:t>
            </w:r>
            <w:r>
              <w:rPr>
                <w:rFonts w:hint="eastAsia" w:ascii="仿宋" w:hAnsi="仿宋" w:eastAsia="仿宋"/>
                <w:bCs/>
                <w:szCs w:val="21"/>
              </w:rPr>
              <w:br w:type="textWrapping"/>
            </w:r>
            <w:r>
              <w:rPr>
                <w:rFonts w:hint="eastAsia" w:ascii="仿宋" w:hAnsi="仿宋" w:eastAsia="仿宋"/>
                <w:bCs/>
                <w:szCs w:val="21"/>
              </w:rPr>
              <w:t>防水防尘工业等级≥IP65。</w:t>
            </w:r>
            <w:r>
              <w:rPr>
                <w:rFonts w:hint="eastAsia" w:ascii="仿宋" w:hAnsi="仿宋" w:eastAsia="仿宋"/>
                <w:bCs/>
                <w:szCs w:val="21"/>
              </w:rPr>
              <w:br w:type="textWrapping"/>
            </w:r>
            <w:r>
              <w:rPr>
                <w:rFonts w:hint="eastAsia" w:ascii="仿宋" w:hAnsi="仿宋" w:eastAsia="仿宋"/>
                <w:bCs/>
                <w:szCs w:val="21"/>
              </w:rPr>
              <w:t>WIFI网络:支持802.11a/b/g/n/ac协议，2.4G/5G双频。</w:t>
            </w:r>
            <w:r>
              <w:rPr>
                <w:rFonts w:hint="eastAsia" w:ascii="仿宋" w:hAnsi="仿宋" w:eastAsia="仿宋"/>
                <w:bCs/>
                <w:szCs w:val="21"/>
              </w:rPr>
              <w:br w:type="textWrapping"/>
            </w:r>
            <w:r>
              <w:rPr>
                <w:rFonts w:hint="eastAsia" w:ascii="仿宋" w:hAnsi="仿宋" w:eastAsia="仿宋"/>
                <w:bCs/>
                <w:szCs w:val="21"/>
              </w:rPr>
              <w:t>蓝牙网络:B1uetooth 5.1(支持 BLE)。</w:t>
            </w:r>
          </w:p>
        </w:tc>
        <w:tc>
          <w:tcPr>
            <w:tcW w:w="752" w:type="dxa"/>
            <w:tcBorders>
              <w:top w:val="single" w:color="auto" w:sz="4" w:space="0"/>
              <w:left w:val="single" w:color="auto" w:sz="4" w:space="0"/>
              <w:bottom w:val="single" w:color="auto" w:sz="4" w:space="0"/>
              <w:right w:val="single" w:color="auto" w:sz="4" w:space="0"/>
            </w:tcBorders>
            <w:noWrap w:val="0"/>
            <w:vAlign w:val="top"/>
          </w:tcPr>
          <w:p w14:paraId="0666E66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D8350FC">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274122D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08697AE5">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4635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tcBorders>
              <w:left w:val="single" w:color="auto" w:sz="4" w:space="0"/>
              <w:right w:val="single" w:color="auto" w:sz="4" w:space="0"/>
            </w:tcBorders>
            <w:noWrap w:val="0"/>
            <w:vAlign w:val="center"/>
          </w:tcPr>
          <w:p w14:paraId="4A49E460">
            <w:pPr>
              <w:widowControl/>
              <w:jc w:val="left"/>
              <w:textAlignment w:val="center"/>
              <w:rPr>
                <w:rFonts w:hint="eastAsia" w:ascii="仿宋" w:hAnsi="仿宋" w:eastAsia="仿宋"/>
                <w:bCs/>
                <w:szCs w:val="21"/>
              </w:rPr>
            </w:pPr>
            <w:r>
              <w:rPr>
                <w:rFonts w:hint="eastAsia" w:ascii="仿宋" w:hAnsi="仿宋" w:eastAsia="仿宋"/>
                <w:bCs/>
                <w:szCs w:val="21"/>
              </w:rPr>
              <w:t>接口对接</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38A27C0A">
            <w:pPr>
              <w:widowControl/>
              <w:jc w:val="left"/>
              <w:textAlignment w:val="center"/>
              <w:rPr>
                <w:rFonts w:hint="eastAsia" w:ascii="仿宋" w:hAnsi="仿宋" w:eastAsia="仿宋"/>
                <w:bCs/>
                <w:szCs w:val="21"/>
              </w:rPr>
            </w:pPr>
            <w:r>
              <w:rPr>
                <w:rFonts w:hint="eastAsia" w:ascii="仿宋" w:hAnsi="仿宋" w:eastAsia="仿宋"/>
                <w:bCs/>
                <w:szCs w:val="21"/>
              </w:rPr>
              <w:t>支持接口对接</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06F6F512">
            <w:pPr>
              <w:widowControl/>
              <w:jc w:val="left"/>
              <w:textAlignment w:val="center"/>
              <w:rPr>
                <w:rFonts w:hint="eastAsia" w:ascii="仿宋" w:hAnsi="仿宋" w:eastAsia="仿宋"/>
                <w:bCs/>
                <w:szCs w:val="21"/>
                <w:lang w:val="en-US" w:eastAsia="zh-CN"/>
              </w:rPr>
            </w:pPr>
            <w:r>
              <w:rPr>
                <w:rFonts w:hint="eastAsia" w:ascii="仿宋" w:hAnsi="仿宋" w:eastAsia="仿宋"/>
                <w:bCs/>
                <w:szCs w:val="21"/>
              </w:rPr>
              <w:t>该项目可按照业务需要定制开发接口，包括但不限于对接安徽省中药饮片信息化追溯系统、我院集成平台、智能审方、合理用药、东华原煎药、HIS系统、互联网医院小程序、物流系统、基层医疗系统等后续实际业务中所需用到的接口。</w:t>
            </w:r>
          </w:p>
        </w:tc>
        <w:tc>
          <w:tcPr>
            <w:tcW w:w="752" w:type="dxa"/>
            <w:tcBorders>
              <w:top w:val="single" w:color="auto" w:sz="4" w:space="0"/>
              <w:left w:val="single" w:color="auto" w:sz="4" w:space="0"/>
              <w:bottom w:val="single" w:color="auto" w:sz="4" w:space="0"/>
              <w:right w:val="single" w:color="auto" w:sz="4" w:space="0"/>
            </w:tcBorders>
            <w:noWrap w:val="0"/>
            <w:vAlign w:val="top"/>
          </w:tcPr>
          <w:p w14:paraId="3696103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5330AE9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09AD93CB">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2EC6B5F">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r w14:paraId="5F4E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74" w:type="dxa"/>
            <w:tcBorders>
              <w:left w:val="single" w:color="auto" w:sz="4" w:space="0"/>
              <w:right w:val="single" w:color="auto" w:sz="4" w:space="0"/>
            </w:tcBorders>
            <w:noWrap w:val="0"/>
            <w:vAlign w:val="center"/>
          </w:tcPr>
          <w:p w14:paraId="4E59C90F">
            <w:pPr>
              <w:widowControl/>
              <w:jc w:val="left"/>
              <w:textAlignment w:val="center"/>
              <w:rPr>
                <w:rFonts w:hint="eastAsia" w:ascii="仿宋" w:hAnsi="仿宋" w:eastAsia="仿宋"/>
                <w:bCs/>
                <w:szCs w:val="21"/>
              </w:rPr>
            </w:pPr>
            <w:r>
              <w:rPr>
                <w:rFonts w:hint="eastAsia" w:ascii="仿宋" w:hAnsi="仿宋" w:eastAsia="仿宋"/>
                <w:bCs/>
                <w:szCs w:val="21"/>
              </w:rPr>
              <w:t>运维支持</w:t>
            </w:r>
          </w:p>
        </w:tc>
        <w:tc>
          <w:tcPr>
            <w:tcW w:w="1161" w:type="dxa"/>
            <w:tcBorders>
              <w:top w:val="single" w:color="auto" w:sz="4" w:space="0"/>
              <w:left w:val="single" w:color="auto" w:sz="4" w:space="0"/>
              <w:bottom w:val="single" w:color="auto" w:sz="4" w:space="0"/>
              <w:right w:val="single" w:color="auto" w:sz="4" w:space="0"/>
            </w:tcBorders>
            <w:shd w:val="clear"/>
            <w:noWrap w:val="0"/>
            <w:vAlign w:val="center"/>
          </w:tcPr>
          <w:p w14:paraId="7C74EC12">
            <w:pPr>
              <w:widowControl/>
              <w:jc w:val="left"/>
              <w:textAlignment w:val="center"/>
              <w:rPr>
                <w:rFonts w:hint="eastAsia" w:ascii="仿宋" w:hAnsi="仿宋" w:eastAsia="仿宋"/>
                <w:bCs/>
                <w:szCs w:val="21"/>
              </w:rPr>
            </w:pPr>
            <w:r>
              <w:rPr>
                <w:rFonts w:hint="eastAsia" w:ascii="仿宋" w:hAnsi="仿宋" w:eastAsia="仿宋"/>
                <w:bCs/>
                <w:szCs w:val="21"/>
              </w:rPr>
              <w:t>运维支持</w:t>
            </w:r>
          </w:p>
        </w:tc>
        <w:tc>
          <w:tcPr>
            <w:tcW w:w="4400" w:type="dxa"/>
            <w:tcBorders>
              <w:top w:val="single" w:color="auto" w:sz="4" w:space="0"/>
              <w:left w:val="single" w:color="auto" w:sz="4" w:space="0"/>
              <w:bottom w:val="single" w:color="auto" w:sz="4" w:space="0"/>
              <w:right w:val="single" w:color="auto" w:sz="4" w:space="0"/>
            </w:tcBorders>
            <w:shd w:val="clear"/>
            <w:noWrap w:val="0"/>
            <w:vAlign w:val="center"/>
          </w:tcPr>
          <w:p w14:paraId="4623E7AB">
            <w:pPr>
              <w:widowControl/>
              <w:jc w:val="left"/>
              <w:textAlignment w:val="center"/>
              <w:rPr>
                <w:rFonts w:hint="eastAsia" w:ascii="仿宋" w:hAnsi="仿宋" w:eastAsia="仿宋"/>
                <w:bCs/>
                <w:szCs w:val="21"/>
                <w:lang w:val="en-US" w:eastAsia="zh-CN"/>
              </w:rPr>
            </w:pPr>
            <w:r>
              <w:rPr>
                <w:rFonts w:hint="eastAsia" w:ascii="仿宋" w:hAnsi="仿宋" w:eastAsia="仿宋"/>
                <w:bCs/>
                <w:szCs w:val="21"/>
              </w:rPr>
              <w:t>7×24 小时技术支持；质保期内软件免费升级、bug 修复；远程支持 + 现场应急服务。</w:t>
            </w:r>
          </w:p>
        </w:tc>
        <w:tc>
          <w:tcPr>
            <w:tcW w:w="752" w:type="dxa"/>
            <w:tcBorders>
              <w:top w:val="single" w:color="auto" w:sz="4" w:space="0"/>
              <w:left w:val="single" w:color="auto" w:sz="4" w:space="0"/>
              <w:bottom w:val="single" w:color="auto" w:sz="4" w:space="0"/>
              <w:right w:val="single" w:color="auto" w:sz="4" w:space="0"/>
            </w:tcBorders>
            <w:noWrap w:val="0"/>
            <w:vAlign w:val="top"/>
          </w:tcPr>
          <w:p w14:paraId="7A7F90F3">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4A7ACC48">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78" w:type="dxa"/>
            <w:tcBorders>
              <w:left w:val="single" w:color="auto" w:sz="4" w:space="0"/>
              <w:right w:val="single" w:color="auto" w:sz="4" w:space="0"/>
            </w:tcBorders>
            <w:noWrap w:val="0"/>
            <w:vAlign w:val="center"/>
          </w:tcPr>
          <w:p w14:paraId="320CE429">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c>
          <w:tcPr>
            <w:tcW w:w="995" w:type="dxa"/>
            <w:tcBorders>
              <w:left w:val="single" w:color="auto" w:sz="4" w:space="0"/>
              <w:right w:val="single" w:color="auto" w:sz="4" w:space="0"/>
            </w:tcBorders>
            <w:noWrap w:val="0"/>
            <w:vAlign w:val="top"/>
          </w:tcPr>
          <w:p w14:paraId="5B63D94E">
            <w:pPr>
              <w:pStyle w:val="18"/>
              <w:widowControl/>
              <w:kinsoku w:val="0"/>
              <w:overflowPunct w:val="0"/>
              <w:spacing w:line="400" w:lineRule="exact"/>
              <w:jc w:val="center"/>
              <w:rPr>
                <w:rFonts w:hint="eastAsia" w:ascii="仿宋" w:hAnsi="仿宋" w:eastAsia="仿宋" w:cs="Times New Roman"/>
                <w:bCs/>
                <w:kern w:val="2"/>
                <w:sz w:val="21"/>
                <w:szCs w:val="21"/>
                <w:lang w:val="en-US" w:eastAsia="zh-CN" w:bidi="ar-SA"/>
              </w:rPr>
            </w:pPr>
          </w:p>
        </w:tc>
      </w:tr>
    </w:tbl>
    <w:p w14:paraId="38DFE316">
      <w:pPr>
        <w:pStyle w:val="18"/>
        <w:widowControl/>
        <w:kinsoku w:val="0"/>
        <w:overflowPunct w:val="0"/>
        <w:spacing w:line="400" w:lineRule="exact"/>
        <w:jc w:val="left"/>
        <w:rPr>
          <w:rFonts w:hint="eastAsia" w:ascii="仿宋" w:hAnsi="仿宋" w:eastAsia="仿宋" w:cs="Times New Roman"/>
          <w:bCs/>
          <w:kern w:val="2"/>
          <w:sz w:val="21"/>
          <w:szCs w:val="21"/>
          <w:lang w:val="en-US" w:eastAsia="zh-CN" w:bidi="ar-SA"/>
        </w:rPr>
      </w:pPr>
    </w:p>
    <w:p w14:paraId="5526FA9C">
      <w:pPr>
        <w:spacing w:line="320" w:lineRule="exact"/>
        <w:rPr>
          <w:rFonts w:hint="eastAsia" w:ascii="仿宋" w:hAnsi="仿宋" w:eastAsia="仿宋"/>
          <w:b/>
          <w:szCs w:val="21"/>
        </w:rPr>
      </w:pPr>
    </w:p>
    <w:p w14:paraId="3D85F72C">
      <w:pPr>
        <w:spacing w:line="320" w:lineRule="exact"/>
        <w:rPr>
          <w:rFonts w:hint="eastAsia" w:ascii="仿宋" w:hAnsi="仿宋" w:eastAsia="仿宋"/>
          <w:b/>
          <w:szCs w:val="21"/>
        </w:rPr>
      </w:pPr>
    </w:p>
    <w:p w14:paraId="7E75130B">
      <w:pPr>
        <w:spacing w:line="320" w:lineRule="exact"/>
        <w:rPr>
          <w:rFonts w:hint="eastAsia" w:ascii="仿宋" w:hAnsi="仿宋" w:eastAsia="仿宋"/>
          <w:b/>
          <w:szCs w:val="21"/>
        </w:rPr>
      </w:pPr>
    </w:p>
    <w:p w14:paraId="70939C52">
      <w:pPr>
        <w:spacing w:line="320" w:lineRule="exact"/>
        <w:rPr>
          <w:rFonts w:hint="eastAsia" w:ascii="仿宋" w:hAnsi="仿宋" w:eastAsia="仿宋"/>
          <w:b/>
          <w:szCs w:val="21"/>
        </w:rPr>
      </w:pPr>
    </w:p>
    <w:p w14:paraId="2942DC41">
      <w:pPr>
        <w:spacing w:line="320" w:lineRule="exact"/>
        <w:rPr>
          <w:rFonts w:hint="eastAsia" w:ascii="仿宋" w:hAnsi="仿宋" w:eastAsia="仿宋"/>
          <w:b/>
          <w:szCs w:val="21"/>
        </w:rPr>
      </w:pPr>
    </w:p>
    <w:p w14:paraId="24C4B7F9">
      <w:pPr>
        <w:spacing w:line="320" w:lineRule="exact"/>
        <w:rPr>
          <w:rFonts w:hint="eastAsia" w:ascii="仿宋" w:hAnsi="仿宋" w:eastAsia="仿宋"/>
          <w:b/>
          <w:szCs w:val="21"/>
        </w:rPr>
      </w:pPr>
    </w:p>
    <w:p w14:paraId="4665B2B5">
      <w:pPr>
        <w:spacing w:line="320" w:lineRule="exact"/>
        <w:rPr>
          <w:rFonts w:hint="eastAsia" w:ascii="仿宋" w:hAnsi="仿宋" w:eastAsia="仿宋"/>
          <w:b/>
          <w:szCs w:val="21"/>
        </w:rPr>
      </w:pPr>
    </w:p>
    <w:p w14:paraId="62589E00">
      <w:pPr>
        <w:spacing w:line="320" w:lineRule="exact"/>
        <w:rPr>
          <w:rFonts w:hint="eastAsia" w:ascii="仿宋" w:hAnsi="仿宋" w:eastAsia="仿宋"/>
          <w:b/>
          <w:szCs w:val="21"/>
        </w:rPr>
      </w:pPr>
    </w:p>
    <w:p w14:paraId="3BC26D3F">
      <w:pPr>
        <w:spacing w:line="320" w:lineRule="exact"/>
        <w:rPr>
          <w:rFonts w:hint="eastAsia" w:ascii="仿宋" w:hAnsi="仿宋" w:eastAsia="仿宋"/>
          <w:b/>
          <w:szCs w:val="21"/>
        </w:rPr>
      </w:pPr>
    </w:p>
    <w:p w14:paraId="1DA886B6">
      <w:pPr>
        <w:spacing w:line="320" w:lineRule="exact"/>
        <w:rPr>
          <w:rFonts w:hint="eastAsia" w:ascii="仿宋" w:hAnsi="仿宋" w:eastAsia="仿宋"/>
          <w:b/>
          <w:szCs w:val="21"/>
        </w:rPr>
      </w:pPr>
    </w:p>
    <w:p w14:paraId="3DAA5BF8">
      <w:pPr>
        <w:spacing w:line="320" w:lineRule="exact"/>
        <w:rPr>
          <w:rFonts w:hint="eastAsia" w:ascii="仿宋" w:hAnsi="仿宋" w:eastAsia="仿宋"/>
          <w:b/>
          <w:szCs w:val="21"/>
        </w:rPr>
      </w:pPr>
    </w:p>
    <w:p w14:paraId="3BD4D341">
      <w:pPr>
        <w:spacing w:line="320" w:lineRule="exact"/>
        <w:rPr>
          <w:rFonts w:hint="eastAsia" w:ascii="仿宋" w:hAnsi="仿宋" w:eastAsia="仿宋"/>
          <w:b/>
          <w:szCs w:val="21"/>
        </w:rPr>
      </w:pPr>
    </w:p>
    <w:p w14:paraId="2943ABDB">
      <w:pPr>
        <w:spacing w:line="320" w:lineRule="exact"/>
        <w:rPr>
          <w:rFonts w:hint="eastAsia" w:ascii="仿宋" w:hAnsi="仿宋" w:eastAsia="仿宋"/>
          <w:b/>
          <w:szCs w:val="21"/>
        </w:rPr>
      </w:pPr>
    </w:p>
    <w:p w14:paraId="2B1B0DB2">
      <w:pPr>
        <w:spacing w:line="320" w:lineRule="exact"/>
        <w:rPr>
          <w:rFonts w:hint="eastAsia" w:ascii="仿宋" w:hAnsi="仿宋" w:eastAsia="仿宋"/>
          <w:b/>
          <w:szCs w:val="21"/>
        </w:rPr>
      </w:pPr>
    </w:p>
    <w:p w14:paraId="7DC9CD06">
      <w:pPr>
        <w:spacing w:line="320" w:lineRule="exact"/>
        <w:rPr>
          <w:rFonts w:hint="eastAsia" w:ascii="仿宋" w:hAnsi="仿宋" w:eastAsia="仿宋"/>
          <w:b/>
          <w:szCs w:val="21"/>
        </w:rPr>
      </w:pPr>
    </w:p>
    <w:p w14:paraId="571F04D4">
      <w:pPr>
        <w:spacing w:line="320" w:lineRule="exact"/>
        <w:rPr>
          <w:rFonts w:hint="eastAsia" w:ascii="仿宋" w:hAnsi="仿宋" w:eastAsia="仿宋"/>
          <w:b/>
          <w:szCs w:val="21"/>
        </w:rPr>
      </w:pPr>
    </w:p>
    <w:p w14:paraId="7FA994CD">
      <w:pPr>
        <w:spacing w:line="320" w:lineRule="exact"/>
        <w:rPr>
          <w:rFonts w:hint="eastAsia" w:ascii="仿宋" w:hAnsi="仿宋" w:eastAsia="仿宋"/>
          <w:b/>
          <w:szCs w:val="21"/>
        </w:rPr>
      </w:pPr>
    </w:p>
    <w:p w14:paraId="6EC882D9">
      <w:pPr>
        <w:spacing w:line="320" w:lineRule="exact"/>
        <w:rPr>
          <w:rFonts w:hint="eastAsia" w:ascii="仿宋" w:hAnsi="仿宋" w:eastAsia="仿宋"/>
          <w:b/>
          <w:szCs w:val="21"/>
        </w:rPr>
      </w:pPr>
    </w:p>
    <w:p w14:paraId="3EFCBB8A">
      <w:pPr>
        <w:spacing w:line="280" w:lineRule="exact"/>
        <w:rPr>
          <w:rFonts w:hint="default" w:ascii="仿宋" w:hAnsi="仿宋" w:eastAsia="仿宋"/>
          <w:b/>
          <w:bCs/>
          <w:szCs w:val="21"/>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14:paraId="2A08810D">
            <w:pPr>
              <w:pStyle w:val="6"/>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14:paraId="5AC0D8FB">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6"/>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MwZWE0MjdkNmUyYzJlNjJmNTM0ODJjOTJiNjk2Y2I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12663"/>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6E2AF7"/>
    <w:rsid w:val="028C3AAC"/>
    <w:rsid w:val="02FD2A99"/>
    <w:rsid w:val="03162918"/>
    <w:rsid w:val="03250779"/>
    <w:rsid w:val="032A2E76"/>
    <w:rsid w:val="032F53C7"/>
    <w:rsid w:val="03C97D13"/>
    <w:rsid w:val="03D80B70"/>
    <w:rsid w:val="046F708F"/>
    <w:rsid w:val="047A164B"/>
    <w:rsid w:val="047C479E"/>
    <w:rsid w:val="04BE4ABB"/>
    <w:rsid w:val="04DC0C65"/>
    <w:rsid w:val="05144CD4"/>
    <w:rsid w:val="056B1321"/>
    <w:rsid w:val="058F7ED5"/>
    <w:rsid w:val="05A625A8"/>
    <w:rsid w:val="05B61689"/>
    <w:rsid w:val="064A2CE4"/>
    <w:rsid w:val="06A72333"/>
    <w:rsid w:val="06F66A9B"/>
    <w:rsid w:val="079C369B"/>
    <w:rsid w:val="07AF1FB4"/>
    <w:rsid w:val="07D72EEC"/>
    <w:rsid w:val="080C3738"/>
    <w:rsid w:val="081F2DB2"/>
    <w:rsid w:val="086253B7"/>
    <w:rsid w:val="086504F8"/>
    <w:rsid w:val="091329AD"/>
    <w:rsid w:val="09135C29"/>
    <w:rsid w:val="0A1730E8"/>
    <w:rsid w:val="0A203C23"/>
    <w:rsid w:val="0AB32F3C"/>
    <w:rsid w:val="0AC56166"/>
    <w:rsid w:val="0AD93162"/>
    <w:rsid w:val="0AFC6D92"/>
    <w:rsid w:val="0B1F4CC9"/>
    <w:rsid w:val="0B4418D4"/>
    <w:rsid w:val="0BBB58C2"/>
    <w:rsid w:val="0C0F5353"/>
    <w:rsid w:val="0C32096A"/>
    <w:rsid w:val="0C476F17"/>
    <w:rsid w:val="0C7E360B"/>
    <w:rsid w:val="0C820673"/>
    <w:rsid w:val="0C9B1482"/>
    <w:rsid w:val="0D485FCF"/>
    <w:rsid w:val="0D5D409D"/>
    <w:rsid w:val="0D86358A"/>
    <w:rsid w:val="0E0B2DA3"/>
    <w:rsid w:val="0EEF0F83"/>
    <w:rsid w:val="0F014E92"/>
    <w:rsid w:val="0F1E3A54"/>
    <w:rsid w:val="0F3C791F"/>
    <w:rsid w:val="0F966E56"/>
    <w:rsid w:val="0FE443F8"/>
    <w:rsid w:val="10551A84"/>
    <w:rsid w:val="105E5829"/>
    <w:rsid w:val="107D4AA0"/>
    <w:rsid w:val="10B05A5F"/>
    <w:rsid w:val="10FD56B0"/>
    <w:rsid w:val="11035FCE"/>
    <w:rsid w:val="11286FF8"/>
    <w:rsid w:val="11A33589"/>
    <w:rsid w:val="11C40F77"/>
    <w:rsid w:val="11CC15E8"/>
    <w:rsid w:val="11CC5345"/>
    <w:rsid w:val="12187C39"/>
    <w:rsid w:val="12374B2C"/>
    <w:rsid w:val="1238648A"/>
    <w:rsid w:val="12454614"/>
    <w:rsid w:val="124F493A"/>
    <w:rsid w:val="125A4762"/>
    <w:rsid w:val="12893951"/>
    <w:rsid w:val="12DE5A9C"/>
    <w:rsid w:val="13334A49"/>
    <w:rsid w:val="13611B4B"/>
    <w:rsid w:val="13753887"/>
    <w:rsid w:val="137B6A6E"/>
    <w:rsid w:val="138A39DE"/>
    <w:rsid w:val="13A80EEF"/>
    <w:rsid w:val="13C733D2"/>
    <w:rsid w:val="147D52F1"/>
    <w:rsid w:val="148F683D"/>
    <w:rsid w:val="14CF6BB1"/>
    <w:rsid w:val="15325208"/>
    <w:rsid w:val="155A79E0"/>
    <w:rsid w:val="15BD705A"/>
    <w:rsid w:val="15D10D8D"/>
    <w:rsid w:val="15E33C23"/>
    <w:rsid w:val="16CC4399"/>
    <w:rsid w:val="17091AEE"/>
    <w:rsid w:val="17461E90"/>
    <w:rsid w:val="177719DE"/>
    <w:rsid w:val="177C4762"/>
    <w:rsid w:val="177F0D6A"/>
    <w:rsid w:val="17FA25E5"/>
    <w:rsid w:val="1899778B"/>
    <w:rsid w:val="18D4649C"/>
    <w:rsid w:val="18D56FD4"/>
    <w:rsid w:val="193F0899"/>
    <w:rsid w:val="1A0260CE"/>
    <w:rsid w:val="1A652E65"/>
    <w:rsid w:val="1A7937AC"/>
    <w:rsid w:val="1A8F6DD6"/>
    <w:rsid w:val="1AC057F3"/>
    <w:rsid w:val="1AD2194F"/>
    <w:rsid w:val="1B101758"/>
    <w:rsid w:val="1B9F31F9"/>
    <w:rsid w:val="1BD75F88"/>
    <w:rsid w:val="1BD91B12"/>
    <w:rsid w:val="1BEF2AA3"/>
    <w:rsid w:val="1C9571A6"/>
    <w:rsid w:val="1D2B387D"/>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33022B"/>
    <w:rsid w:val="22421C49"/>
    <w:rsid w:val="22426CD1"/>
    <w:rsid w:val="229131B3"/>
    <w:rsid w:val="22E90E34"/>
    <w:rsid w:val="22FB3ADB"/>
    <w:rsid w:val="23035A4C"/>
    <w:rsid w:val="231D1DD1"/>
    <w:rsid w:val="233B51A7"/>
    <w:rsid w:val="235130BE"/>
    <w:rsid w:val="23EE25BB"/>
    <w:rsid w:val="23F938FE"/>
    <w:rsid w:val="25052E0F"/>
    <w:rsid w:val="25552E7D"/>
    <w:rsid w:val="25720D38"/>
    <w:rsid w:val="25CB2A80"/>
    <w:rsid w:val="25E05DF6"/>
    <w:rsid w:val="263225F6"/>
    <w:rsid w:val="264C3185"/>
    <w:rsid w:val="270F167F"/>
    <w:rsid w:val="279A1481"/>
    <w:rsid w:val="27E16F51"/>
    <w:rsid w:val="27FD740B"/>
    <w:rsid w:val="28102089"/>
    <w:rsid w:val="28632016"/>
    <w:rsid w:val="2873238A"/>
    <w:rsid w:val="28C732A1"/>
    <w:rsid w:val="28CA467C"/>
    <w:rsid w:val="28F516D7"/>
    <w:rsid w:val="29194CF5"/>
    <w:rsid w:val="295E6B72"/>
    <w:rsid w:val="29977838"/>
    <w:rsid w:val="29EE439A"/>
    <w:rsid w:val="2A1C3CD3"/>
    <w:rsid w:val="2AC8553F"/>
    <w:rsid w:val="2B914D75"/>
    <w:rsid w:val="2BE07BE3"/>
    <w:rsid w:val="2C2C2704"/>
    <w:rsid w:val="2C6E3570"/>
    <w:rsid w:val="2CAF5180"/>
    <w:rsid w:val="2CB30A73"/>
    <w:rsid w:val="2CBF2091"/>
    <w:rsid w:val="2D286742"/>
    <w:rsid w:val="2D542A2A"/>
    <w:rsid w:val="2D656A67"/>
    <w:rsid w:val="2E19748C"/>
    <w:rsid w:val="2E4209D9"/>
    <w:rsid w:val="2E616B37"/>
    <w:rsid w:val="2EFB29F1"/>
    <w:rsid w:val="2F1E291D"/>
    <w:rsid w:val="2F620C2E"/>
    <w:rsid w:val="2FD951A4"/>
    <w:rsid w:val="2FE75B13"/>
    <w:rsid w:val="30042440"/>
    <w:rsid w:val="30467FFD"/>
    <w:rsid w:val="3069004A"/>
    <w:rsid w:val="30696528"/>
    <w:rsid w:val="30716F06"/>
    <w:rsid w:val="30B13EB7"/>
    <w:rsid w:val="30E600AF"/>
    <w:rsid w:val="30F17F41"/>
    <w:rsid w:val="311938B0"/>
    <w:rsid w:val="315B210C"/>
    <w:rsid w:val="3164112A"/>
    <w:rsid w:val="317F1D7B"/>
    <w:rsid w:val="31A11D04"/>
    <w:rsid w:val="31CC76FF"/>
    <w:rsid w:val="31F172F6"/>
    <w:rsid w:val="32905CAB"/>
    <w:rsid w:val="32B51A27"/>
    <w:rsid w:val="32FA6504"/>
    <w:rsid w:val="330A11E9"/>
    <w:rsid w:val="335210D7"/>
    <w:rsid w:val="33D54BEA"/>
    <w:rsid w:val="34E12746"/>
    <w:rsid w:val="355A5092"/>
    <w:rsid w:val="356C1CB1"/>
    <w:rsid w:val="357E5017"/>
    <w:rsid w:val="358D3127"/>
    <w:rsid w:val="35A119F9"/>
    <w:rsid w:val="35E52E60"/>
    <w:rsid w:val="362339C7"/>
    <w:rsid w:val="363B2715"/>
    <w:rsid w:val="367F3DA1"/>
    <w:rsid w:val="36AC7731"/>
    <w:rsid w:val="36B93792"/>
    <w:rsid w:val="36F1454D"/>
    <w:rsid w:val="37712166"/>
    <w:rsid w:val="37CF3484"/>
    <w:rsid w:val="37D710BC"/>
    <w:rsid w:val="37E17463"/>
    <w:rsid w:val="384637F8"/>
    <w:rsid w:val="38DC31DA"/>
    <w:rsid w:val="38E97418"/>
    <w:rsid w:val="3A2B484E"/>
    <w:rsid w:val="3A636FDD"/>
    <w:rsid w:val="3A7537C9"/>
    <w:rsid w:val="3A9C74FA"/>
    <w:rsid w:val="3B126CF0"/>
    <w:rsid w:val="3B354EAA"/>
    <w:rsid w:val="3B927DA6"/>
    <w:rsid w:val="3BC12604"/>
    <w:rsid w:val="3C36245C"/>
    <w:rsid w:val="3C5820D4"/>
    <w:rsid w:val="3C5D298C"/>
    <w:rsid w:val="3C60338E"/>
    <w:rsid w:val="3C840FCA"/>
    <w:rsid w:val="3CA90ECD"/>
    <w:rsid w:val="3CAE4D3F"/>
    <w:rsid w:val="3D3943C1"/>
    <w:rsid w:val="3DAC214A"/>
    <w:rsid w:val="3DBA0CE8"/>
    <w:rsid w:val="3DC926AD"/>
    <w:rsid w:val="3E291783"/>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5350B"/>
    <w:rsid w:val="42985C27"/>
    <w:rsid w:val="42C1143C"/>
    <w:rsid w:val="42D57D44"/>
    <w:rsid w:val="42DF6B1E"/>
    <w:rsid w:val="434D63C0"/>
    <w:rsid w:val="434D745C"/>
    <w:rsid w:val="43E95815"/>
    <w:rsid w:val="44364CD0"/>
    <w:rsid w:val="44472C6C"/>
    <w:rsid w:val="448E1FA2"/>
    <w:rsid w:val="44A122DD"/>
    <w:rsid w:val="452B2802"/>
    <w:rsid w:val="457F7ACC"/>
    <w:rsid w:val="46C2238E"/>
    <w:rsid w:val="46FB6035"/>
    <w:rsid w:val="47AF3639"/>
    <w:rsid w:val="47B26F7D"/>
    <w:rsid w:val="480F1E94"/>
    <w:rsid w:val="482F7F71"/>
    <w:rsid w:val="48AA70D7"/>
    <w:rsid w:val="48C0669E"/>
    <w:rsid w:val="48D611CF"/>
    <w:rsid w:val="48D85FE9"/>
    <w:rsid w:val="48DB6BC0"/>
    <w:rsid w:val="48E94455"/>
    <w:rsid w:val="49330904"/>
    <w:rsid w:val="49551A36"/>
    <w:rsid w:val="49793828"/>
    <w:rsid w:val="498E7945"/>
    <w:rsid w:val="49B42FE5"/>
    <w:rsid w:val="49B63AD6"/>
    <w:rsid w:val="49D41D01"/>
    <w:rsid w:val="49DA5AB1"/>
    <w:rsid w:val="4B683C0F"/>
    <w:rsid w:val="4B815160"/>
    <w:rsid w:val="4BBB64D2"/>
    <w:rsid w:val="4BBC17AA"/>
    <w:rsid w:val="4C250F27"/>
    <w:rsid w:val="4C7235CD"/>
    <w:rsid w:val="4CFC11EA"/>
    <w:rsid w:val="4D0000F3"/>
    <w:rsid w:val="4D225F85"/>
    <w:rsid w:val="4D2E6FC3"/>
    <w:rsid w:val="4D3F1A54"/>
    <w:rsid w:val="4D491AF0"/>
    <w:rsid w:val="4D4A1B0C"/>
    <w:rsid w:val="4D73058E"/>
    <w:rsid w:val="4DAE1E85"/>
    <w:rsid w:val="4DC376D1"/>
    <w:rsid w:val="4E0F02B7"/>
    <w:rsid w:val="4E682070"/>
    <w:rsid w:val="4E914C57"/>
    <w:rsid w:val="4F413B09"/>
    <w:rsid w:val="4F792DCA"/>
    <w:rsid w:val="4F8F10A2"/>
    <w:rsid w:val="4F9D25EA"/>
    <w:rsid w:val="4FAA2E71"/>
    <w:rsid w:val="4FE70DC0"/>
    <w:rsid w:val="503B0D85"/>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19718C"/>
    <w:rsid w:val="576F4F06"/>
    <w:rsid w:val="58780095"/>
    <w:rsid w:val="58F451C8"/>
    <w:rsid w:val="599704D6"/>
    <w:rsid w:val="5B1220CD"/>
    <w:rsid w:val="5B2F1CB7"/>
    <w:rsid w:val="5BF92FB6"/>
    <w:rsid w:val="5C207A49"/>
    <w:rsid w:val="5C451348"/>
    <w:rsid w:val="5C6E4D42"/>
    <w:rsid w:val="5D191F67"/>
    <w:rsid w:val="5D40525F"/>
    <w:rsid w:val="5D433C9B"/>
    <w:rsid w:val="5D5D061E"/>
    <w:rsid w:val="5DC934C7"/>
    <w:rsid w:val="5DE61BB4"/>
    <w:rsid w:val="5DE921E3"/>
    <w:rsid w:val="5E025F34"/>
    <w:rsid w:val="5E5B76CA"/>
    <w:rsid w:val="5E6957E0"/>
    <w:rsid w:val="5EAF49FF"/>
    <w:rsid w:val="5EB005A8"/>
    <w:rsid w:val="5ED457C4"/>
    <w:rsid w:val="5F36302E"/>
    <w:rsid w:val="5F5D4F94"/>
    <w:rsid w:val="600E2F0E"/>
    <w:rsid w:val="60A0128E"/>
    <w:rsid w:val="613D6F0C"/>
    <w:rsid w:val="61563EDB"/>
    <w:rsid w:val="61606110"/>
    <w:rsid w:val="616B2C59"/>
    <w:rsid w:val="618B5A4F"/>
    <w:rsid w:val="61C35ECC"/>
    <w:rsid w:val="6200624D"/>
    <w:rsid w:val="622412A8"/>
    <w:rsid w:val="624152A8"/>
    <w:rsid w:val="62717F29"/>
    <w:rsid w:val="62C959F4"/>
    <w:rsid w:val="638B00E1"/>
    <w:rsid w:val="6431737D"/>
    <w:rsid w:val="64491E06"/>
    <w:rsid w:val="64D301C4"/>
    <w:rsid w:val="65351D88"/>
    <w:rsid w:val="653D28FB"/>
    <w:rsid w:val="653F0AED"/>
    <w:rsid w:val="65483BE2"/>
    <w:rsid w:val="65BB2EF6"/>
    <w:rsid w:val="65D82B19"/>
    <w:rsid w:val="65E7565B"/>
    <w:rsid w:val="65F32E35"/>
    <w:rsid w:val="666E3111"/>
    <w:rsid w:val="66B90AD6"/>
    <w:rsid w:val="66F34A45"/>
    <w:rsid w:val="67096872"/>
    <w:rsid w:val="672166AA"/>
    <w:rsid w:val="673F51FA"/>
    <w:rsid w:val="681D4ECB"/>
    <w:rsid w:val="689478DF"/>
    <w:rsid w:val="689F687A"/>
    <w:rsid w:val="68A270ED"/>
    <w:rsid w:val="68F64B7B"/>
    <w:rsid w:val="69993FC4"/>
    <w:rsid w:val="69C433F1"/>
    <w:rsid w:val="6A163EBE"/>
    <w:rsid w:val="6A656DD9"/>
    <w:rsid w:val="6B0928F1"/>
    <w:rsid w:val="6B763559"/>
    <w:rsid w:val="6B7C24AE"/>
    <w:rsid w:val="6BA52303"/>
    <w:rsid w:val="6BD25C42"/>
    <w:rsid w:val="6BE3402B"/>
    <w:rsid w:val="6C7F08A6"/>
    <w:rsid w:val="6CBA018C"/>
    <w:rsid w:val="6CD67BD4"/>
    <w:rsid w:val="6D302D7C"/>
    <w:rsid w:val="6D392803"/>
    <w:rsid w:val="6D9E2518"/>
    <w:rsid w:val="6DBA7B46"/>
    <w:rsid w:val="6E77495A"/>
    <w:rsid w:val="6EAF635F"/>
    <w:rsid w:val="6EC800BC"/>
    <w:rsid w:val="6FB73BE7"/>
    <w:rsid w:val="6FC74F89"/>
    <w:rsid w:val="6FC82399"/>
    <w:rsid w:val="6FE93FCD"/>
    <w:rsid w:val="70120CD3"/>
    <w:rsid w:val="705B2C76"/>
    <w:rsid w:val="70B92DBC"/>
    <w:rsid w:val="70CB34AB"/>
    <w:rsid w:val="70F17567"/>
    <w:rsid w:val="710A4F1D"/>
    <w:rsid w:val="71685DAD"/>
    <w:rsid w:val="718E6436"/>
    <w:rsid w:val="725F012C"/>
    <w:rsid w:val="727A01CC"/>
    <w:rsid w:val="72FD5CB8"/>
    <w:rsid w:val="73452A90"/>
    <w:rsid w:val="73586019"/>
    <w:rsid w:val="736E6F41"/>
    <w:rsid w:val="73CC6079"/>
    <w:rsid w:val="73DF5EF1"/>
    <w:rsid w:val="74CF4AFC"/>
    <w:rsid w:val="751E4CA6"/>
    <w:rsid w:val="753A5E46"/>
    <w:rsid w:val="7550035E"/>
    <w:rsid w:val="758A45B5"/>
    <w:rsid w:val="759D5A90"/>
    <w:rsid w:val="75A1160C"/>
    <w:rsid w:val="75F0684F"/>
    <w:rsid w:val="75F56E68"/>
    <w:rsid w:val="768840AF"/>
    <w:rsid w:val="76A81B2B"/>
    <w:rsid w:val="76EA5E9C"/>
    <w:rsid w:val="771C3B7F"/>
    <w:rsid w:val="77570EBD"/>
    <w:rsid w:val="77F86EC8"/>
    <w:rsid w:val="781028F2"/>
    <w:rsid w:val="781E605F"/>
    <w:rsid w:val="788A1EBA"/>
    <w:rsid w:val="78C402EA"/>
    <w:rsid w:val="7924125A"/>
    <w:rsid w:val="79627EE8"/>
    <w:rsid w:val="797B7BE6"/>
    <w:rsid w:val="799E4500"/>
    <w:rsid w:val="79FB08F2"/>
    <w:rsid w:val="7A6D1745"/>
    <w:rsid w:val="7A8D0632"/>
    <w:rsid w:val="7A8E45BE"/>
    <w:rsid w:val="7B595A97"/>
    <w:rsid w:val="7BDD0B1E"/>
    <w:rsid w:val="7C366122"/>
    <w:rsid w:val="7C693CA2"/>
    <w:rsid w:val="7C7062B2"/>
    <w:rsid w:val="7CF51919"/>
    <w:rsid w:val="7D4E23DA"/>
    <w:rsid w:val="7E3452EF"/>
    <w:rsid w:val="7E6601F9"/>
    <w:rsid w:val="7EC42D4A"/>
    <w:rsid w:val="7EE97DD9"/>
    <w:rsid w:val="7EF02F3D"/>
    <w:rsid w:val="7F761695"/>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ind w:firstLine="420"/>
    </w:pPr>
    <w:rPr>
      <w:rFonts w:ascii="Calibri" w:hAnsi="Calibri" w:eastAsia="宋体" w:cs="Times New Roman"/>
    </w:rPr>
  </w:style>
  <w:style w:type="paragraph" w:styleId="4">
    <w:name w:val="Body Text 3"/>
    <w:basedOn w:val="1"/>
    <w:unhideWhenUsed/>
    <w:qFormat/>
    <w:uiPriority w:val="99"/>
    <w:pPr>
      <w:spacing w:after="120"/>
    </w:pPr>
    <w:rPr>
      <w:rFonts w:ascii="Calibri" w:hAnsi="Calibri"/>
      <w:sz w:val="16"/>
      <w:szCs w:val="16"/>
      <w:lang w:val="zh-CN"/>
    </w:rPr>
  </w:style>
  <w:style w:type="paragraph" w:styleId="5">
    <w:name w:val="Body Text"/>
    <w:basedOn w:val="1"/>
    <w:next w:val="1"/>
    <w:autoRedefine/>
    <w:qFormat/>
    <w:uiPriority w:val="0"/>
    <w:pPr>
      <w:spacing w:after="120"/>
    </w:pPr>
  </w:style>
  <w:style w:type="paragraph" w:styleId="6">
    <w:name w:val="footer"/>
    <w:basedOn w:val="1"/>
    <w:link w:val="15"/>
    <w:autoRedefine/>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w:basedOn w:val="5"/>
    <w:autoRedefine/>
    <w:unhideWhenUsed/>
    <w:qFormat/>
    <w:uiPriority w:val="99"/>
    <w:pPr>
      <w:ind w:firstLine="420" w:firstLineChars="100"/>
    </w:pPr>
    <w:rPr>
      <w:rFonts w:ascii="Times New Roman" w:hAnsi="Times New Roman"/>
      <w:kern w:val="0"/>
      <w:sz w:val="20"/>
      <w:szCs w:val="20"/>
    </w:rPr>
  </w:style>
  <w:style w:type="table" w:styleId="10">
    <w:name w:val="Table Grid"/>
    <w:basedOn w:val="9"/>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2">
    <w:name w:val="style4"/>
    <w:basedOn w:val="1"/>
    <w:next w:val="13"/>
    <w:autoRedefine/>
    <w:qFormat/>
    <w:uiPriority w:val="0"/>
    <w:pPr>
      <w:widowControl/>
      <w:spacing w:before="280" w:after="280"/>
    </w:pPr>
    <w:rPr>
      <w:rFonts w:ascii="宋体" w:hAnsi="Times New Roman" w:eastAsia="宋体" w:cs="Times New Roman"/>
      <w:sz w:val="18"/>
    </w:rPr>
  </w:style>
  <w:style w:type="paragraph" w:customStyle="1" w:styleId="13">
    <w:name w:val="2"/>
    <w:next w:val="1"/>
    <w:autoRedefine/>
    <w:qFormat/>
    <w:uiPriority w:val="0"/>
    <w:pPr>
      <w:widowControl w:val="0"/>
      <w:jc w:val="both"/>
    </w:pPr>
    <w:rPr>
      <w:rFonts w:ascii="Calibri" w:hAnsi="Calibri" w:eastAsia="宋体" w:cs="Times New Roman"/>
      <w:sz w:val="21"/>
      <w:szCs w:val="22"/>
      <w:lang w:val="en-US" w:eastAsia="zh-CN" w:bidi="ar-SA"/>
    </w:rPr>
  </w:style>
  <w:style w:type="character" w:customStyle="1" w:styleId="14">
    <w:name w:val="页眉 Char"/>
    <w:basedOn w:val="11"/>
    <w:link w:val="7"/>
    <w:autoRedefine/>
    <w:semiHidden/>
    <w:qFormat/>
    <w:uiPriority w:val="99"/>
    <w:rPr>
      <w:sz w:val="18"/>
      <w:szCs w:val="18"/>
    </w:rPr>
  </w:style>
  <w:style w:type="character" w:customStyle="1" w:styleId="15">
    <w:name w:val="页脚 Char"/>
    <w:basedOn w:val="11"/>
    <w:link w:val="6"/>
    <w:autoRedefine/>
    <w:qFormat/>
    <w:uiPriority w:val="99"/>
    <w:rPr>
      <w:sz w:val="18"/>
      <w:szCs w:val="18"/>
    </w:rPr>
  </w:style>
  <w:style w:type="paragraph" w:customStyle="1" w:styleId="16">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7">
    <w:name w:val="NormalCharacter"/>
    <w:autoRedefine/>
    <w:qFormat/>
    <w:uiPriority w:val="0"/>
  </w:style>
  <w:style w:type="paragraph" w:customStyle="1" w:styleId="18">
    <w:name w:val="Table Paragraph"/>
    <w:basedOn w:val="1"/>
    <w:autoRedefine/>
    <w:qFormat/>
    <w:uiPriority w:val="1"/>
    <w:rPr>
      <w:rFonts w:ascii="Times New Roman" w:hAnsi="Times New Roman" w:eastAsia="宋体" w:cs="Times New Roman"/>
      <w:sz w:val="24"/>
      <w:szCs w:val="20"/>
    </w:rPr>
  </w:style>
  <w:style w:type="paragraph" w:customStyle="1" w:styleId="19">
    <w:name w:val="表格 - 正文"/>
    <w:basedOn w:val="1"/>
    <w:qFormat/>
    <w:uiPriority w:val="0"/>
    <w:pPr>
      <w:snapToGrid w:val="0"/>
      <w:spacing w:before="120" w:after="120" w:line="360" w:lineRule="auto"/>
    </w:pPr>
    <w:rPr>
      <w:rFonts w:ascii="Times New Roman" w:hAnsi="Times New Roman" w:eastAsia="宋体" w:cs="宋体"/>
      <w:szCs w:val="20"/>
    </w:rPr>
  </w:style>
  <w:style w:type="paragraph" w:styleId="20">
    <w:name w:val="List Paragraph"/>
    <w:basedOn w:val="1"/>
    <w:autoRedefine/>
    <w:qFormat/>
    <w:uiPriority w:val="34"/>
    <w:pPr>
      <w:ind w:firstLine="420" w:firstLineChars="200"/>
    </w:pPr>
  </w:style>
  <w:style w:type="character" w:customStyle="1" w:styleId="21">
    <w:name w:val="font11"/>
    <w:basedOn w:val="11"/>
    <w:qFormat/>
    <w:uiPriority w:val="0"/>
    <w:rPr>
      <w:rFonts w:hint="eastAsia" w:ascii="宋体" w:hAnsi="宋体" w:eastAsia="宋体" w:cs="宋体"/>
      <w:color w:val="000000"/>
      <w:sz w:val="21"/>
      <w:szCs w:val="21"/>
      <w:u w:val="none"/>
    </w:rPr>
  </w:style>
  <w:style w:type="character" w:customStyle="1" w:styleId="22">
    <w:name w:val="font21"/>
    <w:basedOn w:val="11"/>
    <w:qFormat/>
    <w:uiPriority w:val="0"/>
    <w:rPr>
      <w:rFonts w:hint="eastAsia" w:ascii="宋体" w:hAnsi="宋体" w:eastAsia="宋体" w:cs="宋体"/>
      <w:strike/>
      <w:color w:val="000000"/>
      <w:sz w:val="21"/>
      <w:szCs w:val="21"/>
    </w:rPr>
  </w:style>
  <w:style w:type="paragraph" w:customStyle="1" w:styleId="23">
    <w:name w:val="_Style 13"/>
    <w:qFormat/>
    <w:uiPriority w:val="0"/>
    <w:pPr>
      <w:spacing w:before="120" w:after="120" w:line="288" w:lineRule="auto"/>
      <w:ind w:left="0"/>
      <w:jc w:val="left"/>
    </w:pPr>
    <w:rPr>
      <w:rFonts w:ascii="Arial" w:hAnsi="Arial" w:eastAsia="等线" w:cs="Arial"/>
      <w:sz w:val="22"/>
      <w:szCs w:val="22"/>
    </w:rPr>
  </w:style>
  <w:style w:type="paragraph" w:customStyle="1" w:styleId="24">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1346</Words>
  <Characters>1419</Characters>
  <Lines>6</Lines>
  <Paragraphs>1</Paragraphs>
  <TotalTime>1</TotalTime>
  <ScaleCrop>false</ScaleCrop>
  <LinksUpToDate>false</LinksUpToDate>
  <CharactersWithSpaces>1517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罗昊</cp:lastModifiedBy>
  <dcterms:modified xsi:type="dcterms:W3CDTF">2026-11-05T07:37:00Z</dcterms:modified>
  <cp:revision>1082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236EE8110CB74B6D96A171B8B9CB89FA</vt:lpwstr>
  </property>
  <property fmtid="{D5CDD505-2E9C-101B-9397-08002B2CF9AE}" pid="4" name="commondata">
    <vt:lpwstr>eyJoZGlkIjoiNzljOTE0MDRlMmUyY2M3ZGQ4Nzk0OWRiOWI1OGE3ZmYifQ==</vt:lpwstr>
  </property>
  <property fmtid="{D5CDD505-2E9C-101B-9397-08002B2CF9AE}" pid="5" name="KSOTemplateDocerSaveRecord">
    <vt:lpwstr>eyJoZGlkIjoiODMwZWE0MjdkNmUyYzJlNjJmNTM0ODJjOTJiNjk2Y2IiLCJ1c2VySWQiOiIxODc5MTI0Mjc1In0=</vt:lpwstr>
  </property>
</Properties>
</file>