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596597">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附件：拟购霍邱县第六人民医院（六安市中医院马店院区）无线互联网覆盖建设服务项目初步参数论证征集意见表</w:t>
      </w:r>
    </w:p>
    <w:p w14:paraId="55BED61E">
      <w:pPr>
        <w:spacing w:line="320" w:lineRule="exact"/>
        <w:rPr>
          <w:rFonts w:ascii="仿宋" w:hAnsi="仿宋" w:eastAsia="仿宋"/>
          <w:sz w:val="24"/>
          <w:szCs w:val="24"/>
        </w:rPr>
      </w:pPr>
    </w:p>
    <w:p w14:paraId="5EE61A5D">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7BE16C72">
      <w:pPr>
        <w:spacing w:line="300" w:lineRule="exact"/>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5A30D0DD">
      <w:pPr>
        <w:spacing w:line="300" w:lineRule="exact"/>
        <w:ind w:firstLine="422" w:firstLineChars="200"/>
        <w:rPr>
          <w:rFonts w:ascii="仿宋" w:hAnsi="仿宋" w:eastAsia="仿宋"/>
          <w:b/>
          <w:szCs w:val="21"/>
        </w:rPr>
      </w:pPr>
      <w:r>
        <w:rPr>
          <w:rFonts w:hint="eastAsia" w:ascii="仿宋" w:hAnsi="仿宋" w:eastAsia="仿宋"/>
          <w:b/>
          <w:szCs w:val="21"/>
        </w:rPr>
        <w:t>备注：</w:t>
      </w:r>
    </w:p>
    <w:p w14:paraId="33415F82">
      <w:pPr>
        <w:spacing w:line="300" w:lineRule="exact"/>
        <w:ind w:firstLine="420" w:firstLineChars="200"/>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【设备工程部□、信息管理部☑、后勤保障部□及其他□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14:paraId="2BF7C1CE">
      <w:pPr>
        <w:rPr>
          <w:rFonts w:ascii="仿宋" w:hAnsi="仿宋" w:eastAsia="仿宋"/>
          <w:b/>
          <w:szCs w:val="21"/>
          <w:u w:val="single"/>
        </w:rPr>
      </w:pPr>
      <w:r>
        <w:rPr>
          <w:rFonts w:hint="eastAsia" w:ascii="仿宋" w:hAnsi="仿宋" w:eastAsia="仿宋"/>
          <w:b/>
          <w:szCs w:val="21"/>
        </w:rPr>
        <w:t>7.</w:t>
      </w:r>
      <w:r>
        <w:rPr>
          <w:rFonts w:hint="eastAsia" w:ascii="仿宋" w:hAnsi="仿宋" w:eastAsia="仿宋"/>
          <w:szCs w:val="21"/>
        </w:rPr>
        <w:t>2、响应情况（是/否）若为否则须标注具体建议修改指标（</w:t>
      </w:r>
      <w:r>
        <w:rPr>
          <w:rFonts w:hint="eastAsia" w:ascii="仿宋" w:hAnsi="仿宋" w:eastAsia="仿宋"/>
          <w:b/>
          <w:bCs/>
          <w:szCs w:val="21"/>
        </w:rPr>
        <w:t>未标注则默认为响应初步参数</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cs="仿宋"/>
          <w:bCs/>
          <w:szCs w:val="21"/>
        </w:rPr>
        <w:t>★项</w:t>
      </w:r>
      <w:r>
        <w:rPr>
          <w:rFonts w:hint="eastAsia" w:ascii="仿宋" w:hAnsi="仿宋" w:eastAsia="仿宋"/>
          <w:szCs w:val="21"/>
        </w:rPr>
        <w:t>证明材料须为政府主管部门【或</w:t>
      </w:r>
      <w:r>
        <w:rPr>
          <w:rStyle w:val="9"/>
          <w:rFonts w:hint="eastAsia" w:ascii="仿宋" w:hAnsi="仿宋" w:eastAsia="仿宋" w:cs="仿宋"/>
          <w:bCs/>
          <w:szCs w:val="21"/>
        </w:rPr>
        <w:t>具备CMA&lt;或CNAS&gt;资质检测机构】出具的</w:t>
      </w:r>
      <w:r>
        <w:rPr>
          <w:rFonts w:hint="eastAsia" w:ascii="仿宋" w:hAnsi="仿宋" w:eastAsia="仿宋"/>
          <w:szCs w:val="21"/>
        </w:rPr>
        <w:t>检测报告，非</w:t>
      </w:r>
      <w:r>
        <w:rPr>
          <w:rFonts w:hint="eastAsia" w:ascii="仿宋" w:hAnsi="仿宋" w:eastAsia="仿宋" w:cs="仿宋"/>
          <w:bCs/>
          <w:szCs w:val="21"/>
        </w:rPr>
        <w:t>★项</w:t>
      </w:r>
      <w:r>
        <w:rPr>
          <w:rFonts w:hint="eastAsia" w:ascii="仿宋" w:hAnsi="仿宋" w:eastAsia="仿宋"/>
          <w:szCs w:val="21"/>
        </w:rPr>
        <w:t>证明材料可为除彩页外的其他材料，</w:t>
      </w:r>
      <w:r>
        <w:rPr>
          <w:rFonts w:hint="eastAsia" w:ascii="仿宋" w:hAnsi="仿宋" w:eastAsia="仿宋"/>
          <w:b/>
          <w:bCs/>
          <w:szCs w:val="21"/>
        </w:rPr>
        <w:t>无证明材料则可不予采纳</w:t>
      </w:r>
      <w:r>
        <w:rPr>
          <w:rFonts w:hint="eastAsia" w:ascii="仿宋" w:hAnsi="仿宋" w:eastAsia="仿宋"/>
          <w:szCs w:val="21"/>
        </w:rPr>
        <w:t>；建议修改意见原则上须满足业界主流品牌同档次水平产品且不得为独家），</w:t>
      </w:r>
      <w:r>
        <w:rPr>
          <w:rFonts w:hint="eastAsia" w:ascii="仿宋" w:hAnsi="仿宋" w:eastAsia="仿宋"/>
          <w:b/>
          <w:szCs w:val="21"/>
          <w:u w:val="single"/>
        </w:rPr>
        <w:t>同时务必备注本品牌本规格型号产品相对应的真实指标并标注是否为独家（供医院汇总定稿版参数时选择）；</w:t>
      </w:r>
    </w:p>
    <w:p w14:paraId="7539B535">
      <w:pPr>
        <w:spacing w:line="300" w:lineRule="exact"/>
        <w:ind w:firstLine="420" w:firstLineChars="200"/>
        <w:rPr>
          <w:rFonts w:ascii="仿宋" w:hAnsi="仿宋" w:eastAsia="仿宋"/>
          <w:bCs/>
          <w:szCs w:val="21"/>
        </w:rPr>
      </w:pPr>
      <w:r>
        <w:rPr>
          <w:rFonts w:hint="eastAsia" w:ascii="仿宋" w:hAnsi="仿宋" w:eastAsia="仿宋"/>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w:t>
      </w:r>
      <w:bookmarkStart w:id="0" w:name="_GoBack"/>
      <w:bookmarkEnd w:id="0"/>
      <w:r>
        <w:rPr>
          <w:rFonts w:hint="eastAsia" w:ascii="仿宋" w:hAnsi="仿宋" w:eastAsia="仿宋"/>
          <w:bCs/>
          <w:szCs w:val="21"/>
        </w:rPr>
        <w:t>件扫描件和入库清单）则视同本项目无耗材和须定期更换零部件。</w:t>
      </w:r>
    </w:p>
    <w:p w14:paraId="2F981594">
      <w:pPr>
        <w:spacing w:line="300" w:lineRule="exact"/>
        <w:ind w:firstLine="422" w:firstLineChars="200"/>
        <w:rPr>
          <w:rFonts w:ascii="仿宋" w:hAnsi="仿宋" w:eastAsia="仿宋"/>
          <w:szCs w:val="21"/>
        </w:rPr>
      </w:pPr>
      <w:r>
        <w:rPr>
          <w:rFonts w:hint="eastAsia" w:ascii="仿宋" w:hAnsi="仿宋" w:eastAsia="仿宋"/>
          <w:b/>
          <w:szCs w:val="21"/>
        </w:rPr>
        <w:t>4、杜绝两现象：</w:t>
      </w:r>
      <w:r>
        <w:rPr>
          <w:rFonts w:hint="eastAsia" w:ascii="仿宋" w:hAnsi="仿宋" w:eastAsia="仿宋"/>
          <w:bCs/>
          <w:szCs w:val="21"/>
        </w:rPr>
        <w:t>一是整机保修3年，保修范围不包含须定期更换零部件，须定期更换零部件报价清单如下...；二是将须定期更换零部件变为耗材，恶意降低货物价格，提高耗材价（或直接提高耗材报价）。</w:t>
      </w:r>
    </w:p>
    <w:p w14:paraId="0F22B975">
      <w:pPr>
        <w:spacing w:line="300" w:lineRule="exact"/>
        <w:rPr>
          <w:rFonts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14:paraId="048E5965">
      <w:pPr>
        <w:spacing w:line="300" w:lineRule="exact"/>
        <w:ind w:firstLine="420" w:firstLineChars="200"/>
        <w:rPr>
          <w:rFonts w:ascii="仿宋" w:hAnsi="仿宋" w:eastAsia="仿宋"/>
          <w:b/>
          <w:szCs w:val="21"/>
        </w:rPr>
      </w:pPr>
      <w:r>
        <w:rPr>
          <w:rFonts w:hint="eastAsia" w:ascii="仿宋" w:hAnsi="仿宋" w:eastAsia="仿宋" w:cs="仿宋"/>
          <w:bCs/>
          <w:szCs w:val="21"/>
        </w:rPr>
        <w:t>5、</w:t>
      </w:r>
      <w:r>
        <w:rPr>
          <w:rFonts w:hint="eastAsia" w:ascii="仿宋" w:hAnsi="仿宋" w:eastAsia="仿宋" w:cs="仿宋"/>
          <w:bCs/>
          <w:color w:val="FF0000"/>
          <w:szCs w:val="21"/>
        </w:rPr>
        <w:t>拟设置为</w:t>
      </w:r>
      <w:r>
        <w:rPr>
          <w:rFonts w:hint="eastAsia" w:ascii="仿宋" w:hAnsi="仿宋" w:eastAsia="仿宋" w:cs="仿宋"/>
          <w:bCs/>
          <w:szCs w:val="21"/>
        </w:rPr>
        <w:t>★项参数</w:t>
      </w:r>
      <w:r>
        <w:rPr>
          <w:rFonts w:hint="eastAsia" w:ascii="仿宋" w:hAnsi="仿宋" w:eastAsia="仿宋" w:cs="仿宋"/>
          <w:bCs/>
          <w:color w:val="FF0000"/>
          <w:szCs w:val="21"/>
        </w:rPr>
        <w:t>(★项标准：拟购设备核心参数指标</w:t>
      </w:r>
      <w:r>
        <w:rPr>
          <w:rFonts w:hint="eastAsia" w:ascii="仿宋" w:hAnsi="仿宋" w:eastAsia="仿宋" w:cs="仿宋"/>
          <w:b/>
          <w:szCs w:val="21"/>
        </w:rPr>
        <w:t>【如有不妥，请提出并提供权威部门证明文件，否则不予采纳】)</w:t>
      </w:r>
      <w:r>
        <w:rPr>
          <w:rFonts w:hint="eastAsia" w:ascii="仿宋" w:hAnsi="仿宋" w:eastAsia="仿宋" w:cs="仿宋"/>
          <w:bCs/>
          <w:szCs w:val="21"/>
        </w:rPr>
        <w:t>要求投标人在投标文件中所提供的证明材料须为政府主管部门</w:t>
      </w:r>
      <w:r>
        <w:rPr>
          <w:rFonts w:hint="eastAsia" w:ascii="仿宋" w:hAnsi="仿宋" w:eastAsia="仿宋" w:cs="仿宋"/>
          <w:b/>
          <w:szCs w:val="21"/>
        </w:rPr>
        <w:t>（</w:t>
      </w:r>
      <w:r>
        <w:rPr>
          <w:rStyle w:val="9"/>
          <w:rFonts w:hint="eastAsia" w:ascii="仿宋" w:hAnsi="仿宋" w:eastAsia="仿宋" w:cs="仿宋"/>
          <w:b/>
          <w:szCs w:val="21"/>
        </w:rPr>
        <w:t>或具备CMA【或CNAS】资质检测机构）</w:t>
      </w:r>
      <w:r>
        <w:rPr>
          <w:rStyle w:val="9"/>
          <w:rFonts w:hint="eastAsia" w:ascii="仿宋" w:hAnsi="仿宋" w:eastAsia="仿宋" w:cs="仿宋"/>
          <w:bCs/>
          <w:szCs w:val="21"/>
        </w:rPr>
        <w:t>出具的质检报告原件扫描件（政府主管部门</w:t>
      </w:r>
      <w:r>
        <w:rPr>
          <w:rFonts w:hint="eastAsia" w:ascii="仿宋" w:hAnsi="仿宋" w:eastAsia="仿宋" w:cs="仿宋"/>
          <w:bCs/>
          <w:szCs w:val="21"/>
        </w:rPr>
        <w:t>如国家</w:t>
      </w:r>
      <w:r>
        <w:rPr>
          <w:rStyle w:val="9"/>
          <w:rFonts w:hint="eastAsia" w:ascii="仿宋" w:hAnsi="仿宋" w:eastAsia="仿宋" w:cs="仿宋"/>
          <w:bCs/>
          <w:szCs w:val="21"/>
        </w:rPr>
        <w:t>食药监局或其下属单位或省级医疗器械检验机构或省级食品药品检验机构等）。</w:t>
      </w:r>
    </w:p>
    <w:p w14:paraId="77780092">
      <w:pPr>
        <w:spacing w:line="300" w:lineRule="exact"/>
        <w:ind w:firstLine="420" w:firstLineChars="200"/>
        <w:rPr>
          <w:rFonts w:ascii="仿宋" w:hAnsi="仿宋" w:eastAsia="仿宋"/>
          <w:bCs/>
          <w:szCs w:val="21"/>
        </w:rPr>
      </w:pPr>
      <w:r>
        <w:rPr>
          <w:rFonts w:hint="eastAsia" w:ascii="仿宋" w:hAnsi="仿宋" w:eastAsia="仿宋"/>
          <w:bCs/>
          <w:szCs w:val="21"/>
        </w:rPr>
        <w:t>附件：表1-4</w:t>
      </w:r>
    </w:p>
    <w:p w14:paraId="3BD79210">
      <w:pPr>
        <w:spacing w:line="320" w:lineRule="exact"/>
        <w:rPr>
          <w:rFonts w:ascii="仿宋" w:hAnsi="仿宋" w:eastAsia="仿宋"/>
          <w:b/>
          <w:szCs w:val="21"/>
        </w:rPr>
      </w:pPr>
      <w:r>
        <w:rPr>
          <w:rFonts w:hint="eastAsia" w:ascii="仿宋" w:hAnsi="仿宋" w:eastAsia="仿宋"/>
          <w:b/>
          <w:szCs w:val="21"/>
        </w:rPr>
        <w:t>附件：拟购项目初步参数结构</w:t>
      </w:r>
    </w:p>
    <w:tbl>
      <w:tblPr>
        <w:tblStyle w:val="6"/>
        <w:tblW w:w="10995" w:type="dxa"/>
        <w:tblInd w:w="-540" w:type="dxa"/>
        <w:tblLayout w:type="fixed"/>
        <w:tblCellMar>
          <w:top w:w="0" w:type="dxa"/>
          <w:left w:w="108" w:type="dxa"/>
          <w:bottom w:w="0" w:type="dxa"/>
          <w:right w:w="108" w:type="dxa"/>
        </w:tblCellMar>
      </w:tblPr>
      <w:tblGrid>
        <w:gridCol w:w="682"/>
        <w:gridCol w:w="1080"/>
        <w:gridCol w:w="5437"/>
        <w:gridCol w:w="1066"/>
        <w:gridCol w:w="645"/>
        <w:gridCol w:w="870"/>
        <w:gridCol w:w="1215"/>
      </w:tblGrid>
      <w:tr w14:paraId="6672780E">
        <w:tblPrEx>
          <w:tblCellMar>
            <w:top w:w="0" w:type="dxa"/>
            <w:left w:w="108" w:type="dxa"/>
            <w:bottom w:w="0" w:type="dxa"/>
            <w:right w:w="108" w:type="dxa"/>
          </w:tblCellMar>
        </w:tblPrEx>
        <w:trPr>
          <w:trHeight w:val="620" w:hRule="atLeast"/>
        </w:trPr>
        <w:tc>
          <w:tcPr>
            <w:tcW w:w="8265" w:type="dxa"/>
            <w:gridSpan w:val="4"/>
            <w:tcBorders>
              <w:top w:val="single" w:color="000000" w:sz="4" w:space="0"/>
              <w:left w:val="single" w:color="000000" w:sz="4" w:space="0"/>
              <w:bottom w:val="single" w:color="000000" w:sz="4" w:space="0"/>
              <w:right w:val="single" w:color="000000" w:sz="4" w:space="0"/>
            </w:tcBorders>
            <w:vAlign w:val="center"/>
          </w:tcPr>
          <w:p w14:paraId="7DACAB7A">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本项目初步参数拟设置情况</w:t>
            </w:r>
          </w:p>
        </w:tc>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4D94F3CD">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响应情况</w:t>
            </w:r>
          </w:p>
        </w:tc>
        <w:tc>
          <w:tcPr>
            <w:tcW w:w="870" w:type="dxa"/>
            <w:vMerge w:val="restart"/>
            <w:tcBorders>
              <w:top w:val="single" w:color="000000" w:sz="4" w:space="0"/>
              <w:left w:val="single" w:color="000000" w:sz="4" w:space="0"/>
              <w:bottom w:val="single" w:color="000000" w:sz="4" w:space="0"/>
              <w:right w:val="single" w:color="000000" w:sz="4" w:space="0"/>
            </w:tcBorders>
            <w:vAlign w:val="center"/>
          </w:tcPr>
          <w:p w14:paraId="7DCBDD1C">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建议修改指标</w:t>
            </w:r>
          </w:p>
        </w:tc>
        <w:tc>
          <w:tcPr>
            <w:tcW w:w="1215" w:type="dxa"/>
            <w:vMerge w:val="restart"/>
            <w:tcBorders>
              <w:top w:val="single" w:color="000000" w:sz="4" w:space="0"/>
              <w:left w:val="single" w:color="000000" w:sz="4" w:space="0"/>
              <w:bottom w:val="single" w:color="000000" w:sz="4" w:space="0"/>
              <w:right w:val="single" w:color="000000" w:sz="4" w:space="0"/>
            </w:tcBorders>
            <w:vAlign w:val="center"/>
          </w:tcPr>
          <w:p w14:paraId="69153BCC">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备注（真实指标、是否独家、是否提供有效检测报告）</w:t>
            </w:r>
          </w:p>
        </w:tc>
      </w:tr>
      <w:tr w14:paraId="585499CE">
        <w:tblPrEx>
          <w:tblCellMar>
            <w:top w:w="0" w:type="dxa"/>
            <w:left w:w="108" w:type="dxa"/>
            <w:bottom w:w="0" w:type="dxa"/>
            <w:right w:w="108" w:type="dxa"/>
          </w:tblCellMar>
        </w:tblPrEx>
        <w:trPr>
          <w:trHeight w:val="90" w:hRule="atLeast"/>
        </w:trPr>
        <w:tc>
          <w:tcPr>
            <w:tcW w:w="682" w:type="dxa"/>
            <w:tcBorders>
              <w:top w:val="single" w:color="000000" w:sz="4" w:space="0"/>
              <w:left w:val="single" w:color="000000" w:sz="4" w:space="0"/>
              <w:bottom w:val="single" w:color="auto" w:sz="4" w:space="0"/>
              <w:right w:val="single" w:color="000000" w:sz="4" w:space="0"/>
            </w:tcBorders>
            <w:vAlign w:val="center"/>
          </w:tcPr>
          <w:p w14:paraId="1586DF39">
            <w:pPr>
              <w:jc w:val="center"/>
              <w:rPr>
                <w:rFonts w:ascii="仿宋" w:hAnsi="仿宋" w:eastAsia="仿宋" w:cs="仿宋"/>
                <w:color w:val="000000"/>
                <w:szCs w:val="21"/>
              </w:rPr>
            </w:pPr>
            <w:r>
              <w:rPr>
                <w:rFonts w:hint="eastAsia" w:ascii="仿宋" w:hAnsi="仿宋" w:eastAsia="仿宋" w:cs="仿宋"/>
                <w:color w:val="000000"/>
                <w:szCs w:val="21"/>
              </w:rPr>
              <w:t>项目名称</w:t>
            </w:r>
          </w:p>
        </w:tc>
        <w:tc>
          <w:tcPr>
            <w:tcW w:w="1080" w:type="dxa"/>
            <w:tcBorders>
              <w:top w:val="single" w:color="000000" w:sz="4" w:space="0"/>
              <w:left w:val="single" w:color="000000" w:sz="4" w:space="0"/>
              <w:bottom w:val="single" w:color="auto" w:sz="4" w:space="0"/>
              <w:right w:val="single" w:color="000000" w:sz="4" w:space="0"/>
            </w:tcBorders>
            <w:vAlign w:val="center"/>
          </w:tcPr>
          <w:p w14:paraId="59AD4492">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参数名称</w:t>
            </w:r>
          </w:p>
        </w:tc>
        <w:tc>
          <w:tcPr>
            <w:tcW w:w="5437" w:type="dxa"/>
            <w:tcBorders>
              <w:top w:val="single" w:color="000000" w:sz="4" w:space="0"/>
              <w:left w:val="single" w:color="000000" w:sz="4" w:space="0"/>
              <w:bottom w:val="single" w:color="auto" w:sz="4" w:space="0"/>
              <w:right w:val="single" w:color="000000" w:sz="4" w:space="0"/>
            </w:tcBorders>
            <w:vAlign w:val="center"/>
          </w:tcPr>
          <w:p w14:paraId="5BFF9F43">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初步参数设置情况</w:t>
            </w:r>
          </w:p>
        </w:tc>
        <w:tc>
          <w:tcPr>
            <w:tcW w:w="1066" w:type="dxa"/>
            <w:tcBorders>
              <w:top w:val="single" w:color="000000" w:sz="4" w:space="0"/>
              <w:left w:val="single" w:color="000000" w:sz="4" w:space="0"/>
              <w:bottom w:val="single" w:color="000000" w:sz="4" w:space="0"/>
              <w:right w:val="single" w:color="000000" w:sz="4" w:space="0"/>
            </w:tcBorders>
            <w:vAlign w:val="center"/>
          </w:tcPr>
          <w:p w14:paraId="2C7308D8">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是否设置为★</w:t>
            </w: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29350126">
            <w:pPr>
              <w:jc w:val="center"/>
              <w:rPr>
                <w:rFonts w:ascii="仿宋" w:hAnsi="仿宋" w:eastAsia="仿宋" w:cs="仿宋"/>
                <w:color w:val="000000"/>
                <w:szCs w:val="21"/>
              </w:rPr>
            </w:pPr>
          </w:p>
        </w:tc>
        <w:tc>
          <w:tcPr>
            <w:tcW w:w="870" w:type="dxa"/>
            <w:vMerge w:val="continue"/>
            <w:tcBorders>
              <w:top w:val="single" w:color="000000" w:sz="4" w:space="0"/>
              <w:left w:val="single" w:color="000000" w:sz="4" w:space="0"/>
              <w:bottom w:val="single" w:color="000000" w:sz="4" w:space="0"/>
              <w:right w:val="single" w:color="000000" w:sz="4" w:space="0"/>
            </w:tcBorders>
            <w:vAlign w:val="center"/>
          </w:tcPr>
          <w:p w14:paraId="0177D7FD">
            <w:pPr>
              <w:jc w:val="center"/>
              <w:rPr>
                <w:rFonts w:ascii="仿宋" w:hAnsi="仿宋" w:eastAsia="仿宋" w:cs="仿宋"/>
                <w:color w:val="000000"/>
                <w:szCs w:val="21"/>
              </w:rPr>
            </w:pPr>
          </w:p>
        </w:tc>
        <w:tc>
          <w:tcPr>
            <w:tcW w:w="1215" w:type="dxa"/>
            <w:vMerge w:val="continue"/>
            <w:tcBorders>
              <w:top w:val="single" w:color="000000" w:sz="4" w:space="0"/>
              <w:left w:val="single" w:color="000000" w:sz="4" w:space="0"/>
              <w:bottom w:val="single" w:color="000000" w:sz="4" w:space="0"/>
              <w:right w:val="single" w:color="000000" w:sz="4" w:space="0"/>
            </w:tcBorders>
            <w:vAlign w:val="center"/>
          </w:tcPr>
          <w:p w14:paraId="34DCB5F6">
            <w:pPr>
              <w:jc w:val="center"/>
              <w:rPr>
                <w:rFonts w:ascii="仿宋" w:hAnsi="仿宋" w:eastAsia="仿宋" w:cs="仿宋"/>
                <w:color w:val="000000"/>
                <w:szCs w:val="21"/>
              </w:rPr>
            </w:pPr>
          </w:p>
        </w:tc>
      </w:tr>
      <w:tr w14:paraId="49B8A16F">
        <w:tblPrEx>
          <w:tblCellMar>
            <w:top w:w="0" w:type="dxa"/>
            <w:left w:w="108" w:type="dxa"/>
            <w:bottom w:w="0" w:type="dxa"/>
            <w:right w:w="108" w:type="dxa"/>
          </w:tblCellMar>
        </w:tblPrEx>
        <w:trPr>
          <w:trHeight w:val="2688" w:hRule="atLeast"/>
        </w:trPr>
        <w:tc>
          <w:tcPr>
            <w:tcW w:w="682" w:type="dxa"/>
            <w:vMerge w:val="restart"/>
            <w:tcBorders>
              <w:top w:val="single" w:color="auto" w:sz="4" w:space="0"/>
              <w:left w:val="single" w:color="auto" w:sz="4" w:space="0"/>
              <w:right w:val="single" w:color="auto" w:sz="4" w:space="0"/>
            </w:tcBorders>
            <w:vAlign w:val="center"/>
          </w:tcPr>
          <w:p w14:paraId="0F8ACA0C">
            <w:pPr>
              <w:jc w:val="center"/>
              <w:rPr>
                <w:rFonts w:ascii="仿宋" w:hAnsi="仿宋" w:eastAsia="仿宋" w:cs="仿宋"/>
                <w:color w:val="000000"/>
                <w:sz w:val="20"/>
                <w:szCs w:val="20"/>
              </w:rPr>
            </w:pPr>
            <w:r>
              <w:rPr>
                <w:rFonts w:hint="eastAsia"/>
                <w:b/>
                <w:bCs/>
                <w:sz w:val="20"/>
                <w:szCs w:val="21"/>
              </w:rPr>
              <w:t>霍邱县第六人民医院（六安市中医院马店院区）无线互联网覆盖建设服务项目</w:t>
            </w:r>
          </w:p>
        </w:tc>
        <w:tc>
          <w:tcPr>
            <w:tcW w:w="1080" w:type="dxa"/>
            <w:tcBorders>
              <w:top w:val="single" w:color="auto" w:sz="4" w:space="0"/>
              <w:left w:val="single" w:color="auto" w:sz="4" w:space="0"/>
              <w:bottom w:val="single" w:color="auto" w:sz="4" w:space="0"/>
              <w:right w:val="single" w:color="auto" w:sz="4" w:space="0"/>
            </w:tcBorders>
            <w:vAlign w:val="center"/>
          </w:tcPr>
          <w:p w14:paraId="6945270A">
            <w:pPr>
              <w:jc w:val="center"/>
              <w:rPr>
                <w:rFonts w:ascii="仿宋" w:hAnsi="仿宋" w:eastAsia="仿宋" w:cs="仿宋"/>
                <w:color w:val="000000"/>
                <w:sz w:val="20"/>
                <w:szCs w:val="20"/>
              </w:rPr>
            </w:pPr>
            <w:r>
              <w:rPr>
                <w:rFonts w:hint="eastAsia"/>
                <w:sz w:val="20"/>
                <w:szCs w:val="21"/>
              </w:rPr>
              <w:t>基本服务</w:t>
            </w:r>
          </w:p>
        </w:tc>
        <w:tc>
          <w:tcPr>
            <w:tcW w:w="5437" w:type="dxa"/>
            <w:tcBorders>
              <w:top w:val="single" w:color="auto" w:sz="4" w:space="0"/>
              <w:left w:val="single" w:color="auto" w:sz="4" w:space="0"/>
              <w:bottom w:val="single" w:color="auto" w:sz="4" w:space="0"/>
              <w:right w:val="single" w:color="auto" w:sz="4" w:space="0"/>
            </w:tcBorders>
            <w:vAlign w:val="center"/>
          </w:tcPr>
          <w:p w14:paraId="766B1ACF">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1.</w:t>
            </w:r>
            <w:r>
              <w:rPr>
                <w:rFonts w:hint="eastAsia" w:asciiTheme="minorEastAsia" w:hAnsiTheme="minorEastAsia" w:eastAsiaTheme="minorEastAsia" w:cstheme="minorEastAsia"/>
                <w:kern w:val="2"/>
              </w:rPr>
              <w:t>传输技术：支持FTTH 全光网络，端到端光缆连接，光纤联入房间；</w:t>
            </w:r>
          </w:p>
          <w:p w14:paraId="2E2CB760">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2.</w:t>
            </w:r>
            <w:r>
              <w:rPr>
                <w:rFonts w:hint="eastAsia" w:asciiTheme="minorEastAsia" w:hAnsiTheme="minorEastAsia" w:eastAsiaTheme="minorEastAsia" w:cstheme="minorEastAsia"/>
                <w:kern w:val="2"/>
              </w:rPr>
              <w:t>稳定性：单次故障中断时间≤2小时，年故障中断时间≤12小时；</w:t>
            </w:r>
          </w:p>
          <w:p w14:paraId="7C3C4D16">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3.</w:t>
            </w:r>
            <w:r>
              <w:rPr>
                <w:rFonts w:hint="eastAsia" w:asciiTheme="minorEastAsia" w:hAnsiTheme="minorEastAsia" w:eastAsiaTheme="minorEastAsia" w:cstheme="minorEastAsia"/>
                <w:kern w:val="2"/>
              </w:rPr>
              <w:t>速率标准：每间病房配备包括100Mbps及以上的速率宽带接入产品。宽带产品速率要满足行业标准YD/T 2400-2012《宽带速率测试方法固定宽带接入》要求；</w:t>
            </w:r>
          </w:p>
          <w:p w14:paraId="63327708">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4.综合布线：</w:t>
            </w:r>
            <w:r>
              <w:rPr>
                <w:rFonts w:hint="eastAsia" w:asciiTheme="minorEastAsia" w:hAnsiTheme="minorEastAsia" w:eastAsiaTheme="minorEastAsia" w:cstheme="minorEastAsia"/>
                <w:kern w:val="2"/>
              </w:rPr>
              <w:t>提供光纤进入医院大楼中心汇聚点，在每个楼层管道井放光缆并加分光器，再布放皮纤进房间，完成医院从楼道交换机到房间的光纤敷设，一共30个点位；</w:t>
            </w:r>
          </w:p>
          <w:p w14:paraId="2B143EEB">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5.</w:t>
            </w:r>
            <w:r>
              <w:rPr>
                <w:rFonts w:hint="eastAsia" w:asciiTheme="minorEastAsia" w:hAnsiTheme="minorEastAsia" w:eastAsiaTheme="minorEastAsia" w:cstheme="minorEastAsia"/>
                <w:kern w:val="2"/>
              </w:rPr>
              <w:t>协议标准：支持 WiFi5 及以上协议，双频并发速率≥1167Mbps；</w:t>
            </w:r>
          </w:p>
          <w:p w14:paraId="6A8CB728">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6.</w:t>
            </w:r>
            <w:r>
              <w:rPr>
                <w:rFonts w:hint="eastAsia" w:asciiTheme="minorEastAsia" w:hAnsiTheme="minorEastAsia" w:eastAsiaTheme="minorEastAsia" w:cstheme="minorEastAsia"/>
                <w:kern w:val="2"/>
              </w:rPr>
              <w:t>网关设备硬件配置：≥双核 1GHz 及以上 CPU，≥256MB SPI FLASH，≥512MB 内存；</w:t>
            </w:r>
          </w:p>
          <w:p w14:paraId="67668549">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7.</w:t>
            </w:r>
            <w:r>
              <w:rPr>
                <w:rFonts w:hint="eastAsia" w:asciiTheme="minorEastAsia" w:hAnsiTheme="minorEastAsia" w:eastAsiaTheme="minorEastAsia" w:cstheme="minorEastAsia"/>
                <w:kern w:val="2"/>
              </w:rPr>
              <w:t>网关设备接口配置：≥2 个 GE 以太网接口、1 个 POTS 接口、2 个 USB2.0 接口、1 个 HDMI 接口；</w:t>
            </w:r>
          </w:p>
          <w:p w14:paraId="514F4FB4">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8.</w:t>
            </w:r>
            <w:r>
              <w:rPr>
                <w:rFonts w:hint="eastAsia" w:asciiTheme="minorEastAsia" w:hAnsiTheme="minorEastAsia" w:eastAsiaTheme="minorEastAsia" w:cstheme="minorEastAsia"/>
                <w:kern w:val="2"/>
              </w:rPr>
              <w:t>覆盖范围：确保全院不少于</w:t>
            </w:r>
            <w:r>
              <w:rPr>
                <w:rFonts w:asciiTheme="minorEastAsia" w:hAnsiTheme="minorEastAsia" w:eastAsiaTheme="minorEastAsia" w:cstheme="minorEastAsia"/>
                <w:kern w:val="2"/>
              </w:rPr>
              <w:t>40</w:t>
            </w:r>
            <w:r>
              <w:rPr>
                <w:rFonts w:hint="eastAsia" w:asciiTheme="minorEastAsia" w:hAnsiTheme="minorEastAsia" w:eastAsiaTheme="minorEastAsia" w:cstheme="minorEastAsia"/>
                <w:kern w:val="2"/>
              </w:rPr>
              <w:t>间病房区域无盲区，信号强度≥-75dBm；</w:t>
            </w:r>
          </w:p>
          <w:p w14:paraId="7173049D">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9.</w:t>
            </w:r>
            <w:r>
              <w:rPr>
                <w:rFonts w:hint="eastAsia" w:asciiTheme="minorEastAsia" w:hAnsiTheme="minorEastAsia" w:eastAsiaTheme="minorEastAsia" w:cstheme="minorEastAsia"/>
                <w:kern w:val="2"/>
              </w:rPr>
              <w:t>接入能力：支持单病房≥10台终端并发；</w:t>
            </w:r>
          </w:p>
          <w:p w14:paraId="390DCE2E">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10.</w:t>
            </w:r>
            <w:r>
              <w:rPr>
                <w:rFonts w:hint="eastAsia" w:asciiTheme="minorEastAsia" w:hAnsiTheme="minorEastAsia" w:eastAsiaTheme="minorEastAsia" w:cstheme="minorEastAsia"/>
                <w:kern w:val="2"/>
              </w:rPr>
              <w:t>传输质量：时延≤50ms，丢包率≤1%，高清视频播放、视频通话无卡顿；</w:t>
            </w:r>
          </w:p>
          <w:p w14:paraId="2973CE80">
            <w:pPr>
              <w:pStyle w:val="10"/>
              <w:ind w:left="425" w:hanging="425"/>
              <w:rPr>
                <w:rFonts w:asciiTheme="minorEastAsia" w:hAnsiTheme="minorEastAsia" w:eastAsiaTheme="minorEastAsia" w:cstheme="minorEastAsia"/>
                <w:kern w:val="2"/>
              </w:rPr>
            </w:pPr>
            <w:r>
              <w:rPr>
                <w:rFonts w:asciiTheme="minorEastAsia" w:hAnsiTheme="minorEastAsia" w:eastAsiaTheme="minorEastAsia" w:cstheme="minorEastAsia"/>
                <w:kern w:val="2"/>
              </w:rPr>
              <w:t>11.</w:t>
            </w:r>
            <w:r>
              <w:rPr>
                <w:rFonts w:hint="eastAsia" w:asciiTheme="minorEastAsia" w:hAnsiTheme="minorEastAsia" w:eastAsiaTheme="minorEastAsia" w:cstheme="minorEastAsia"/>
                <w:kern w:val="2"/>
              </w:rPr>
              <w:t>穿墙性能：支持多穿一堵墙速率衰减≤10%；</w:t>
            </w:r>
          </w:p>
        </w:tc>
        <w:tc>
          <w:tcPr>
            <w:tcW w:w="1066" w:type="dxa"/>
            <w:tcBorders>
              <w:top w:val="single" w:color="000000" w:sz="4" w:space="0"/>
              <w:left w:val="single" w:color="auto" w:sz="4" w:space="0"/>
              <w:bottom w:val="single" w:color="000000" w:sz="4" w:space="0"/>
              <w:right w:val="single" w:color="000000" w:sz="4" w:space="0"/>
            </w:tcBorders>
            <w:vAlign w:val="center"/>
          </w:tcPr>
          <w:p w14:paraId="24AE7207">
            <w:pPr>
              <w:jc w:val="center"/>
              <w:rPr>
                <w:rFonts w:ascii="仿宋" w:hAnsi="仿宋" w:eastAsia="仿宋" w:cs="仿宋"/>
                <w:color w:val="000000"/>
                <w:sz w:val="20"/>
                <w:szCs w:val="20"/>
              </w:rPr>
            </w:pPr>
          </w:p>
        </w:tc>
        <w:tc>
          <w:tcPr>
            <w:tcW w:w="645" w:type="dxa"/>
            <w:tcBorders>
              <w:top w:val="single" w:color="000000" w:sz="4" w:space="0"/>
              <w:left w:val="single" w:color="000000" w:sz="4" w:space="0"/>
              <w:bottom w:val="single" w:color="000000" w:sz="4" w:space="0"/>
              <w:right w:val="single" w:color="000000" w:sz="4" w:space="0"/>
            </w:tcBorders>
            <w:vAlign w:val="center"/>
          </w:tcPr>
          <w:p w14:paraId="4B8EB0A7">
            <w:pPr>
              <w:jc w:val="center"/>
              <w:rPr>
                <w:rFonts w:ascii="仿宋" w:hAnsi="仿宋" w:eastAsia="仿宋" w:cs="仿宋"/>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vAlign w:val="center"/>
          </w:tcPr>
          <w:p w14:paraId="3A088F6C">
            <w:pPr>
              <w:rPr>
                <w:rFonts w:ascii="仿宋" w:hAnsi="仿宋" w:eastAsia="仿宋" w:cs="仿宋"/>
                <w:color w:val="000000"/>
                <w:sz w:val="20"/>
                <w:szCs w:val="20"/>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6BEBE830">
            <w:pPr>
              <w:jc w:val="center"/>
              <w:rPr>
                <w:rFonts w:ascii="仿宋" w:hAnsi="仿宋" w:eastAsia="仿宋" w:cs="仿宋"/>
                <w:color w:val="000000"/>
                <w:sz w:val="20"/>
                <w:szCs w:val="20"/>
              </w:rPr>
            </w:pPr>
          </w:p>
        </w:tc>
      </w:tr>
      <w:tr w14:paraId="2853ACDC">
        <w:tblPrEx>
          <w:tblCellMar>
            <w:top w:w="0" w:type="dxa"/>
            <w:left w:w="108" w:type="dxa"/>
            <w:bottom w:w="0" w:type="dxa"/>
            <w:right w:w="108" w:type="dxa"/>
          </w:tblCellMar>
        </w:tblPrEx>
        <w:trPr>
          <w:trHeight w:val="90" w:hRule="atLeast"/>
        </w:trPr>
        <w:tc>
          <w:tcPr>
            <w:tcW w:w="682" w:type="dxa"/>
            <w:vMerge w:val="continue"/>
            <w:tcBorders>
              <w:left w:val="single" w:color="auto" w:sz="4" w:space="0"/>
              <w:right w:val="single" w:color="auto" w:sz="4" w:space="0"/>
            </w:tcBorders>
            <w:vAlign w:val="center"/>
          </w:tcPr>
          <w:p w14:paraId="5B0917FB">
            <w:pPr>
              <w:jc w:val="left"/>
              <w:rPr>
                <w:rFonts w:ascii="仿宋" w:hAnsi="仿宋" w:eastAsia="仿宋" w:cs="仿宋"/>
                <w:color w:val="000000"/>
                <w:sz w:val="20"/>
                <w:szCs w:val="20"/>
              </w:rPr>
            </w:pPr>
          </w:p>
        </w:tc>
        <w:tc>
          <w:tcPr>
            <w:tcW w:w="1080" w:type="dxa"/>
            <w:tcBorders>
              <w:top w:val="single" w:color="auto" w:sz="4" w:space="0"/>
              <w:left w:val="single" w:color="auto" w:sz="4" w:space="0"/>
              <w:bottom w:val="single" w:color="auto" w:sz="4" w:space="0"/>
              <w:right w:val="single" w:color="auto" w:sz="4" w:space="0"/>
            </w:tcBorders>
            <w:vAlign w:val="center"/>
          </w:tcPr>
          <w:p w14:paraId="4DC50747">
            <w:pPr>
              <w:jc w:val="center"/>
              <w:rPr>
                <w:rFonts w:ascii="Arial" w:hAnsi="Arial" w:cs="Arial"/>
                <w:sz w:val="20"/>
                <w:szCs w:val="21"/>
              </w:rPr>
            </w:pPr>
            <w:r>
              <w:rPr>
                <w:rFonts w:hint="eastAsia" w:ascii="Arial" w:hAnsi="Arial" w:cs="Arial"/>
                <w:sz w:val="20"/>
                <w:szCs w:val="21"/>
              </w:rPr>
              <w:t>安全服务要求</w:t>
            </w:r>
          </w:p>
        </w:tc>
        <w:tc>
          <w:tcPr>
            <w:tcW w:w="5437" w:type="dxa"/>
            <w:tcBorders>
              <w:top w:val="single" w:color="auto" w:sz="4" w:space="0"/>
              <w:left w:val="single" w:color="auto" w:sz="4" w:space="0"/>
              <w:bottom w:val="single" w:color="auto" w:sz="4" w:space="0"/>
              <w:right w:val="single" w:color="auto" w:sz="4" w:space="0"/>
            </w:tcBorders>
            <w:vAlign w:val="center"/>
          </w:tcPr>
          <w:p w14:paraId="19DBC4BB">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12.</w:t>
            </w:r>
            <w:r>
              <w:rPr>
                <w:rFonts w:hint="eastAsia" w:asciiTheme="minorEastAsia" w:hAnsiTheme="minorEastAsia" w:eastAsiaTheme="minorEastAsia" w:cstheme="minorEastAsia"/>
                <w:kern w:val="2"/>
              </w:rPr>
              <w:t>网络安全：支持防破解、防刷机，WPA2防护升级、防Wi-Fi入侵；</w:t>
            </w:r>
          </w:p>
          <w:p w14:paraId="5D69F709">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13.</w:t>
            </w:r>
            <w:r>
              <w:rPr>
                <w:rFonts w:hint="eastAsia" w:asciiTheme="minorEastAsia" w:hAnsiTheme="minorEastAsia" w:eastAsiaTheme="minorEastAsia" w:cstheme="minorEastAsia"/>
                <w:kern w:val="2"/>
              </w:rPr>
              <w:t>数据解析上报：符合《互联网安全保护技术措施规定》和《中华人民共和国网络安全法》等法律法规对公共场所网络安全方面的要求。</w:t>
            </w:r>
          </w:p>
        </w:tc>
        <w:tc>
          <w:tcPr>
            <w:tcW w:w="1066" w:type="dxa"/>
            <w:tcBorders>
              <w:top w:val="single" w:color="000000" w:sz="4" w:space="0"/>
              <w:left w:val="single" w:color="auto" w:sz="4" w:space="0"/>
              <w:bottom w:val="single" w:color="000000" w:sz="4" w:space="0"/>
              <w:right w:val="single" w:color="000000" w:sz="4" w:space="0"/>
            </w:tcBorders>
            <w:vAlign w:val="center"/>
          </w:tcPr>
          <w:p w14:paraId="47F548BD">
            <w:pPr>
              <w:jc w:val="center"/>
              <w:rPr>
                <w:rFonts w:ascii="仿宋" w:hAnsi="仿宋" w:eastAsia="仿宋" w:cs="仿宋"/>
                <w:color w:val="000000"/>
                <w:sz w:val="20"/>
                <w:szCs w:val="20"/>
              </w:rPr>
            </w:pPr>
          </w:p>
        </w:tc>
        <w:tc>
          <w:tcPr>
            <w:tcW w:w="645" w:type="dxa"/>
            <w:tcBorders>
              <w:top w:val="single" w:color="000000" w:sz="4" w:space="0"/>
              <w:left w:val="single" w:color="000000" w:sz="4" w:space="0"/>
              <w:bottom w:val="single" w:color="000000" w:sz="4" w:space="0"/>
              <w:right w:val="single" w:color="000000" w:sz="4" w:space="0"/>
            </w:tcBorders>
            <w:vAlign w:val="center"/>
          </w:tcPr>
          <w:p w14:paraId="1F01743C">
            <w:pPr>
              <w:jc w:val="center"/>
              <w:rPr>
                <w:rFonts w:ascii="仿宋" w:hAnsi="仿宋" w:eastAsia="仿宋" w:cs="仿宋"/>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vAlign w:val="center"/>
          </w:tcPr>
          <w:p w14:paraId="5280B7F0">
            <w:pPr>
              <w:rPr>
                <w:rFonts w:ascii="仿宋" w:hAnsi="仿宋" w:eastAsia="仿宋" w:cs="仿宋"/>
                <w:color w:val="000000"/>
                <w:sz w:val="20"/>
                <w:szCs w:val="20"/>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6B7E3362">
            <w:pPr>
              <w:jc w:val="center"/>
              <w:rPr>
                <w:rFonts w:ascii="仿宋" w:hAnsi="仿宋" w:eastAsia="仿宋" w:cs="仿宋"/>
                <w:color w:val="000000"/>
                <w:sz w:val="20"/>
                <w:szCs w:val="20"/>
              </w:rPr>
            </w:pPr>
          </w:p>
        </w:tc>
      </w:tr>
      <w:tr w14:paraId="7930DA3A">
        <w:tblPrEx>
          <w:tblCellMar>
            <w:top w:w="0" w:type="dxa"/>
            <w:left w:w="108" w:type="dxa"/>
            <w:bottom w:w="0" w:type="dxa"/>
            <w:right w:w="108" w:type="dxa"/>
          </w:tblCellMar>
        </w:tblPrEx>
        <w:trPr>
          <w:trHeight w:val="720" w:hRule="atLeast"/>
        </w:trPr>
        <w:tc>
          <w:tcPr>
            <w:tcW w:w="682" w:type="dxa"/>
            <w:tcBorders>
              <w:top w:val="single" w:color="auto" w:sz="4" w:space="0"/>
              <w:left w:val="single" w:color="auto" w:sz="4" w:space="0"/>
              <w:bottom w:val="single" w:color="auto" w:sz="4" w:space="0"/>
              <w:right w:val="single" w:color="auto" w:sz="4" w:space="0"/>
            </w:tcBorders>
            <w:vAlign w:val="center"/>
          </w:tcPr>
          <w:p w14:paraId="67517D76">
            <w:pPr>
              <w:jc w:val="left"/>
              <w:rPr>
                <w:sz w:val="20"/>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65250EA5">
            <w:pPr>
              <w:pStyle w:val="2"/>
              <w:rPr>
                <w:rFonts w:eastAsiaTheme="minorEastAsia"/>
                <w:b w:val="0"/>
                <w:bCs w:val="0"/>
                <w:kern w:val="2"/>
                <w:sz w:val="20"/>
                <w:szCs w:val="21"/>
              </w:rPr>
            </w:pPr>
            <w:r>
              <w:rPr>
                <w:rFonts w:hint="eastAsia" w:eastAsiaTheme="minorEastAsia"/>
                <w:b w:val="0"/>
                <w:bCs w:val="0"/>
                <w:kern w:val="2"/>
                <w:sz w:val="20"/>
                <w:szCs w:val="21"/>
              </w:rPr>
              <w:t>运维保障服务要求</w:t>
            </w:r>
          </w:p>
          <w:p w14:paraId="1831B9A3">
            <w:pPr>
              <w:jc w:val="center"/>
              <w:rPr>
                <w:rFonts w:ascii="仿宋" w:hAnsi="仿宋" w:eastAsia="宋体" w:cs="Times New Roman"/>
                <w:b/>
                <w:sz w:val="20"/>
                <w:szCs w:val="20"/>
              </w:rPr>
            </w:pPr>
          </w:p>
        </w:tc>
        <w:tc>
          <w:tcPr>
            <w:tcW w:w="5437" w:type="dxa"/>
            <w:tcBorders>
              <w:top w:val="single" w:color="auto" w:sz="4" w:space="0"/>
              <w:left w:val="single" w:color="auto" w:sz="4" w:space="0"/>
              <w:bottom w:val="single" w:color="auto" w:sz="4" w:space="0"/>
              <w:right w:val="single" w:color="auto" w:sz="4" w:space="0"/>
            </w:tcBorders>
            <w:vAlign w:val="center"/>
          </w:tcPr>
          <w:p w14:paraId="3B100E28">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14.</w:t>
            </w:r>
            <w:r>
              <w:rPr>
                <w:rFonts w:hint="eastAsia" w:asciiTheme="minorEastAsia" w:hAnsiTheme="minorEastAsia" w:eastAsiaTheme="minorEastAsia" w:cstheme="minorEastAsia"/>
                <w:kern w:val="2"/>
              </w:rPr>
              <w:t>响应机制：7×24 小时专属服务热线，故障 15 分钟内响应，60 分钟内抵达现场；</w:t>
            </w:r>
          </w:p>
          <w:p w14:paraId="2B2DEF15">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15.</w:t>
            </w:r>
            <w:r>
              <w:rPr>
                <w:rFonts w:hint="eastAsia" w:asciiTheme="minorEastAsia" w:hAnsiTheme="minorEastAsia" w:eastAsiaTheme="minorEastAsia" w:cstheme="minorEastAsia"/>
                <w:kern w:val="2"/>
              </w:rPr>
              <w:t>修复时限：一般性故障≤4 小时解决，重大故障（主干光缆等）≤8 小时解决；</w:t>
            </w:r>
          </w:p>
          <w:p w14:paraId="3BC1AF8F">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16.</w:t>
            </w:r>
            <w:r>
              <w:rPr>
                <w:rFonts w:hint="eastAsia" w:asciiTheme="minorEastAsia" w:hAnsiTheme="minorEastAsia" w:eastAsiaTheme="minorEastAsia" w:cstheme="minorEastAsia"/>
                <w:kern w:val="2"/>
              </w:rPr>
              <w:t>巡检维护：每季度开展 1 次网络优化与设备巡检，提供巡检报告；</w:t>
            </w:r>
          </w:p>
          <w:p w14:paraId="48526277">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17.</w:t>
            </w:r>
            <w:r>
              <w:rPr>
                <w:rFonts w:hint="eastAsia" w:asciiTheme="minorEastAsia" w:hAnsiTheme="minorEastAsia" w:eastAsiaTheme="minorEastAsia" w:cstheme="minorEastAsia"/>
                <w:kern w:val="2"/>
              </w:rPr>
              <w:t>备品备件：按 1% 标准配置备用网关及应急光纤，确保突发故障 2 小时内恢复；</w:t>
            </w:r>
          </w:p>
          <w:p w14:paraId="5B004B74">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18.</w:t>
            </w:r>
            <w:r>
              <w:rPr>
                <w:rFonts w:hint="eastAsia" w:asciiTheme="minorEastAsia" w:hAnsiTheme="minorEastAsia" w:eastAsiaTheme="minorEastAsia" w:cstheme="minorEastAsia"/>
                <w:kern w:val="2"/>
              </w:rPr>
              <w:t>保障服务：免费安装维护、安装调试。免费提供设备软件补丁更新、安全升级，适配终端接入量增长；</w:t>
            </w:r>
          </w:p>
        </w:tc>
        <w:tc>
          <w:tcPr>
            <w:tcW w:w="1066" w:type="dxa"/>
            <w:tcBorders>
              <w:top w:val="single" w:color="000000" w:sz="4" w:space="0"/>
              <w:left w:val="single" w:color="auto" w:sz="4" w:space="0"/>
              <w:bottom w:val="single" w:color="000000" w:sz="4" w:space="0"/>
              <w:right w:val="single" w:color="000000" w:sz="4" w:space="0"/>
            </w:tcBorders>
            <w:vAlign w:val="center"/>
          </w:tcPr>
          <w:p w14:paraId="12FE5007">
            <w:pPr>
              <w:jc w:val="center"/>
              <w:rPr>
                <w:rFonts w:ascii="仿宋" w:hAnsi="仿宋" w:eastAsia="仿宋" w:cs="仿宋"/>
                <w:color w:val="000000"/>
                <w:sz w:val="20"/>
                <w:szCs w:val="20"/>
              </w:rPr>
            </w:pPr>
          </w:p>
        </w:tc>
        <w:tc>
          <w:tcPr>
            <w:tcW w:w="645" w:type="dxa"/>
            <w:tcBorders>
              <w:top w:val="single" w:color="000000" w:sz="4" w:space="0"/>
              <w:left w:val="single" w:color="000000" w:sz="4" w:space="0"/>
              <w:bottom w:val="single" w:color="000000" w:sz="4" w:space="0"/>
              <w:right w:val="single" w:color="000000" w:sz="4" w:space="0"/>
            </w:tcBorders>
            <w:vAlign w:val="center"/>
          </w:tcPr>
          <w:p w14:paraId="4EA4AFD6">
            <w:pPr>
              <w:jc w:val="center"/>
              <w:rPr>
                <w:rFonts w:ascii="仿宋" w:hAnsi="仿宋" w:eastAsia="仿宋" w:cs="仿宋"/>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vAlign w:val="center"/>
          </w:tcPr>
          <w:p w14:paraId="02156F99">
            <w:pPr>
              <w:jc w:val="center"/>
              <w:rPr>
                <w:rFonts w:ascii="仿宋" w:hAnsi="仿宋" w:eastAsia="仿宋" w:cs="仿宋"/>
                <w:color w:val="000000"/>
                <w:sz w:val="20"/>
                <w:szCs w:val="20"/>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3DE4CAE0">
            <w:pPr>
              <w:jc w:val="center"/>
              <w:rPr>
                <w:rFonts w:ascii="仿宋" w:hAnsi="仿宋" w:eastAsia="仿宋" w:cs="仿宋"/>
                <w:color w:val="000000"/>
                <w:sz w:val="20"/>
                <w:szCs w:val="20"/>
              </w:rPr>
            </w:pPr>
          </w:p>
        </w:tc>
      </w:tr>
      <w:tr w14:paraId="00DF4186">
        <w:tblPrEx>
          <w:tblCellMar>
            <w:top w:w="0" w:type="dxa"/>
            <w:left w:w="108" w:type="dxa"/>
            <w:bottom w:w="0" w:type="dxa"/>
            <w:right w:w="108" w:type="dxa"/>
          </w:tblCellMar>
        </w:tblPrEx>
        <w:trPr>
          <w:trHeight w:val="388" w:hRule="atLeast"/>
        </w:trPr>
        <w:tc>
          <w:tcPr>
            <w:tcW w:w="682" w:type="dxa"/>
            <w:tcBorders>
              <w:top w:val="single" w:color="auto" w:sz="4" w:space="0"/>
              <w:left w:val="single" w:color="auto" w:sz="4" w:space="0"/>
              <w:bottom w:val="single" w:color="auto" w:sz="4" w:space="0"/>
              <w:right w:val="single" w:color="auto" w:sz="4" w:space="0"/>
            </w:tcBorders>
            <w:vAlign w:val="center"/>
          </w:tcPr>
          <w:p w14:paraId="1ABD72BD">
            <w:pPr>
              <w:jc w:val="left"/>
              <w:rPr>
                <w:sz w:val="20"/>
                <w:szCs w:val="21"/>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57E27A1">
            <w:pPr>
              <w:pStyle w:val="10"/>
              <w:rPr>
                <w:rFonts w:asciiTheme="minorHAnsi" w:hAnsiTheme="minorHAnsi" w:eastAsiaTheme="minorEastAsia" w:cstheme="minorBidi"/>
                <w:kern w:val="2"/>
                <w:sz w:val="20"/>
                <w:szCs w:val="21"/>
              </w:rPr>
            </w:pPr>
            <w:r>
              <w:rPr>
                <w:rFonts w:hint="eastAsia" w:asciiTheme="minorHAnsi" w:hAnsiTheme="minorHAnsi" w:eastAsiaTheme="minorEastAsia" w:cstheme="minorBidi"/>
                <w:kern w:val="2"/>
                <w:sz w:val="20"/>
                <w:szCs w:val="21"/>
              </w:rPr>
              <w:t>其他</w:t>
            </w:r>
          </w:p>
          <w:p w14:paraId="284F50AE">
            <w:pPr>
              <w:pStyle w:val="10"/>
              <w:rPr>
                <w:rFonts w:asciiTheme="minorHAnsi" w:hAnsiTheme="minorHAnsi" w:eastAsiaTheme="minorEastAsia" w:cstheme="minorBidi"/>
                <w:kern w:val="2"/>
                <w:sz w:val="20"/>
                <w:szCs w:val="21"/>
              </w:rPr>
            </w:pPr>
            <w:r>
              <w:rPr>
                <w:rFonts w:hint="eastAsia" w:asciiTheme="minorHAnsi" w:hAnsiTheme="minorHAnsi" w:eastAsiaTheme="minorEastAsia" w:cstheme="minorBidi"/>
                <w:kern w:val="2"/>
                <w:sz w:val="20"/>
                <w:szCs w:val="21"/>
              </w:rPr>
              <w:t>要求</w:t>
            </w:r>
          </w:p>
        </w:tc>
        <w:tc>
          <w:tcPr>
            <w:tcW w:w="5437" w:type="dxa"/>
            <w:tcBorders>
              <w:top w:val="single" w:color="auto" w:sz="4" w:space="0"/>
              <w:left w:val="single" w:color="auto" w:sz="4" w:space="0"/>
              <w:bottom w:val="single" w:color="auto" w:sz="4" w:space="0"/>
              <w:right w:val="single" w:color="auto" w:sz="4" w:space="0"/>
            </w:tcBorders>
            <w:shd w:val="clear" w:color="auto" w:fill="auto"/>
            <w:vAlign w:val="center"/>
          </w:tcPr>
          <w:p w14:paraId="404F9C80">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19.</w:t>
            </w:r>
            <w:r>
              <w:rPr>
                <w:rFonts w:hint="eastAsia" w:asciiTheme="minorEastAsia" w:hAnsiTheme="minorEastAsia" w:eastAsiaTheme="minorEastAsia" w:cstheme="minorEastAsia"/>
                <w:kern w:val="2"/>
              </w:rPr>
              <w:t xml:space="preserve">本次建设区域的点位要求根据实际地勘，需施工周期：合同签订后 </w:t>
            </w:r>
            <w:r>
              <w:rPr>
                <w:rFonts w:asciiTheme="minorEastAsia" w:hAnsiTheme="minorEastAsia" w:eastAsiaTheme="minorEastAsia" w:cstheme="minorEastAsia"/>
                <w:kern w:val="2"/>
              </w:rPr>
              <w:t>30</w:t>
            </w:r>
            <w:r>
              <w:rPr>
                <w:rFonts w:hint="eastAsia" w:asciiTheme="minorEastAsia" w:hAnsiTheme="minorEastAsia" w:eastAsiaTheme="minorEastAsia" w:cstheme="minorEastAsia"/>
                <w:kern w:val="2"/>
              </w:rPr>
              <w:t>个工作日内完成全部安装、调试及试运行；</w:t>
            </w:r>
          </w:p>
          <w:p w14:paraId="59485E38">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20.</w:t>
            </w:r>
            <w:r>
              <w:rPr>
                <w:rFonts w:hint="eastAsia" w:asciiTheme="minorEastAsia" w:hAnsiTheme="minorEastAsia" w:eastAsiaTheme="minorEastAsia" w:cstheme="minorEastAsia"/>
                <w:kern w:val="2"/>
              </w:rPr>
              <w:t>施工要求：避开诊疗高峰时段作业，设备安装隐蔽化（网关设备放置电视机后方或设备带或支架和线槽固定安装），不影响病房环境等；</w:t>
            </w:r>
          </w:p>
          <w:p w14:paraId="1305181C">
            <w:pPr>
              <w:pStyle w:val="10"/>
              <w:rPr>
                <w:rFonts w:asciiTheme="minorEastAsia" w:hAnsiTheme="minorEastAsia" w:eastAsiaTheme="minorEastAsia" w:cstheme="minorEastAsia"/>
                <w:kern w:val="2"/>
              </w:rPr>
            </w:pPr>
            <w:r>
              <w:rPr>
                <w:rFonts w:asciiTheme="minorEastAsia" w:hAnsiTheme="minorEastAsia" w:eastAsiaTheme="minorEastAsia" w:cstheme="minorEastAsia"/>
                <w:kern w:val="2"/>
              </w:rPr>
              <w:t>21.</w:t>
            </w:r>
            <w:r>
              <w:rPr>
                <w:rFonts w:hint="eastAsia" w:asciiTheme="minorEastAsia" w:hAnsiTheme="minorEastAsia" w:eastAsiaTheme="minorEastAsia" w:cstheme="minorEastAsia"/>
                <w:kern w:val="2"/>
              </w:rPr>
              <w:t>交付资料：提供施工图纸、服务设备清单、网络检测报告、运维手册、验收报告等完整技术资料。</w:t>
            </w:r>
          </w:p>
        </w:tc>
        <w:tc>
          <w:tcPr>
            <w:tcW w:w="1066" w:type="dxa"/>
            <w:tcBorders>
              <w:top w:val="single" w:color="000000" w:sz="4" w:space="0"/>
              <w:left w:val="single" w:color="auto" w:sz="4" w:space="0"/>
              <w:bottom w:val="single" w:color="000000" w:sz="4" w:space="0"/>
              <w:right w:val="single" w:color="000000" w:sz="4" w:space="0"/>
            </w:tcBorders>
            <w:shd w:val="clear" w:color="auto" w:fill="auto"/>
            <w:vAlign w:val="center"/>
          </w:tcPr>
          <w:p w14:paraId="200C3CE2">
            <w:pPr>
              <w:jc w:val="center"/>
              <w:rPr>
                <w:rFonts w:ascii="仿宋" w:hAnsi="仿宋" w:eastAsia="仿宋" w:cs="仿宋"/>
                <w:color w:val="000000"/>
                <w:sz w:val="20"/>
                <w:szCs w:val="20"/>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4F776">
            <w:pPr>
              <w:jc w:val="center"/>
              <w:rPr>
                <w:rFonts w:ascii="仿宋" w:hAnsi="仿宋" w:eastAsia="仿宋" w:cs="仿宋"/>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BC14">
            <w:pPr>
              <w:jc w:val="center"/>
              <w:rPr>
                <w:rFonts w:ascii="仿宋" w:hAnsi="仿宋" w:eastAsia="仿宋" w:cs="仿宋"/>
                <w:color w:val="000000"/>
                <w:sz w:val="20"/>
                <w:szCs w:val="20"/>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3827">
            <w:pPr>
              <w:jc w:val="center"/>
              <w:rPr>
                <w:rFonts w:ascii="仿宋" w:hAnsi="仿宋" w:eastAsia="仿宋" w:cs="仿宋"/>
                <w:color w:val="000000"/>
                <w:sz w:val="20"/>
                <w:szCs w:val="20"/>
              </w:rPr>
            </w:pPr>
          </w:p>
        </w:tc>
      </w:tr>
    </w:tbl>
    <w:p w14:paraId="585E36C1">
      <w:pPr>
        <w:rPr>
          <w:rFonts w:ascii="仿宋" w:hAnsi="仿宋" w:eastAsia="仿宋"/>
          <w:sz w:val="20"/>
          <w:szCs w:val="20"/>
        </w:rPr>
      </w:pPr>
    </w:p>
    <w:p w14:paraId="445711AF"/>
    <w:p w14:paraId="2E37228C"/>
    <w:p w14:paraId="7C5CFD42"/>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71044E29">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0AEF0096">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321A5"/>
    <w:rsid w:val="003C786D"/>
    <w:rsid w:val="00420AD6"/>
    <w:rsid w:val="006D1313"/>
    <w:rsid w:val="00C16A2F"/>
    <w:rsid w:val="00CE01AF"/>
    <w:rsid w:val="00D94134"/>
    <w:rsid w:val="00DC4657"/>
    <w:rsid w:val="00F22F5D"/>
    <w:rsid w:val="0D63781E"/>
    <w:rsid w:val="1D952165"/>
    <w:rsid w:val="226B61C1"/>
    <w:rsid w:val="26C40D95"/>
    <w:rsid w:val="2F5321A5"/>
    <w:rsid w:val="3D2E0863"/>
    <w:rsid w:val="41E07BC5"/>
    <w:rsid w:val="443466F6"/>
    <w:rsid w:val="466F101E"/>
    <w:rsid w:val="4DC0511E"/>
    <w:rsid w:val="4F2E4049"/>
    <w:rsid w:val="52144974"/>
    <w:rsid w:val="530B38E5"/>
    <w:rsid w:val="5586181B"/>
    <w:rsid w:val="55A61710"/>
    <w:rsid w:val="585D7735"/>
    <w:rsid w:val="626C1FD5"/>
    <w:rsid w:val="735D7770"/>
    <w:rsid w:val="775009B1"/>
    <w:rsid w:val="795077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next w:val="1"/>
    <w:qFormat/>
    <w:uiPriority w:val="0"/>
    <w:pPr>
      <w:spacing w:before="300" w:after="120" w:line="288" w:lineRule="auto"/>
      <w:outlineLvl w:val="2"/>
    </w:pPr>
    <w:rPr>
      <w:rFonts w:ascii="Arial" w:hAnsi="Arial" w:eastAsia="等线" w:cs="Arial"/>
      <w:b/>
      <w:bCs/>
      <w:sz w:val="30"/>
      <w:szCs w:val="30"/>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rFonts w:ascii="Calibri" w:hAnsi="Calibri" w:eastAsia="宋体" w:cs="Times New Roman"/>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rPr>
      <w:rFonts w:ascii="Times New Roman" w:hAnsi="Times New Roman" w:eastAsia="宋体"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9">
    <w:name w:val="NormalCharacter"/>
    <w:qFormat/>
    <w:uiPriority w:val="0"/>
  </w:style>
  <w:style w:type="paragraph" w:customStyle="1" w:styleId="10">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11">
    <w:name w:val="QB正文"/>
    <w:qFormat/>
    <w:uiPriority w:val="0"/>
    <w:pPr>
      <w:adjustRightInd w:val="0"/>
      <w:ind w:firstLine="420" w:firstLineChars="200"/>
    </w:pPr>
    <w:rPr>
      <w:rFonts w:ascii="宋体" w:hAnsi="Times New Roman" w:eastAsia="宋体" w:cs="Times New Roman"/>
      <w:sz w:val="21"/>
      <w:lang w:val="en-US" w:eastAsia="zh-CN" w:bidi="ar-SA"/>
    </w:rPr>
  </w:style>
  <w:style w:type="character" w:customStyle="1" w:styleId="12">
    <w:name w:val="页眉 字符"/>
    <w:basedOn w:val="8"/>
    <w:link w:val="5"/>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1786</Words>
  <Characters>1958</Characters>
  <Lines>15</Lines>
  <Paragraphs>4</Paragraphs>
  <TotalTime>3</TotalTime>
  <ScaleCrop>false</ScaleCrop>
  <LinksUpToDate>false</LinksUpToDate>
  <CharactersWithSpaces>2098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2026-08-04T09:16:00Z</dcterms:created>
  <dc:creator>徐鹏</dc:creator>
  <cp:lastModifiedBy>夏峰</cp:lastModifiedBy>
  <dcterms:modified xsi:type="dcterms:W3CDTF">2026-10-29T07:41:30Z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7FB8646384884FA3822556EE734C5CAE_13</vt:lpwstr>
  </property>
  <property fmtid="{D5CDD505-2E9C-101B-9397-08002B2CF9AE}" pid="4" name="KSOTemplateDocerSaveRecord">
    <vt:lpwstr>eyJoZGlkIjoiODMwZWE0MjdkNmUyYzJlNjJmNTM0ODJjOTJiNjk2Y2IiLCJ1c2VySWQiOiIxNDc3MjMzOTE5In0=</vt:lpwstr>
  </property>
</Properties>
</file>