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B168A">
      <w:pPr>
        <w:jc w:val="center"/>
        <w:rPr>
          <w:b/>
          <w:bCs w:val="0"/>
          <w:sz w:val="36"/>
          <w:szCs w:val="36"/>
        </w:rPr>
      </w:pPr>
      <w:r>
        <w:rPr>
          <w:rFonts w:hint="eastAsia" w:asciiTheme="majorEastAsia" w:hAnsiTheme="majorEastAsia" w:eastAsiaTheme="majorEastAsia"/>
          <w:b/>
          <w:bCs w:val="0"/>
          <w:sz w:val="36"/>
          <w:szCs w:val="36"/>
        </w:rPr>
        <w:t>六安市中医院拟购</w:t>
      </w:r>
      <w:r>
        <w:rPr>
          <w:rFonts w:hint="eastAsia" w:asciiTheme="majorEastAsia" w:hAnsiTheme="majorEastAsia" w:eastAsiaTheme="majorEastAsia"/>
          <w:b/>
          <w:bCs w:val="0"/>
          <w:sz w:val="36"/>
          <w:szCs w:val="36"/>
          <w:u w:val="single"/>
        </w:rPr>
        <w:t xml:space="preserve"> 六安市中医院能源审计评估服务 </w:t>
      </w:r>
      <w:r>
        <w:rPr>
          <w:rFonts w:hint="eastAsia" w:asciiTheme="majorEastAsia" w:hAnsiTheme="majorEastAsia" w:eastAsiaTheme="majorEastAsia"/>
          <w:b/>
          <w:bCs w:val="0"/>
          <w:sz w:val="36"/>
          <w:szCs w:val="36"/>
        </w:rPr>
        <w:t>项</w:t>
      </w:r>
      <w:r>
        <w:rPr>
          <w:rFonts w:hint="eastAsia" w:asciiTheme="majorEastAsia" w:hAnsiTheme="majorEastAsia" w:eastAsiaTheme="majorEastAsia"/>
          <w:b/>
          <w:bCs w:val="0"/>
          <w:sz w:val="36"/>
          <w:szCs w:val="36"/>
          <w:lang w:eastAsia="zh-CN"/>
        </w:rPr>
        <w:t>目</w:t>
      </w:r>
      <w:r>
        <w:rPr>
          <w:rFonts w:hint="eastAsia" w:asciiTheme="majorEastAsia" w:hAnsiTheme="majorEastAsia" w:eastAsiaTheme="majorEastAsia"/>
          <w:b/>
          <w:bCs w:val="0"/>
          <w:sz w:val="36"/>
          <w:szCs w:val="36"/>
        </w:rPr>
        <w:t>初步参数论证征集意见的通知</w:t>
      </w:r>
    </w:p>
    <w:p w14:paraId="5E781C2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各潜在供应商：</w:t>
      </w:r>
    </w:p>
    <w:p w14:paraId="2C559C3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为保证我院拟购</w:t>
      </w:r>
      <w:r>
        <w:rPr>
          <w:rFonts w:hint="eastAsia" w:ascii="仿宋_GB2312" w:hAnsi="仿宋_GB2312" w:eastAsia="仿宋_GB2312" w:cs="仿宋_GB2312"/>
          <w:sz w:val="28"/>
          <w:szCs w:val="28"/>
          <w:u w:val="none"/>
        </w:rPr>
        <w:t xml:space="preserve"> </w:t>
      </w:r>
      <w:r>
        <w:rPr>
          <w:rFonts w:hint="eastAsia" w:ascii="仿宋_GB2312" w:hAnsi="仿宋_GB2312" w:eastAsia="仿宋_GB2312" w:cs="仿宋_GB2312"/>
          <w:sz w:val="28"/>
          <w:szCs w:val="28"/>
          <w:u w:val="single"/>
        </w:rPr>
        <w:t xml:space="preserve"> 六安市中医院能源审计评估服务项目</w:t>
      </w:r>
      <w:r>
        <w:rPr>
          <w:rFonts w:hint="eastAsia" w:ascii="仿宋_GB2312" w:hAnsi="仿宋_GB2312" w:eastAsia="仿宋_GB2312" w:cs="仿宋_GB2312"/>
          <w:sz w:val="28"/>
          <w:szCs w:val="28"/>
        </w:rPr>
        <w:t>（编号：LASZYY-</w:t>
      </w:r>
      <w:r>
        <w:rPr>
          <w:rFonts w:hint="eastAsia" w:ascii="仿宋_GB2312" w:hAnsi="仿宋_GB2312" w:eastAsia="仿宋_GB2312" w:cs="仿宋_GB2312"/>
          <w:sz w:val="28"/>
          <w:szCs w:val="28"/>
          <w:lang w:val="en-US" w:eastAsia="zh-CN"/>
        </w:rPr>
        <w:t>WLGLB</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)初步参数论证工作顺利实施，现将该项目初步参数予以公示（详见附件），以广泛征求各潜在供应商意见，促使该项目定稿版挂网参数可满足多家相关品牌相应规格型号产品能参与竞争。</w:t>
      </w:r>
    </w:p>
    <w:p w14:paraId="1564079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如各潜在供应商对公示内容有任何意见或建议，请如实填写《拟购项目初步参数论证征集意见表》并于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2026</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9</w:t>
      </w:r>
      <w:r>
        <w:rPr>
          <w:rFonts w:hint="eastAsia" w:ascii="仿宋_GB2312" w:hAnsi="仿宋_GB2312" w:eastAsia="仿宋_GB2312" w:cs="仿宋_GB2312"/>
          <w:sz w:val="28"/>
          <w:szCs w:val="28"/>
          <w:u w:val="single"/>
        </w:rPr>
        <w:t>月</w:t>
      </w:r>
      <w:r>
        <w:rPr>
          <w:rFonts w:hint="eastAsia" w:ascii="仿宋_GB2312" w:hAnsi="仿宋_GB2312" w:eastAsia="仿宋_GB2312" w:cs="仿宋_GB2312"/>
          <w:sz w:val="28"/>
          <w:szCs w:val="28"/>
          <w:u w:val="single"/>
          <w:lang w:val="en-US" w:eastAsia="zh-CN"/>
        </w:rPr>
        <w:t>7</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u w:val="single"/>
          <w:lang w:val="en-US" w:eastAsia="zh-CN"/>
        </w:rPr>
        <w:t>15</w:t>
      </w:r>
      <w:r>
        <w:rPr>
          <w:rFonts w:hint="eastAsia" w:ascii="仿宋_GB2312" w:hAnsi="仿宋_GB2312" w:eastAsia="仿宋_GB2312" w:cs="仿宋_GB2312"/>
          <w:sz w:val="28"/>
          <w:szCs w:val="28"/>
          <w:u w:val="single"/>
        </w:rPr>
        <w:t>:00</w:t>
      </w:r>
      <w:r>
        <w:rPr>
          <w:rFonts w:hint="eastAsia" w:ascii="仿宋_GB2312" w:hAnsi="仿宋_GB2312" w:eastAsia="仿宋_GB2312" w:cs="仿宋_GB2312"/>
          <w:sz w:val="28"/>
          <w:szCs w:val="28"/>
        </w:rPr>
        <w:t>前将反馈意见以</w:t>
      </w:r>
      <w:r>
        <w:rPr>
          <w:rFonts w:hint="eastAsia" w:ascii="仿宋_GB2312" w:hAnsi="仿宋_GB2312" w:eastAsia="仿宋_GB2312" w:cs="仿宋_GB2312"/>
          <w:b/>
          <w:sz w:val="28"/>
          <w:szCs w:val="28"/>
        </w:rPr>
        <w:t>原件扫描件【加盖公章】和电子版形式</w:t>
      </w:r>
      <w:r>
        <w:rPr>
          <w:rFonts w:hint="eastAsia" w:ascii="仿宋_GB2312" w:hAnsi="仿宋_GB2312" w:eastAsia="仿宋_GB2312" w:cs="仿宋_GB2312"/>
          <w:sz w:val="28"/>
          <w:szCs w:val="28"/>
        </w:rPr>
        <w:t>发送至指定邮箱（</w:t>
      </w:r>
      <w:r>
        <w:rPr>
          <w:rFonts w:hint="eastAsia" w:ascii="仿宋_GB2312" w:hAnsi="仿宋_GB2312" w:eastAsia="仿宋_GB2312" w:cs="仿宋_GB2312"/>
          <w:sz w:val="28"/>
          <w:szCs w:val="28"/>
          <w:lang w:val="en-US" w:eastAsia="zh-CN"/>
        </w:rPr>
        <w:t>物流管理部</w:t>
      </w:r>
      <w:r>
        <w:rPr>
          <w:rFonts w:hint="eastAsia" w:ascii="仿宋_GB2312" w:hAnsi="仿宋_GB2312" w:eastAsia="仿宋_GB2312" w:cs="仿宋_GB2312"/>
          <w:sz w:val="28"/>
          <w:szCs w:val="28"/>
        </w:rPr>
        <w:t>：2523245199@qq.com和归口科室【</w:t>
      </w:r>
      <w:r>
        <w:rPr>
          <w:rFonts w:hint="eastAsia" w:ascii="仿宋_GB2312" w:hAnsi="仿宋_GB2312" w:eastAsia="仿宋_GB2312" w:cs="仿宋_GB2312"/>
          <w:sz w:val="28"/>
          <w:szCs w:val="28"/>
          <w:u w:val="single"/>
        </w:rPr>
        <w:t>设备科□、</w:t>
      </w:r>
      <w:r>
        <w:rPr>
          <w:rFonts w:hint="eastAsia" w:ascii="仿宋_GB2312" w:hAnsi="仿宋_GB2312" w:eastAsia="仿宋_GB2312" w:cs="仿宋_GB2312"/>
          <w:sz w:val="28"/>
          <w:szCs w:val="28"/>
          <w:u w:val="single"/>
          <w:lang w:eastAsia="zh-CN"/>
        </w:rPr>
        <w:t>后勤保障部☑</w:t>
      </w:r>
      <w:r>
        <w:rPr>
          <w:rFonts w:hint="eastAsia" w:ascii="仿宋_GB2312" w:hAnsi="仿宋_GB2312" w:eastAsia="仿宋_GB2312" w:cs="仿宋_GB2312"/>
          <w:sz w:val="28"/>
          <w:szCs w:val="28"/>
          <w:u w:val="single"/>
        </w:rPr>
        <w:t>、信息科□及其他</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rPr>
        <w:t xml:space="preserve">    】： </w:t>
      </w:r>
      <w:r>
        <w:rPr>
          <w:rFonts w:hint="eastAsia" w:ascii="仿宋" w:hAnsi="仿宋" w:eastAsia="仿宋"/>
          <w:color w:val="FF0000"/>
          <w:sz w:val="28"/>
          <w:szCs w:val="28"/>
          <w:u w:val="single"/>
          <w:lang w:val="en-US" w:eastAsia="zh-CN"/>
        </w:rPr>
        <w:t>zyyzwk2020@126.com</w:t>
      </w:r>
      <w:r>
        <w:rPr>
          <w:rFonts w:hint="eastAsia" w:ascii="仿宋" w:hAnsi="仿宋" w:eastAsia="仿宋"/>
          <w:color w:val="FF0000"/>
          <w:sz w:val="28"/>
          <w:szCs w:val="28"/>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），我院将对意见或建议进行汇总，并结合本项目实际，进一步修订完善。</w:t>
      </w:r>
    </w:p>
    <w:p w14:paraId="53032C6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 w:cs="仿宋_GB2312"/>
          <w:sz w:val="28"/>
          <w:szCs w:val="28"/>
          <w:lang w:val="en-US" w:eastAsia="zh-CN"/>
        </w:rPr>
      </w:pPr>
      <w:r>
        <w:rPr>
          <w:rFonts w:hint="eastAsia" w:ascii="仿宋" w:hAnsi="仿宋" w:eastAsia="仿宋"/>
          <w:color w:val="FF0000"/>
          <w:sz w:val="28"/>
          <w:szCs w:val="28"/>
          <w:lang w:eastAsia="zh-CN"/>
        </w:rPr>
        <w:t>本次征集意见共有</w:t>
      </w:r>
      <w:r>
        <w:rPr>
          <w:rFonts w:hint="eastAsia" w:ascii="仿宋" w:hAnsi="仿宋" w:eastAsia="仿宋"/>
          <w:color w:val="FF0000"/>
          <w:sz w:val="28"/>
          <w:szCs w:val="28"/>
          <w:lang w:val="en-US" w:eastAsia="zh-CN"/>
        </w:rPr>
        <w:t>1个附件，请务必填写附件1：拟购采购项目参数论证征集意见表，填写项目总预算以及各类规格报价。如响应请在响应栏内填写“响应”，如不响应请在备注栏提供参数修正意见；在规定时间内将扫描件盖章发至后勤保障部、物流管理部邮箱</w:t>
      </w:r>
      <w:r>
        <w:rPr>
          <w:rFonts w:hint="eastAsia" w:ascii="仿宋" w:hAnsi="仿宋" w:eastAsia="仿宋"/>
          <w:color w:val="FF0000"/>
          <w:sz w:val="28"/>
          <w:szCs w:val="28"/>
          <w:u w:val="single"/>
          <w:lang w:val="en-US" w:eastAsia="zh-CN"/>
        </w:rPr>
        <w:t>zyyzwk2020@126.com</w:t>
      </w:r>
      <w:r>
        <w:rPr>
          <w:rFonts w:hint="eastAsia" w:ascii="仿宋" w:hAnsi="仿宋" w:eastAsia="仿宋"/>
          <w:color w:val="FF0000"/>
          <w:sz w:val="28"/>
          <w:szCs w:val="28"/>
          <w:lang w:val="en-US" w:eastAsia="zh-CN"/>
        </w:rPr>
        <w:t xml:space="preserve"> 、2523245199@qq.com，否则为无效参与。</w:t>
      </w:r>
    </w:p>
    <w:p w14:paraId="6586E349">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联系方式</w:t>
      </w:r>
    </w:p>
    <w:p w14:paraId="7B28700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归口科室：</w:t>
      </w:r>
      <w:r>
        <w:rPr>
          <w:rFonts w:hint="eastAsia" w:ascii="仿宋_GB2312" w:hAnsi="仿宋_GB2312" w:eastAsia="仿宋_GB2312" w:cs="仿宋_GB2312"/>
          <w:sz w:val="28"/>
          <w:szCs w:val="28"/>
          <w:lang w:val="en-US" w:eastAsia="zh-CN"/>
        </w:rPr>
        <w:t>赵老师、刘老师</w:t>
      </w:r>
      <w:r>
        <w:rPr>
          <w:rFonts w:hint="eastAsia" w:ascii="仿宋_GB2312" w:hAnsi="仿宋_GB2312" w:eastAsia="仿宋_GB2312" w:cs="仿宋_GB2312"/>
          <w:sz w:val="28"/>
          <w:szCs w:val="28"/>
        </w:rPr>
        <w:t xml:space="preserve">  0564-</w:t>
      </w:r>
      <w:r>
        <w:rPr>
          <w:rFonts w:hint="eastAsia" w:ascii="仿宋_GB2312" w:hAnsi="仿宋_GB2312" w:eastAsia="仿宋_GB2312" w:cs="仿宋_GB2312"/>
          <w:sz w:val="28"/>
          <w:szCs w:val="28"/>
          <w:lang w:val="en-US" w:eastAsia="zh-CN"/>
        </w:rPr>
        <w:t>3597279</w:t>
      </w:r>
    </w:p>
    <w:p w14:paraId="21BCEB8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sz w:val="28"/>
          <w:szCs w:val="28"/>
          <w:lang w:eastAsia="zh-CN"/>
        </w:rPr>
        <w:t>备注：</w:t>
      </w:r>
    </w:p>
    <w:p w14:paraId="5AA9CC1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val="en-US" w:eastAsia="zh-CN"/>
        </w:rPr>
        <w:t>1、</w:t>
      </w:r>
      <w:r>
        <w:rPr>
          <w:rFonts w:hint="eastAsia" w:ascii="仿宋_GB2312" w:hAnsi="仿宋_GB2312" w:eastAsia="仿宋_GB2312" w:cs="仿宋_GB2312"/>
          <w:b/>
          <w:sz w:val="28"/>
          <w:szCs w:val="28"/>
          <w:lang w:eastAsia="zh-CN"/>
        </w:rPr>
        <w:t>各潜在供应商务必如实填写《拟购项目初步参数论证征求意见表》并同步发至</w:t>
      </w:r>
      <w:r>
        <w:rPr>
          <w:rFonts w:hint="eastAsia" w:ascii="仿宋_GB2312" w:hAnsi="仿宋_GB2312" w:eastAsia="仿宋_GB2312" w:cs="仿宋_GB2312"/>
          <w:b/>
          <w:sz w:val="28"/>
          <w:szCs w:val="28"/>
          <w:lang w:val="en-US" w:eastAsia="zh-CN"/>
        </w:rPr>
        <w:t>物流管理部</w:t>
      </w:r>
      <w:r>
        <w:rPr>
          <w:rFonts w:hint="eastAsia" w:ascii="仿宋_GB2312" w:hAnsi="仿宋_GB2312" w:eastAsia="仿宋_GB2312" w:cs="仿宋_GB2312"/>
          <w:b/>
          <w:sz w:val="28"/>
          <w:szCs w:val="28"/>
          <w:lang w:eastAsia="zh-CN"/>
        </w:rPr>
        <w:t>和相应归口科室指定邮箱，否则不予采纳该供应商所提交的修正意见或建议；</w:t>
      </w:r>
    </w:p>
    <w:p w14:paraId="7DA79F1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 </w:t>
      </w:r>
      <w:r>
        <w:rPr>
          <w:rFonts w:hint="eastAsia" w:ascii="仿宋_GB2312" w:hAnsi="仿宋_GB2312" w:eastAsia="仿宋_GB2312" w:cs="仿宋_GB2312"/>
          <w:sz w:val="28"/>
          <w:szCs w:val="28"/>
        </w:rPr>
        <w:t>附：拟购项目初步参数论证征集意见表</w:t>
      </w:r>
    </w:p>
    <w:p w14:paraId="4872298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14:paraId="25E90CE9">
      <w:pPr>
        <w:spacing w:line="520" w:lineRule="exact"/>
        <w:ind w:firstLine="560" w:firstLineChars="200"/>
        <w:jc w:val="righ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 xml:space="preserve"> 年 </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日</w:t>
      </w:r>
    </w:p>
    <w:p w14:paraId="7228E609">
      <w:pPr>
        <w:spacing w:line="320" w:lineRule="exact"/>
        <w:rPr>
          <w:rFonts w:hint="default" w:ascii="仿宋" w:hAnsi="仿宋" w:eastAsiaTheme="majorEastAsia"/>
          <w:sz w:val="32"/>
          <w:szCs w:val="32"/>
          <w:lang w:val="en-US" w:eastAsia="zh-CN"/>
        </w:rPr>
      </w:pPr>
      <w:r>
        <w:rPr>
          <w:rFonts w:hint="eastAsia" w:ascii="仿宋_GB2312" w:hAnsi="仿宋_GB2312" w:eastAsia="仿宋_GB2312" w:cs="仿宋_GB2312"/>
          <w:sz w:val="28"/>
          <w:szCs w:val="28"/>
          <w:lang w:val="en-US" w:eastAsia="zh-CN"/>
        </w:rPr>
        <w:t xml:space="preserve">   </w:t>
      </w:r>
      <w:r>
        <w:rPr>
          <w:rFonts w:hint="eastAsia" w:asciiTheme="majorEastAsia" w:hAnsiTheme="majorEastAsia" w:eastAsiaTheme="majorEastAsia"/>
          <w:b/>
          <w:sz w:val="32"/>
          <w:szCs w:val="32"/>
        </w:rPr>
        <w:t>附件：拟购</w:t>
      </w:r>
      <w:r>
        <w:rPr>
          <w:rFonts w:hint="eastAsia" w:asciiTheme="majorEastAsia" w:hAnsiTheme="majorEastAsia" w:eastAsiaTheme="majorEastAsia"/>
          <w:b/>
          <w:sz w:val="32"/>
          <w:szCs w:val="32"/>
          <w:u w:val="single"/>
        </w:rPr>
        <w:t xml:space="preserve"> 六安市中医院能源审计评估服务项目  </w:t>
      </w:r>
      <w:r>
        <w:rPr>
          <w:rFonts w:hint="eastAsia" w:asciiTheme="majorEastAsia" w:hAnsiTheme="majorEastAsia" w:eastAsiaTheme="majorEastAsia"/>
          <w:b/>
          <w:sz w:val="32"/>
          <w:szCs w:val="32"/>
        </w:rPr>
        <w:t>项目初步参数论证征集意见表</w:t>
      </w:r>
      <w:r>
        <w:rPr>
          <w:rFonts w:hint="eastAsia" w:asciiTheme="majorEastAsia" w:hAnsiTheme="majorEastAsia" w:eastAsiaTheme="majorEastAsia"/>
          <w:b/>
          <w:sz w:val="32"/>
          <w:szCs w:val="32"/>
          <w:lang w:val="en-US" w:eastAsia="zh-CN"/>
        </w:rPr>
        <w:t xml:space="preserve">  </w:t>
      </w:r>
    </w:p>
    <w:p w14:paraId="60F3B240">
      <w:pPr>
        <w:spacing w:line="320" w:lineRule="exact"/>
        <w:rPr>
          <w:rFonts w:ascii="仿宋" w:hAnsi="仿宋" w:eastAsia="仿宋"/>
          <w:sz w:val="24"/>
          <w:szCs w:val="24"/>
        </w:rPr>
      </w:pPr>
    </w:p>
    <w:p w14:paraId="586C07EE">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 w:val="24"/>
          <w:szCs w:val="24"/>
          <w:u w:val="single"/>
        </w:rPr>
      </w:pPr>
      <w:r>
        <w:rPr>
          <w:rFonts w:hint="eastAsia" w:ascii="仿宋" w:hAnsi="仿宋" w:eastAsia="仿宋"/>
          <w:sz w:val="24"/>
          <w:szCs w:val="24"/>
        </w:rPr>
        <w:t>供应商、联系人及电话（加盖公章）：</w:t>
      </w:r>
      <w:r>
        <w:rPr>
          <w:rFonts w:hint="eastAsia" w:ascii="仿宋" w:hAnsi="仿宋" w:eastAsia="仿宋"/>
          <w:sz w:val="24"/>
          <w:szCs w:val="24"/>
          <w:u w:val="single"/>
        </w:rPr>
        <w:t xml:space="preserve">                                                      </w:t>
      </w:r>
    </w:p>
    <w:p w14:paraId="34D0B524">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 w:val="24"/>
          <w:szCs w:val="24"/>
          <w:u w:val="single"/>
        </w:rPr>
      </w:pPr>
      <w:r>
        <w:rPr>
          <w:rFonts w:hint="eastAsia" w:ascii="仿宋" w:hAnsi="仿宋" w:eastAsia="仿宋"/>
          <w:b/>
          <w:bCs/>
          <w:color w:val="FF0000"/>
          <w:sz w:val="24"/>
          <w:szCs w:val="24"/>
          <w:u w:val="single"/>
        </w:rPr>
        <w:t>报价</w:t>
      </w:r>
      <w:r>
        <w:rPr>
          <w:rFonts w:hint="eastAsia" w:ascii="仿宋" w:hAnsi="仿宋" w:eastAsia="仿宋"/>
          <w:b/>
          <w:bCs/>
          <w:sz w:val="24"/>
          <w:szCs w:val="24"/>
          <w:u w:val="single"/>
        </w:rPr>
        <w:t>：</w:t>
      </w:r>
      <w:r>
        <w:rPr>
          <w:rFonts w:hint="eastAsia" w:ascii="仿宋" w:hAnsi="仿宋" w:eastAsia="仿宋"/>
          <w:sz w:val="24"/>
          <w:szCs w:val="24"/>
          <w:u w:val="single"/>
        </w:rPr>
        <w:t xml:space="preserve">                                 </w:t>
      </w:r>
    </w:p>
    <w:p w14:paraId="2ED00DB5">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ascii="仿宋" w:hAnsi="仿宋" w:eastAsia="仿宋"/>
          <w:b/>
          <w:szCs w:val="21"/>
        </w:rPr>
      </w:pPr>
      <w:r>
        <w:rPr>
          <w:rFonts w:hint="eastAsia" w:ascii="仿宋" w:hAnsi="仿宋" w:eastAsia="仿宋"/>
          <w:b/>
          <w:szCs w:val="21"/>
        </w:rPr>
        <w:t>备注：</w:t>
      </w:r>
    </w:p>
    <w:p w14:paraId="6BC04ECD">
      <w:pPr>
        <w:keepNext w:val="0"/>
        <w:keepLines w:val="0"/>
        <w:pageBreakBefore w:val="0"/>
        <w:widowControl w:val="0"/>
        <w:numPr>
          <w:ilvl w:val="0"/>
          <w:numId w:val="1"/>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szCs w:val="21"/>
        </w:rPr>
      </w:pPr>
      <w:r>
        <w:rPr>
          <w:rFonts w:hint="eastAsia" w:ascii="仿宋" w:hAnsi="仿宋" w:eastAsia="仿宋"/>
          <w:szCs w:val="21"/>
        </w:rPr>
        <w:t>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szCs w:val="21"/>
        </w:rPr>
        <w:t>发送至医院指定邮箱（</w:t>
      </w:r>
      <w:r>
        <w:rPr>
          <w:rFonts w:hint="eastAsia" w:ascii="仿宋" w:hAnsi="仿宋" w:eastAsia="仿宋"/>
          <w:szCs w:val="21"/>
          <w:u w:val="single"/>
          <w:lang w:eastAsia="zh-CN"/>
        </w:rPr>
        <w:t>物流管理部</w:t>
      </w:r>
      <w:r>
        <w:rPr>
          <w:rFonts w:hint="eastAsia" w:ascii="仿宋" w:hAnsi="仿宋" w:eastAsia="仿宋"/>
          <w:szCs w:val="21"/>
        </w:rPr>
        <w:t>：2523245199@qq.com</w:t>
      </w:r>
      <w:r>
        <w:rPr>
          <w:rFonts w:hint="eastAsia" w:ascii="仿宋" w:hAnsi="仿宋" w:eastAsia="仿宋"/>
          <w:szCs w:val="21"/>
          <w:u w:val="single"/>
        </w:rPr>
        <w:t>和归口科室</w:t>
      </w:r>
      <w:r>
        <w:rPr>
          <w:rFonts w:hint="eastAsia" w:ascii="仿宋" w:hAnsi="仿宋" w:eastAsia="仿宋"/>
          <w:szCs w:val="21"/>
        </w:rPr>
        <w:t>【设备科□、信息科□、</w:t>
      </w:r>
      <w:r>
        <w:rPr>
          <w:rFonts w:hint="eastAsia" w:ascii="仿宋" w:hAnsi="仿宋" w:eastAsia="仿宋"/>
          <w:szCs w:val="21"/>
          <w:lang w:eastAsia="zh-CN"/>
        </w:rPr>
        <w:t>后勤保障部☑</w:t>
      </w:r>
      <w:r>
        <w:rPr>
          <w:rFonts w:hint="eastAsia" w:ascii="仿宋" w:hAnsi="仿宋" w:eastAsia="仿宋"/>
          <w:szCs w:val="21"/>
        </w:rPr>
        <w:t>及其他□</w:t>
      </w:r>
      <w:r>
        <w:rPr>
          <w:rFonts w:hint="eastAsia" w:ascii="仿宋" w:hAnsi="仿宋" w:eastAsia="仿宋"/>
          <w:szCs w:val="21"/>
          <w:u w:val="single"/>
        </w:rPr>
        <w:t xml:space="preserve">    </w:t>
      </w:r>
      <w:r>
        <w:rPr>
          <w:rFonts w:hint="eastAsia" w:ascii="仿宋" w:hAnsi="仿宋" w:eastAsia="仿宋"/>
          <w:sz w:val="32"/>
          <w:szCs w:val="32"/>
          <w:u w:val="single"/>
        </w:rPr>
        <w:t>zyyzwk2020@126</w:t>
      </w:r>
      <w:r>
        <w:rPr>
          <w:rFonts w:hint="eastAsia" w:ascii="仿宋" w:hAnsi="仿宋" w:eastAsia="仿宋"/>
          <w:sz w:val="24"/>
          <w:u w:val="single"/>
        </w:rPr>
        <w:t>.</w:t>
      </w:r>
      <w:r>
        <w:rPr>
          <w:rFonts w:hint="eastAsia" w:ascii="仿宋" w:hAnsi="仿宋" w:eastAsia="仿宋"/>
          <w:sz w:val="28"/>
          <w:szCs w:val="28"/>
          <w:u w:val="single"/>
        </w:rPr>
        <w:t>com</w:t>
      </w:r>
      <w:r>
        <w:rPr>
          <w:rFonts w:hint="eastAsia" w:ascii="仿宋" w:hAnsi="仿宋" w:eastAsia="仿宋"/>
          <w:szCs w:val="21"/>
          <w:u w:val="single"/>
        </w:rPr>
        <w:t xml:space="preserve">      </w:t>
      </w:r>
      <w:r>
        <w:rPr>
          <w:rFonts w:hint="eastAsia" w:ascii="仿宋" w:hAnsi="仿宋" w:eastAsia="仿宋"/>
          <w:szCs w:val="21"/>
        </w:rPr>
        <w:t>】：</w:t>
      </w:r>
      <w:r>
        <w:rPr>
          <w:rFonts w:hint="eastAsia" w:ascii="仿宋" w:hAnsi="仿宋" w:eastAsia="仿宋"/>
          <w:szCs w:val="21"/>
          <w:u w:val="single"/>
        </w:rPr>
        <w:t xml:space="preserve">            </w:t>
      </w:r>
      <w:r>
        <w:rPr>
          <w:rFonts w:hint="eastAsia" w:ascii="仿宋" w:hAnsi="仿宋" w:eastAsia="仿宋"/>
          <w:szCs w:val="21"/>
        </w:rPr>
        <w:t>）</w:t>
      </w:r>
    </w:p>
    <w:p w14:paraId="3E52243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szCs w:val="21"/>
          <w:u w:val="single"/>
        </w:rPr>
      </w:pPr>
      <w:r>
        <w:rPr>
          <w:rFonts w:hint="eastAsia" w:ascii="仿宋" w:hAnsi="仿宋" w:eastAsia="仿宋"/>
          <w:szCs w:val="21"/>
          <w:lang w:val="en-US" w:eastAsia="zh-CN"/>
        </w:rPr>
        <w:t>2、</w:t>
      </w:r>
      <w:r>
        <w:rPr>
          <w:rFonts w:hint="eastAsia" w:ascii="仿宋" w:hAnsi="仿宋" w:eastAsia="仿宋"/>
          <w:sz w:val="28"/>
          <w:szCs w:val="28"/>
        </w:rPr>
        <w:t>响应情况（是/否）若为否则</w:t>
      </w:r>
      <w:r>
        <w:rPr>
          <w:rFonts w:hint="eastAsia" w:ascii="仿宋" w:hAnsi="仿宋" w:eastAsia="仿宋"/>
          <w:sz w:val="28"/>
          <w:szCs w:val="28"/>
          <w:lang w:eastAsia="zh-CN"/>
        </w:rPr>
        <w:t>须标注</w:t>
      </w:r>
      <w:r>
        <w:rPr>
          <w:rFonts w:hint="eastAsia" w:ascii="仿宋" w:hAnsi="仿宋" w:eastAsia="仿宋"/>
          <w:sz w:val="28"/>
          <w:szCs w:val="28"/>
        </w:rPr>
        <w:t>具体建议修改</w:t>
      </w:r>
      <w:r>
        <w:rPr>
          <w:rFonts w:hint="eastAsia" w:ascii="仿宋" w:hAnsi="仿宋" w:eastAsia="仿宋"/>
          <w:sz w:val="28"/>
          <w:szCs w:val="28"/>
          <w:lang w:eastAsia="zh-CN"/>
        </w:rPr>
        <w:t>指标（</w:t>
      </w:r>
      <w:r>
        <w:rPr>
          <w:rFonts w:hint="eastAsia" w:ascii="仿宋" w:hAnsi="仿宋" w:eastAsia="仿宋"/>
          <w:b/>
          <w:bCs/>
          <w:sz w:val="28"/>
          <w:szCs w:val="28"/>
          <w:lang w:eastAsia="zh-CN"/>
        </w:rPr>
        <w:t>未标注则默认为响应初步参数</w:t>
      </w:r>
      <w:r>
        <w:rPr>
          <w:rFonts w:hint="eastAsia" w:ascii="仿宋" w:hAnsi="仿宋" w:eastAsia="仿宋"/>
          <w:sz w:val="28"/>
          <w:szCs w:val="28"/>
          <w:lang w:eastAsia="zh-CN"/>
        </w:rPr>
        <w:t>）</w:t>
      </w:r>
      <w:r>
        <w:rPr>
          <w:rFonts w:hint="eastAsia" w:ascii="仿宋" w:hAnsi="仿宋" w:eastAsia="仿宋"/>
          <w:sz w:val="28"/>
          <w:szCs w:val="28"/>
        </w:rPr>
        <w:t>，</w:t>
      </w:r>
      <w:r>
        <w:rPr>
          <w:rFonts w:hint="eastAsia" w:ascii="仿宋" w:hAnsi="仿宋" w:eastAsia="仿宋"/>
          <w:b/>
          <w:bCs/>
          <w:sz w:val="28"/>
          <w:szCs w:val="28"/>
        </w:rPr>
        <w:t>建议修改</w:t>
      </w:r>
      <w:r>
        <w:rPr>
          <w:rFonts w:hint="eastAsia" w:ascii="仿宋" w:hAnsi="仿宋" w:eastAsia="仿宋"/>
          <w:b/>
          <w:bCs/>
          <w:sz w:val="28"/>
          <w:szCs w:val="28"/>
          <w:lang w:eastAsia="zh-CN"/>
        </w:rPr>
        <w:t>指标</w:t>
      </w:r>
      <w:r>
        <w:rPr>
          <w:rFonts w:hint="eastAsia" w:ascii="仿宋" w:hAnsi="仿宋" w:eastAsia="仿宋"/>
          <w:b/>
          <w:bCs/>
          <w:sz w:val="28"/>
          <w:szCs w:val="28"/>
        </w:rPr>
        <w:t>须</w:t>
      </w:r>
      <w:r>
        <w:rPr>
          <w:rFonts w:hint="eastAsia" w:ascii="仿宋" w:hAnsi="仿宋" w:eastAsia="仿宋"/>
          <w:b/>
          <w:bCs/>
          <w:sz w:val="28"/>
          <w:szCs w:val="28"/>
          <w:lang w:eastAsia="zh-CN"/>
        </w:rPr>
        <w:t>提供相应证明材料</w:t>
      </w:r>
      <w:r>
        <w:rPr>
          <w:rFonts w:hint="eastAsia" w:ascii="仿宋" w:hAnsi="仿宋" w:eastAsia="仿宋"/>
          <w:szCs w:val="21"/>
        </w:rPr>
        <w:t>（</w:t>
      </w:r>
      <w:r>
        <w:rPr>
          <w:rFonts w:hint="eastAsia" w:ascii="仿宋" w:hAnsi="仿宋" w:eastAsia="仿宋" w:cs="仿宋"/>
          <w:b w:val="0"/>
          <w:bCs/>
          <w:szCs w:val="21"/>
          <w:lang w:eastAsia="zh-CN"/>
        </w:rPr>
        <w:t>★项</w:t>
      </w:r>
      <w:r>
        <w:rPr>
          <w:rFonts w:hint="eastAsia" w:ascii="仿宋" w:hAnsi="仿宋" w:eastAsia="仿宋"/>
          <w:szCs w:val="21"/>
          <w:lang w:eastAsia="zh-CN"/>
        </w:rPr>
        <w:t>证明材料须为政府主管部门【或</w:t>
      </w:r>
      <w:r>
        <w:rPr>
          <w:rStyle w:val="16"/>
          <w:rFonts w:hint="eastAsia" w:ascii="仿宋" w:hAnsi="仿宋" w:eastAsia="仿宋" w:cs="仿宋"/>
          <w:b w:val="0"/>
          <w:bCs/>
          <w:color w:val="auto"/>
          <w:sz w:val="21"/>
          <w:szCs w:val="21"/>
          <w:lang w:eastAsia="zh-CN"/>
        </w:rPr>
        <w:t>具备</w:t>
      </w:r>
      <w:r>
        <w:rPr>
          <w:rStyle w:val="16"/>
          <w:rFonts w:hint="eastAsia" w:ascii="仿宋" w:hAnsi="仿宋" w:eastAsia="仿宋" w:cs="仿宋"/>
          <w:b w:val="0"/>
          <w:bCs/>
          <w:color w:val="auto"/>
          <w:sz w:val="21"/>
          <w:szCs w:val="21"/>
          <w:lang w:val="en-US" w:eastAsia="zh-CN"/>
        </w:rPr>
        <w:t>CMA&lt;或CNAS&gt;资质检测机构】出具的</w:t>
      </w:r>
      <w:r>
        <w:rPr>
          <w:rFonts w:hint="eastAsia" w:ascii="仿宋" w:hAnsi="仿宋" w:eastAsia="仿宋"/>
          <w:szCs w:val="21"/>
          <w:lang w:eastAsia="zh-CN"/>
        </w:rPr>
        <w:t>检测报告，非</w:t>
      </w:r>
      <w:r>
        <w:rPr>
          <w:rFonts w:hint="eastAsia" w:ascii="仿宋" w:hAnsi="仿宋" w:eastAsia="仿宋" w:cs="仿宋"/>
          <w:b w:val="0"/>
          <w:bCs/>
          <w:szCs w:val="21"/>
          <w:lang w:eastAsia="zh-CN"/>
        </w:rPr>
        <w:t>★项</w:t>
      </w:r>
      <w:r>
        <w:rPr>
          <w:rFonts w:hint="eastAsia" w:ascii="仿宋" w:hAnsi="仿宋" w:eastAsia="仿宋"/>
          <w:szCs w:val="21"/>
          <w:lang w:eastAsia="zh-CN"/>
        </w:rPr>
        <w:t>证明材料可为除彩页外的其他材料，</w:t>
      </w:r>
      <w:r>
        <w:rPr>
          <w:rFonts w:hint="eastAsia" w:ascii="仿宋" w:hAnsi="仿宋" w:eastAsia="仿宋"/>
          <w:b/>
          <w:bCs/>
          <w:szCs w:val="21"/>
          <w:lang w:eastAsia="zh-CN"/>
        </w:rPr>
        <w:t>无证明材料则可不予采纳</w:t>
      </w:r>
      <w:r>
        <w:rPr>
          <w:rFonts w:hint="eastAsia" w:ascii="仿宋" w:hAnsi="仿宋" w:eastAsia="仿宋"/>
          <w:szCs w:val="21"/>
          <w:lang w:eastAsia="zh-CN"/>
        </w:rPr>
        <w:t>；建议修改意见</w:t>
      </w:r>
      <w:r>
        <w:rPr>
          <w:rFonts w:hint="eastAsia" w:ascii="仿宋" w:hAnsi="仿宋" w:eastAsia="仿宋"/>
          <w:szCs w:val="21"/>
        </w:rPr>
        <w:t>原则上须满足业界主流品牌同档次水平产品</w:t>
      </w:r>
      <w:r>
        <w:rPr>
          <w:rFonts w:hint="eastAsia" w:ascii="仿宋" w:hAnsi="仿宋" w:eastAsia="仿宋"/>
          <w:szCs w:val="21"/>
          <w:lang w:eastAsia="zh-CN"/>
        </w:rPr>
        <w:t>且不得为独家</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1339836C">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 w:hAnsi="仿宋" w:eastAsia="仿宋"/>
          <w:b/>
          <w:bCs w:val="0"/>
          <w:szCs w:val="21"/>
          <w:lang w:val="en-US" w:eastAsia="zh-CN"/>
        </w:rPr>
      </w:pPr>
      <w:r>
        <w:rPr>
          <w:rFonts w:hint="default" w:ascii="仿宋" w:hAnsi="仿宋" w:eastAsia="仿宋"/>
          <w:b/>
          <w:bCs w:val="0"/>
          <w:szCs w:val="21"/>
          <w:lang w:val="en-US" w:eastAsia="zh-CN"/>
        </w:rPr>
        <w:t>医院概况 </w:t>
      </w:r>
    </w:p>
    <w:p w14:paraId="5BC0222A">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default" w:ascii="仿宋" w:hAnsi="仿宋" w:eastAsia="仿宋"/>
          <w:b/>
          <w:bCs w:val="0"/>
          <w:szCs w:val="21"/>
          <w:lang w:val="en-US" w:eastAsia="zh-CN"/>
        </w:rPr>
      </w:pPr>
      <w:r>
        <w:rPr>
          <w:rFonts w:hint="default" w:ascii="仿宋" w:hAnsi="仿宋" w:eastAsia="仿宋"/>
          <w:b/>
          <w:bCs w:val="0"/>
          <w:szCs w:val="21"/>
          <w:lang w:val="en-US" w:eastAsia="zh-CN"/>
        </w:rPr>
        <w:t>医院本部占地约82.5亩，院内有1号楼、2号楼、3号楼、学生宿舍楼、放疗中心楼、污水处理站、高压氧站，总建筑面积约为21.53万平方米。开放床位2100张；目前营运使用面积约为19万平方米。</w:t>
      </w:r>
    </w:p>
    <w:p w14:paraId="603A0DB0">
      <w:pPr>
        <w:spacing w:line="320" w:lineRule="exact"/>
        <w:rPr>
          <w:rFonts w:ascii="仿宋" w:hAnsi="仿宋" w:eastAsia="仿宋"/>
          <w:b/>
          <w:szCs w:val="21"/>
        </w:rPr>
      </w:pPr>
      <w:r>
        <w:rPr>
          <w:rFonts w:hint="eastAsia" w:ascii="仿宋" w:hAnsi="仿宋" w:eastAsia="仿宋"/>
          <w:b/>
          <w:szCs w:val="21"/>
          <w:lang w:eastAsia="zh-CN"/>
        </w:rPr>
        <w:t>第一部分：</w:t>
      </w:r>
      <w:r>
        <w:rPr>
          <w:rFonts w:hint="eastAsia" w:ascii="仿宋" w:hAnsi="仿宋" w:eastAsia="仿宋"/>
          <w:b/>
          <w:szCs w:val="21"/>
        </w:rPr>
        <w:t>拟购项目初步参数结构</w:t>
      </w:r>
    </w:p>
    <w:tbl>
      <w:tblPr>
        <w:tblStyle w:val="12"/>
        <w:tblW w:w="910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66"/>
        <w:gridCol w:w="751"/>
        <w:gridCol w:w="5472"/>
        <w:gridCol w:w="552"/>
        <w:gridCol w:w="484"/>
        <w:gridCol w:w="627"/>
        <w:gridCol w:w="754"/>
      </w:tblGrid>
      <w:tr w14:paraId="36201C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04" w:type="dxa"/>
            <w:gridSpan w:val="4"/>
          </w:tcPr>
          <w:p w14:paraId="23C8C8AD">
            <w:pPr>
              <w:spacing w:line="320" w:lineRule="exact"/>
              <w:jc w:val="center"/>
              <w:rPr>
                <w:rFonts w:hint="eastAsia" w:ascii="仿宋" w:hAnsi="仿宋" w:eastAsia="仿宋"/>
                <w:b w:val="0"/>
                <w:bCs/>
                <w:szCs w:val="21"/>
                <w:lang w:eastAsia="zh-CN"/>
              </w:rPr>
            </w:pPr>
            <w:r>
              <w:rPr>
                <w:rFonts w:hint="eastAsia" w:ascii="仿宋" w:hAnsi="仿宋" w:eastAsia="仿宋"/>
                <w:b w:val="0"/>
                <w:bCs/>
                <w:szCs w:val="21"/>
              </w:rPr>
              <w:t>本项目初步参数拟设置情况</w:t>
            </w:r>
          </w:p>
        </w:tc>
        <w:tc>
          <w:tcPr>
            <w:tcW w:w="780" w:type="dxa"/>
            <w:vMerge w:val="restart"/>
          </w:tcPr>
          <w:p w14:paraId="6E6410FA">
            <w:pPr>
              <w:spacing w:line="320" w:lineRule="exact"/>
              <w:jc w:val="center"/>
              <w:rPr>
                <w:rFonts w:ascii="仿宋" w:hAnsi="仿宋"/>
                <w:b w:val="0"/>
                <w:bCs/>
                <w:szCs w:val="21"/>
              </w:rPr>
            </w:pPr>
            <w:r>
              <w:rPr>
                <w:rFonts w:hint="eastAsia" w:ascii="仿宋" w:hAnsi="仿宋" w:eastAsia="仿宋"/>
                <w:b w:val="0"/>
                <w:bCs/>
                <w:szCs w:val="21"/>
              </w:rPr>
              <w:t>响应情况</w:t>
            </w:r>
          </w:p>
        </w:tc>
        <w:tc>
          <w:tcPr>
            <w:tcW w:w="1665" w:type="dxa"/>
            <w:vMerge w:val="restart"/>
          </w:tcPr>
          <w:p w14:paraId="7527F0D6">
            <w:pPr>
              <w:spacing w:line="320" w:lineRule="exact"/>
              <w:jc w:val="center"/>
              <w:rPr>
                <w:rFonts w:hint="eastAsia" w:ascii="仿宋" w:hAnsi="仿宋" w:eastAsia="仿宋"/>
                <w:b w:val="0"/>
                <w:bCs/>
                <w:szCs w:val="21"/>
                <w:lang w:eastAsia="zh-CN"/>
              </w:rPr>
            </w:pPr>
            <w:r>
              <w:rPr>
                <w:rFonts w:hint="eastAsia" w:ascii="仿宋" w:hAnsi="仿宋" w:eastAsia="仿宋"/>
                <w:b w:val="0"/>
                <w:bCs/>
                <w:szCs w:val="21"/>
              </w:rPr>
              <w:t>建议修改</w:t>
            </w:r>
            <w:r>
              <w:rPr>
                <w:rFonts w:hint="eastAsia" w:ascii="仿宋" w:hAnsi="仿宋" w:eastAsia="仿宋"/>
                <w:b w:val="0"/>
                <w:bCs/>
                <w:szCs w:val="21"/>
                <w:lang w:eastAsia="zh-CN"/>
              </w:rPr>
              <w:t>指标</w:t>
            </w:r>
          </w:p>
        </w:tc>
        <w:tc>
          <w:tcPr>
            <w:tcW w:w="1357" w:type="dxa"/>
            <w:vMerge w:val="restart"/>
          </w:tcPr>
          <w:p w14:paraId="47496D7D">
            <w:pPr>
              <w:spacing w:line="320" w:lineRule="exact"/>
              <w:jc w:val="center"/>
              <w:rPr>
                <w:rFonts w:ascii="仿宋" w:hAnsi="仿宋" w:eastAsia="仿宋"/>
                <w:b w:val="0"/>
                <w:bCs/>
                <w:szCs w:val="21"/>
              </w:rPr>
            </w:pPr>
            <w:r>
              <w:rPr>
                <w:rFonts w:hint="eastAsia" w:ascii="仿宋" w:hAnsi="仿宋" w:eastAsia="仿宋"/>
                <w:b w:val="0"/>
                <w:bCs/>
                <w:szCs w:val="21"/>
              </w:rPr>
              <w:t>备注（真实指标、是否独家</w:t>
            </w:r>
            <w:r>
              <w:rPr>
                <w:rFonts w:hint="eastAsia" w:ascii="仿宋" w:hAnsi="仿宋" w:eastAsia="仿宋"/>
                <w:b w:val="0"/>
                <w:bCs/>
                <w:szCs w:val="21"/>
                <w:lang w:eastAsia="zh-CN"/>
              </w:rPr>
              <w:t>、是否提供有效检测报告</w:t>
            </w:r>
            <w:r>
              <w:rPr>
                <w:rFonts w:hint="eastAsia" w:ascii="仿宋" w:hAnsi="仿宋" w:eastAsia="仿宋"/>
                <w:b w:val="0"/>
                <w:bCs/>
                <w:szCs w:val="21"/>
              </w:rPr>
              <w:t>）</w:t>
            </w:r>
          </w:p>
        </w:tc>
      </w:tr>
      <w:tr w14:paraId="75ED68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33A27C08">
            <w:pPr>
              <w:spacing w:line="320" w:lineRule="exact"/>
              <w:jc w:val="center"/>
              <w:rPr>
                <w:rFonts w:ascii="仿宋" w:hAnsi="仿宋" w:eastAsia="仿宋"/>
                <w:b w:val="0"/>
                <w:bCs/>
                <w:szCs w:val="21"/>
              </w:rPr>
            </w:pPr>
            <w:r>
              <w:rPr>
                <w:rFonts w:hint="eastAsia" w:ascii="仿宋" w:hAnsi="仿宋" w:eastAsia="仿宋"/>
                <w:b w:val="0"/>
                <w:bCs/>
                <w:szCs w:val="21"/>
              </w:rPr>
              <w:t>序号</w:t>
            </w:r>
          </w:p>
        </w:tc>
        <w:tc>
          <w:tcPr>
            <w:tcW w:w="1027" w:type="dxa"/>
          </w:tcPr>
          <w:p w14:paraId="7EBC6663">
            <w:pPr>
              <w:spacing w:line="320" w:lineRule="exact"/>
              <w:jc w:val="center"/>
              <w:rPr>
                <w:rFonts w:ascii="仿宋" w:hAnsi="仿宋" w:eastAsia="仿宋"/>
                <w:b w:val="0"/>
                <w:bCs/>
                <w:szCs w:val="21"/>
              </w:rPr>
            </w:pPr>
            <w:r>
              <w:rPr>
                <w:rFonts w:hint="eastAsia" w:ascii="仿宋" w:hAnsi="仿宋" w:eastAsia="仿宋"/>
                <w:b w:val="0"/>
                <w:bCs/>
                <w:szCs w:val="21"/>
              </w:rPr>
              <w:t>参数名称</w:t>
            </w:r>
          </w:p>
        </w:tc>
        <w:tc>
          <w:tcPr>
            <w:tcW w:w="2402" w:type="dxa"/>
          </w:tcPr>
          <w:p w14:paraId="7DFC1638">
            <w:pPr>
              <w:spacing w:line="320" w:lineRule="exact"/>
              <w:jc w:val="center"/>
              <w:rPr>
                <w:rFonts w:hint="eastAsia" w:ascii="仿宋" w:hAnsi="仿宋" w:eastAsia="仿宋"/>
                <w:b w:val="0"/>
                <w:bCs/>
                <w:szCs w:val="21"/>
                <w:lang w:eastAsia="zh-CN"/>
              </w:rPr>
            </w:pPr>
            <w:r>
              <w:rPr>
                <w:rFonts w:hint="eastAsia" w:ascii="仿宋" w:hAnsi="仿宋" w:eastAsia="仿宋"/>
                <w:b w:val="0"/>
                <w:bCs/>
                <w:szCs w:val="21"/>
                <w:lang w:eastAsia="zh-CN"/>
              </w:rPr>
              <w:t>初步</w:t>
            </w:r>
            <w:r>
              <w:rPr>
                <w:rFonts w:hint="eastAsia" w:ascii="仿宋" w:hAnsi="仿宋" w:eastAsia="仿宋"/>
                <w:b w:val="0"/>
                <w:bCs/>
                <w:szCs w:val="21"/>
              </w:rPr>
              <w:t>参数</w:t>
            </w:r>
            <w:r>
              <w:rPr>
                <w:rFonts w:hint="eastAsia" w:ascii="仿宋" w:hAnsi="仿宋" w:eastAsia="仿宋"/>
                <w:b w:val="0"/>
                <w:bCs/>
                <w:szCs w:val="21"/>
                <w:lang w:eastAsia="zh-CN"/>
              </w:rPr>
              <w:t>设置情况</w:t>
            </w:r>
          </w:p>
        </w:tc>
        <w:tc>
          <w:tcPr>
            <w:tcW w:w="1200" w:type="dxa"/>
          </w:tcPr>
          <w:p w14:paraId="02CED95A">
            <w:pPr>
              <w:spacing w:line="320" w:lineRule="exact"/>
              <w:jc w:val="center"/>
              <w:rPr>
                <w:rFonts w:hint="eastAsia" w:ascii="仿宋" w:hAnsi="仿宋" w:eastAsia="仿宋"/>
                <w:b w:val="0"/>
                <w:bCs/>
                <w:szCs w:val="21"/>
                <w:lang w:eastAsia="zh-CN"/>
              </w:rPr>
            </w:pPr>
            <w:r>
              <w:rPr>
                <w:rFonts w:hint="eastAsia" w:ascii="仿宋" w:hAnsi="仿宋" w:eastAsia="仿宋"/>
                <w:b w:val="0"/>
                <w:bCs/>
                <w:szCs w:val="21"/>
                <w:lang w:eastAsia="zh-CN"/>
              </w:rPr>
              <w:t>是否设置为为★</w:t>
            </w:r>
          </w:p>
        </w:tc>
        <w:tc>
          <w:tcPr>
            <w:tcW w:w="780" w:type="dxa"/>
            <w:vMerge w:val="continue"/>
          </w:tcPr>
          <w:p w14:paraId="799DA52C">
            <w:pPr>
              <w:spacing w:line="320" w:lineRule="exact"/>
              <w:rPr>
                <w:rFonts w:ascii="仿宋" w:hAnsi="仿宋" w:eastAsia="仿宋"/>
                <w:b w:val="0"/>
                <w:bCs/>
                <w:szCs w:val="21"/>
              </w:rPr>
            </w:pPr>
          </w:p>
        </w:tc>
        <w:tc>
          <w:tcPr>
            <w:tcW w:w="1665" w:type="dxa"/>
            <w:vMerge w:val="continue"/>
          </w:tcPr>
          <w:p w14:paraId="79A849D0">
            <w:pPr>
              <w:spacing w:line="320" w:lineRule="exact"/>
              <w:rPr>
                <w:rFonts w:ascii="仿宋" w:hAnsi="仿宋" w:eastAsia="仿宋"/>
                <w:b w:val="0"/>
                <w:bCs/>
                <w:szCs w:val="21"/>
              </w:rPr>
            </w:pPr>
          </w:p>
        </w:tc>
        <w:tc>
          <w:tcPr>
            <w:tcW w:w="1357" w:type="dxa"/>
            <w:vMerge w:val="continue"/>
          </w:tcPr>
          <w:p w14:paraId="4CC32EBF">
            <w:pPr>
              <w:spacing w:line="320" w:lineRule="exact"/>
              <w:rPr>
                <w:rFonts w:ascii="仿宋" w:hAnsi="仿宋" w:eastAsia="仿宋"/>
                <w:b w:val="0"/>
                <w:bCs/>
                <w:szCs w:val="21"/>
              </w:rPr>
            </w:pPr>
          </w:p>
        </w:tc>
      </w:tr>
      <w:tr w14:paraId="2CF46D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82" w:hRule="atLeast"/>
        </w:trPr>
        <w:tc>
          <w:tcPr>
            <w:tcW w:w="675" w:type="dxa"/>
          </w:tcPr>
          <w:p w14:paraId="571939F9">
            <w:pPr>
              <w:spacing w:line="320" w:lineRule="exact"/>
              <w:rPr>
                <w:rFonts w:hint="default" w:ascii="仿宋" w:hAnsi="仿宋" w:eastAsia="仿宋"/>
                <w:b w:val="0"/>
                <w:bCs/>
                <w:szCs w:val="21"/>
                <w:lang w:val="en-US" w:eastAsia="zh-CN"/>
              </w:rPr>
            </w:pPr>
            <w:r>
              <w:rPr>
                <w:rFonts w:hint="eastAsia" w:ascii="仿宋" w:hAnsi="仿宋" w:eastAsia="仿宋"/>
                <w:b w:val="0"/>
                <w:bCs/>
                <w:szCs w:val="21"/>
                <w:lang w:val="en-US" w:eastAsia="zh-CN"/>
              </w:rPr>
              <w:t>1</w:t>
            </w:r>
          </w:p>
        </w:tc>
        <w:tc>
          <w:tcPr>
            <w:tcW w:w="1027" w:type="dxa"/>
          </w:tcPr>
          <w:p w14:paraId="2A10FF5F">
            <w:pPr>
              <w:spacing w:line="320" w:lineRule="exact"/>
              <w:rPr>
                <w:rFonts w:hint="eastAsia" w:ascii="仿宋" w:hAnsi="仿宋" w:eastAsia="仿宋"/>
                <w:b w:val="0"/>
                <w:bCs/>
                <w:szCs w:val="21"/>
                <w:lang w:val="en-US" w:eastAsia="zh-CN"/>
              </w:rPr>
            </w:pPr>
          </w:p>
          <w:p w14:paraId="7BE58CA3">
            <w:pPr>
              <w:spacing w:line="320" w:lineRule="exact"/>
              <w:rPr>
                <w:rFonts w:hint="eastAsia" w:ascii="仿宋" w:hAnsi="仿宋" w:eastAsia="仿宋"/>
                <w:b w:val="0"/>
                <w:bCs/>
                <w:szCs w:val="21"/>
                <w:lang w:val="en-US" w:eastAsia="zh-CN"/>
              </w:rPr>
            </w:pPr>
          </w:p>
          <w:p w14:paraId="424DCDF0">
            <w:pPr>
              <w:spacing w:line="320" w:lineRule="exact"/>
              <w:rPr>
                <w:rFonts w:hint="default" w:ascii="仿宋" w:hAnsi="仿宋" w:eastAsia="仿宋"/>
                <w:b w:val="0"/>
                <w:bCs/>
                <w:szCs w:val="21"/>
                <w:lang w:val="en-US" w:eastAsia="zh-CN"/>
              </w:rPr>
            </w:pPr>
            <w:r>
              <w:rPr>
                <w:rFonts w:hint="eastAsia" w:ascii="仿宋" w:hAnsi="仿宋" w:eastAsia="仿宋"/>
                <w:b/>
                <w:bCs w:val="0"/>
                <w:szCs w:val="21"/>
                <w:lang w:val="en-US" w:eastAsia="zh-CN"/>
              </w:rPr>
              <w:t>一、报价要求</w:t>
            </w:r>
          </w:p>
        </w:tc>
        <w:tc>
          <w:tcPr>
            <w:tcW w:w="2402" w:type="dxa"/>
          </w:tcPr>
          <w:p w14:paraId="6F2C42A5">
            <w:pPr>
              <w:rPr>
                <w:rFonts w:hint="default" w:ascii="仿宋" w:hAnsi="仿宋" w:eastAsia="仿宋"/>
                <w:b w:val="0"/>
                <w:bCs/>
                <w:sz w:val="24"/>
                <w:szCs w:val="24"/>
                <w:lang w:val="en-US" w:eastAsia="zh-CN"/>
              </w:rPr>
            </w:pPr>
            <w:r>
              <w:rPr>
                <w:rFonts w:hint="eastAsia" w:ascii="仿宋" w:hAnsi="仿宋" w:eastAsia="仿宋" w:cs="仿宋"/>
                <w:sz w:val="24"/>
                <w:szCs w:val="24"/>
              </w:rPr>
              <w:t>报价应包含该项目所需要的人工费、材料（设备）费用、检测费、管理费、利润、风险费、税费、评审论证</w:t>
            </w:r>
            <w:r>
              <w:rPr>
                <w:rFonts w:hint="eastAsia" w:ascii="仿宋" w:hAnsi="仿宋" w:eastAsia="仿宋" w:cs="仿宋"/>
                <w:sz w:val="24"/>
                <w:szCs w:val="24"/>
                <w:lang w:val="en-US" w:eastAsia="zh-CN"/>
              </w:rPr>
              <w:t>费、</w:t>
            </w:r>
            <w:r>
              <w:rPr>
                <w:rFonts w:hint="eastAsia" w:ascii="仿宋" w:hAnsi="仿宋" w:eastAsia="仿宋" w:cs="仿宋"/>
                <w:sz w:val="24"/>
                <w:szCs w:val="24"/>
              </w:rPr>
              <w:t>售后跟踪服务等完成本项目所发生的一切费用。中标价格不受市场波动因素影响，不予调整。报价超过最高限价做无效响应处理。</w:t>
            </w:r>
          </w:p>
        </w:tc>
        <w:tc>
          <w:tcPr>
            <w:tcW w:w="1200" w:type="dxa"/>
          </w:tcPr>
          <w:p w14:paraId="65B47C4D">
            <w:pPr>
              <w:spacing w:line="320" w:lineRule="exact"/>
              <w:rPr>
                <w:rFonts w:ascii="仿宋" w:hAnsi="仿宋" w:eastAsia="仿宋"/>
                <w:b w:val="0"/>
                <w:bCs/>
                <w:szCs w:val="21"/>
              </w:rPr>
            </w:pPr>
          </w:p>
        </w:tc>
        <w:tc>
          <w:tcPr>
            <w:tcW w:w="780" w:type="dxa"/>
          </w:tcPr>
          <w:p w14:paraId="4EEE8351">
            <w:pPr>
              <w:spacing w:line="320" w:lineRule="exact"/>
              <w:rPr>
                <w:rFonts w:ascii="仿宋" w:hAnsi="仿宋" w:eastAsia="仿宋"/>
                <w:b w:val="0"/>
                <w:bCs/>
                <w:szCs w:val="21"/>
              </w:rPr>
            </w:pPr>
          </w:p>
        </w:tc>
        <w:tc>
          <w:tcPr>
            <w:tcW w:w="1665" w:type="dxa"/>
          </w:tcPr>
          <w:p w14:paraId="23D8A3C1">
            <w:pPr>
              <w:spacing w:line="320" w:lineRule="exact"/>
              <w:rPr>
                <w:rFonts w:ascii="仿宋" w:hAnsi="仿宋" w:eastAsia="仿宋"/>
                <w:b w:val="0"/>
                <w:bCs/>
                <w:szCs w:val="21"/>
              </w:rPr>
            </w:pPr>
          </w:p>
        </w:tc>
        <w:tc>
          <w:tcPr>
            <w:tcW w:w="1357" w:type="dxa"/>
          </w:tcPr>
          <w:p w14:paraId="3E7B0F20">
            <w:pPr>
              <w:spacing w:line="320" w:lineRule="exact"/>
              <w:rPr>
                <w:rFonts w:ascii="仿宋" w:hAnsi="仿宋" w:eastAsia="仿宋"/>
                <w:b w:val="0"/>
                <w:bCs/>
                <w:szCs w:val="21"/>
              </w:rPr>
            </w:pPr>
          </w:p>
        </w:tc>
      </w:tr>
      <w:tr w14:paraId="6F4883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83" w:hRule="atLeast"/>
        </w:trPr>
        <w:tc>
          <w:tcPr>
            <w:tcW w:w="675" w:type="dxa"/>
          </w:tcPr>
          <w:p w14:paraId="36A557C1">
            <w:pPr>
              <w:spacing w:line="320" w:lineRule="exact"/>
              <w:rPr>
                <w:rFonts w:hint="default" w:ascii="仿宋" w:hAnsi="仿宋" w:eastAsia="仿宋"/>
                <w:b w:val="0"/>
                <w:bCs/>
                <w:szCs w:val="21"/>
                <w:lang w:val="en-US" w:eastAsia="zh-CN"/>
              </w:rPr>
            </w:pPr>
            <w:r>
              <w:rPr>
                <w:rFonts w:hint="eastAsia" w:ascii="仿宋" w:hAnsi="仿宋" w:eastAsia="仿宋"/>
                <w:b w:val="0"/>
                <w:bCs/>
                <w:szCs w:val="21"/>
                <w:lang w:val="en-US" w:eastAsia="zh-CN"/>
              </w:rPr>
              <w:t>2</w:t>
            </w:r>
          </w:p>
        </w:tc>
        <w:tc>
          <w:tcPr>
            <w:tcW w:w="1027" w:type="dxa"/>
          </w:tcPr>
          <w:p w14:paraId="333F61F3">
            <w:pPr>
              <w:spacing w:line="320" w:lineRule="exact"/>
              <w:rPr>
                <w:rFonts w:hint="default" w:ascii="仿宋" w:hAnsi="仿宋" w:eastAsia="仿宋"/>
                <w:b w:val="0"/>
                <w:bCs/>
                <w:szCs w:val="21"/>
                <w:lang w:val="en-US" w:eastAsia="zh-CN"/>
              </w:rPr>
            </w:pPr>
            <w:r>
              <w:rPr>
                <w:rFonts w:hint="eastAsia" w:ascii="仿宋" w:hAnsi="仿宋" w:eastAsia="仿宋"/>
                <w:b/>
                <w:bCs w:val="0"/>
                <w:szCs w:val="21"/>
                <w:lang w:val="en-US" w:eastAsia="zh-CN"/>
              </w:rPr>
              <w:t>二、服务范围</w:t>
            </w:r>
          </w:p>
        </w:tc>
        <w:tc>
          <w:tcPr>
            <w:tcW w:w="2402" w:type="dxa"/>
          </w:tcPr>
          <w:p w14:paraId="50D2DD37">
            <w:pPr>
              <w:spacing w:line="320" w:lineRule="exact"/>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能源审计期为2022-2026年五年时间，审计评估范围为医院本部。</w:t>
            </w:r>
          </w:p>
          <w:p w14:paraId="22D4774D">
            <w:pPr>
              <w:spacing w:line="320" w:lineRule="exact"/>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审计能源种类为电、自来水、天燃气。</w:t>
            </w:r>
          </w:p>
          <w:p w14:paraId="1B6EDC88">
            <w:pPr>
              <w:spacing w:line="320" w:lineRule="exact"/>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能源评估期为2026年以后十年时间，评估范围为医院本部。</w:t>
            </w:r>
          </w:p>
        </w:tc>
        <w:tc>
          <w:tcPr>
            <w:tcW w:w="1200" w:type="dxa"/>
          </w:tcPr>
          <w:p w14:paraId="3F125824">
            <w:pPr>
              <w:spacing w:line="320" w:lineRule="exact"/>
              <w:rPr>
                <w:rFonts w:ascii="仿宋" w:hAnsi="仿宋" w:eastAsia="仿宋"/>
                <w:b w:val="0"/>
                <w:bCs/>
                <w:szCs w:val="21"/>
              </w:rPr>
            </w:pPr>
          </w:p>
        </w:tc>
        <w:tc>
          <w:tcPr>
            <w:tcW w:w="780" w:type="dxa"/>
          </w:tcPr>
          <w:p w14:paraId="46E8CC13">
            <w:pPr>
              <w:spacing w:line="320" w:lineRule="exact"/>
              <w:rPr>
                <w:rFonts w:ascii="仿宋" w:hAnsi="仿宋" w:eastAsia="仿宋"/>
                <w:b w:val="0"/>
                <w:bCs/>
                <w:szCs w:val="21"/>
              </w:rPr>
            </w:pPr>
          </w:p>
        </w:tc>
        <w:tc>
          <w:tcPr>
            <w:tcW w:w="1665" w:type="dxa"/>
          </w:tcPr>
          <w:p w14:paraId="3B89A3EA">
            <w:pPr>
              <w:spacing w:line="320" w:lineRule="exact"/>
              <w:rPr>
                <w:rFonts w:ascii="仿宋" w:hAnsi="仿宋" w:eastAsia="仿宋"/>
                <w:b w:val="0"/>
                <w:bCs/>
                <w:szCs w:val="21"/>
              </w:rPr>
            </w:pPr>
          </w:p>
        </w:tc>
        <w:tc>
          <w:tcPr>
            <w:tcW w:w="1357" w:type="dxa"/>
          </w:tcPr>
          <w:p w14:paraId="3431F491">
            <w:pPr>
              <w:spacing w:line="320" w:lineRule="exact"/>
              <w:rPr>
                <w:rFonts w:ascii="仿宋" w:hAnsi="仿宋" w:eastAsia="仿宋"/>
                <w:b w:val="0"/>
                <w:bCs/>
                <w:szCs w:val="21"/>
              </w:rPr>
            </w:pPr>
          </w:p>
        </w:tc>
      </w:tr>
      <w:tr w14:paraId="637211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20" w:hRule="atLeast"/>
        </w:trPr>
        <w:tc>
          <w:tcPr>
            <w:tcW w:w="675" w:type="dxa"/>
            <w:vMerge w:val="restart"/>
          </w:tcPr>
          <w:p w14:paraId="11B98E84">
            <w:pPr>
              <w:spacing w:line="320" w:lineRule="exact"/>
              <w:rPr>
                <w:rFonts w:hint="eastAsia" w:ascii="仿宋" w:hAnsi="仿宋" w:eastAsia="仿宋"/>
                <w:b w:val="0"/>
                <w:bCs/>
                <w:szCs w:val="21"/>
                <w:lang w:val="en-US" w:eastAsia="zh-CN"/>
              </w:rPr>
            </w:pPr>
          </w:p>
          <w:p w14:paraId="40BEC55C">
            <w:pPr>
              <w:spacing w:line="320" w:lineRule="exact"/>
              <w:rPr>
                <w:rFonts w:hint="eastAsia" w:ascii="仿宋" w:hAnsi="仿宋" w:eastAsia="仿宋"/>
                <w:b w:val="0"/>
                <w:bCs/>
                <w:szCs w:val="21"/>
                <w:lang w:val="en-US" w:eastAsia="zh-CN"/>
              </w:rPr>
            </w:pPr>
          </w:p>
          <w:p w14:paraId="1A76721F">
            <w:pPr>
              <w:spacing w:line="320" w:lineRule="exact"/>
              <w:rPr>
                <w:rFonts w:hint="default" w:ascii="仿宋" w:hAnsi="仿宋" w:eastAsia="仿宋"/>
                <w:b w:val="0"/>
                <w:bCs/>
                <w:szCs w:val="21"/>
                <w:lang w:val="en-US" w:eastAsia="zh-CN"/>
              </w:rPr>
            </w:pPr>
            <w:r>
              <w:rPr>
                <w:rFonts w:hint="eastAsia" w:ascii="仿宋" w:hAnsi="仿宋" w:eastAsia="仿宋"/>
                <w:b w:val="0"/>
                <w:bCs/>
                <w:szCs w:val="21"/>
                <w:lang w:val="en-US" w:eastAsia="zh-CN"/>
              </w:rPr>
              <w:t>3</w:t>
            </w:r>
          </w:p>
        </w:tc>
        <w:tc>
          <w:tcPr>
            <w:tcW w:w="1027" w:type="dxa"/>
            <w:vMerge w:val="restart"/>
          </w:tcPr>
          <w:p w14:paraId="35B97EA6">
            <w:pPr>
              <w:pStyle w:val="3"/>
              <w:spacing w:before="194" w:line="220" w:lineRule="auto"/>
              <w:jc w:val="left"/>
              <w:outlineLvl w:val="0"/>
              <w:rPr>
                <w:rFonts w:hint="eastAsia" w:ascii="仿宋" w:hAnsi="仿宋" w:eastAsia="仿宋" w:cs="仿宋"/>
                <w:b/>
                <w:bCs w:val="0"/>
              </w:rPr>
            </w:pPr>
            <w:r>
              <w:rPr>
                <w:rFonts w:hint="eastAsia" w:ascii="仿宋" w:hAnsi="仿宋" w:eastAsia="仿宋" w:cs="仿宋"/>
                <w:b/>
                <w:bCs w:val="0"/>
                <w:szCs w:val="21"/>
                <w:lang w:val="en-US" w:eastAsia="zh-CN"/>
              </w:rPr>
              <w:t>三、服务内容</w:t>
            </w:r>
          </w:p>
          <w:p w14:paraId="1716AF26">
            <w:pPr>
              <w:spacing w:line="320" w:lineRule="exact"/>
              <w:rPr>
                <w:rFonts w:hint="eastAsia" w:ascii="仿宋" w:hAnsi="仿宋" w:eastAsia="仿宋"/>
                <w:b w:val="0"/>
                <w:bCs/>
                <w:szCs w:val="21"/>
                <w:lang w:val="en-US" w:eastAsia="zh-CN"/>
              </w:rPr>
            </w:pPr>
          </w:p>
        </w:tc>
        <w:tc>
          <w:tcPr>
            <w:tcW w:w="2402" w:type="dxa"/>
          </w:tcPr>
          <w:p w14:paraId="3C075EF6">
            <w:pPr>
              <w:spacing w:line="320" w:lineRule="exact"/>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1、能源消耗情况：分种类审计医院2022-2026年五年来各种能源实际消耗量、折标量、能源费用支出情况，对照国家、省市级、行业内能耗标准定额，核算分析医院能耗结构、能流平衡、能耗指标（如综合能耗、人均能耗、单位面积能耗等）、能耗变化趋势，分析是否符合当年度医院发展实际，并分析能耗变化主要原因。同时，结合医院规模及业务发展趋势，对未来十年医院能源消耗量及增减趋势进行预测。</w:t>
            </w:r>
          </w:p>
        </w:tc>
        <w:tc>
          <w:tcPr>
            <w:tcW w:w="1200" w:type="dxa"/>
          </w:tcPr>
          <w:p w14:paraId="530A757A">
            <w:pPr>
              <w:spacing w:line="320" w:lineRule="exact"/>
              <w:rPr>
                <w:rFonts w:ascii="仿宋" w:hAnsi="仿宋" w:eastAsia="仿宋"/>
                <w:b w:val="0"/>
                <w:bCs/>
                <w:szCs w:val="21"/>
              </w:rPr>
            </w:pPr>
          </w:p>
        </w:tc>
        <w:tc>
          <w:tcPr>
            <w:tcW w:w="780" w:type="dxa"/>
          </w:tcPr>
          <w:p w14:paraId="5A3DF3C1">
            <w:pPr>
              <w:spacing w:line="320" w:lineRule="exact"/>
              <w:rPr>
                <w:rFonts w:ascii="仿宋" w:hAnsi="仿宋" w:eastAsia="仿宋"/>
                <w:b w:val="0"/>
                <w:bCs/>
                <w:szCs w:val="21"/>
              </w:rPr>
            </w:pPr>
          </w:p>
        </w:tc>
        <w:tc>
          <w:tcPr>
            <w:tcW w:w="1665" w:type="dxa"/>
          </w:tcPr>
          <w:p w14:paraId="42BE280E">
            <w:pPr>
              <w:spacing w:line="320" w:lineRule="exact"/>
              <w:rPr>
                <w:rFonts w:ascii="仿宋" w:hAnsi="仿宋" w:eastAsia="仿宋"/>
                <w:b w:val="0"/>
                <w:bCs/>
                <w:szCs w:val="21"/>
              </w:rPr>
            </w:pPr>
          </w:p>
        </w:tc>
        <w:tc>
          <w:tcPr>
            <w:tcW w:w="1357" w:type="dxa"/>
          </w:tcPr>
          <w:p w14:paraId="114AE3D4">
            <w:pPr>
              <w:spacing w:line="320" w:lineRule="exact"/>
              <w:rPr>
                <w:rFonts w:ascii="仿宋" w:hAnsi="仿宋" w:eastAsia="仿宋"/>
                <w:b w:val="0"/>
                <w:bCs/>
                <w:szCs w:val="21"/>
              </w:rPr>
            </w:pPr>
          </w:p>
        </w:tc>
      </w:tr>
      <w:tr w14:paraId="1BAEE4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vMerge w:val="continue"/>
          </w:tcPr>
          <w:p w14:paraId="02F31B09">
            <w:pPr>
              <w:spacing w:line="320" w:lineRule="exact"/>
              <w:rPr>
                <w:rFonts w:hint="eastAsia" w:ascii="仿宋" w:hAnsi="仿宋" w:eastAsia="仿宋"/>
                <w:b w:val="0"/>
                <w:bCs/>
                <w:szCs w:val="21"/>
                <w:lang w:val="en-US" w:eastAsia="zh-CN"/>
              </w:rPr>
            </w:pPr>
          </w:p>
        </w:tc>
        <w:tc>
          <w:tcPr>
            <w:tcW w:w="1027" w:type="dxa"/>
            <w:vMerge w:val="continue"/>
          </w:tcPr>
          <w:p w14:paraId="1CFFB7C9">
            <w:pPr>
              <w:spacing w:line="320" w:lineRule="exact"/>
              <w:rPr>
                <w:rFonts w:ascii="仿宋" w:hAnsi="仿宋" w:eastAsia="仿宋"/>
                <w:b w:val="0"/>
                <w:bCs/>
                <w:szCs w:val="21"/>
              </w:rPr>
            </w:pPr>
          </w:p>
        </w:tc>
        <w:tc>
          <w:tcPr>
            <w:tcW w:w="2402" w:type="dxa"/>
          </w:tcPr>
          <w:p w14:paraId="627E5FD3">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2、用能设备情况：</w:t>
            </w:r>
          </w:p>
          <w:p w14:paraId="3F562B92">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统计：分专业（包括但不限于供配电、给排水、中央空调、太阳能、空气能、分体空调、多联机空调等）统计全院主要用能设备，了解设备的型号、数量、容量、运行状况、控制方式、负载使用率、管道保温情况、能源利用效率、国家规定淘汰落后设备与节能产品设备使用情况等，记录下来，形成台账清单。</w:t>
            </w:r>
          </w:p>
          <w:p w14:paraId="03BEE106">
            <w:pPr>
              <w:ind w:firstLine="480" w:firstLineChars="200"/>
              <w:rPr>
                <w:rFonts w:hint="default" w:ascii="仿宋" w:hAnsi="仿宋" w:eastAsia="仿宋" w:cs="仿宋"/>
                <w:sz w:val="28"/>
                <w:szCs w:val="28"/>
                <w:highlight w:val="yellow"/>
                <w:lang w:val="en-US" w:eastAsia="zh-CN"/>
              </w:rPr>
            </w:pPr>
            <w:r>
              <w:rPr>
                <w:rFonts w:hint="eastAsia" w:ascii="仿宋" w:hAnsi="仿宋" w:eastAsia="仿宋" w:cs="仿宋"/>
                <w:sz w:val="24"/>
                <w:szCs w:val="24"/>
                <w:lang w:val="en-US" w:eastAsia="zh-CN"/>
              </w:rPr>
              <w:t>（2）测试和实验：开展相关测试和实验（如变压器负载、三相平衡、电能质量、螺杆空调和风冷模块空调机组机组COP、管网压力、温湿度、照度、水平衡等），对主要用能设备的配置情况、运行效率、能源利用效率、节能潜力进行分析。开展相关测试和实验内容包含但不限于如下：</w:t>
            </w:r>
          </w:p>
          <w:tbl>
            <w:tblPr>
              <w:tblStyle w:val="11"/>
              <w:tblW w:w="4737" w:type="dxa"/>
              <w:tblInd w:w="-68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
              <w:gridCol w:w="456"/>
              <w:gridCol w:w="816"/>
              <w:gridCol w:w="2136"/>
              <w:gridCol w:w="696"/>
              <w:gridCol w:w="696"/>
            </w:tblGrid>
            <w:tr w14:paraId="6513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61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A5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检测设备</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8A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检测内容</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80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检测标准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3A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使用仪器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C9A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检测数量</w:t>
                  </w:r>
                </w:p>
              </w:tc>
            </w:tr>
            <w:tr w14:paraId="1B058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BCC32">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0161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空调系统</w:t>
                  </w:r>
                </w:p>
              </w:tc>
              <w:tc>
                <w:tcPr>
                  <w:tcW w:w="7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A9F2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比较额定COP与实测COP。</w:t>
                  </w:r>
                </w:p>
              </w:tc>
              <w:tc>
                <w:tcPr>
                  <w:tcW w:w="19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40B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《多联式空调（热泵）机组》GB/T 18837-2015、《蒸气压缩循环冷水（热泵）机组 第 1 部分：工业或商业用及类似用途的冷水（热泵）机组》、GB/T18430.1-2021《房间空气调节器》GB/T 7725-2022、GB 19577-2024 《热泵和冷水机组能效限定值及能效等级》</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87337">
                  <w:pPr>
                    <w:keepNext w:val="0"/>
                    <w:keepLines w:val="0"/>
                    <w:widowControl/>
                    <w:suppressLineNumbers w:val="0"/>
                    <w:jc w:val="left"/>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rPr>
                    <w:t>功率分析仪</w:t>
                  </w:r>
                  <w:r>
                    <w:rPr>
                      <w:rFonts w:hint="eastAsia" w:ascii="仿宋" w:hAnsi="仿宋" w:eastAsia="仿宋" w:cs="仿宋"/>
                      <w:i w:val="0"/>
                      <w:iCs w:val="0"/>
                      <w:color w:val="000000"/>
                      <w:sz w:val="24"/>
                      <w:szCs w:val="24"/>
                      <w:u w:val="none"/>
                      <w:lang w:eastAsia="zh-CN"/>
                    </w:rPr>
                    <w:t>、</w:t>
                  </w:r>
                  <w:r>
                    <w:rPr>
                      <w:rFonts w:hint="eastAsia" w:ascii="仿宋" w:hAnsi="仿宋" w:eastAsia="仿宋" w:cs="仿宋"/>
                      <w:i w:val="0"/>
                      <w:iCs w:val="0"/>
                      <w:color w:val="000000"/>
                      <w:sz w:val="24"/>
                      <w:szCs w:val="24"/>
                      <w:u w:val="none"/>
                    </w:rPr>
                    <w:t>数据采集系统</w:t>
                  </w:r>
                  <w:r>
                    <w:rPr>
                      <w:rFonts w:hint="eastAsia" w:ascii="仿宋" w:hAnsi="仿宋" w:eastAsia="仿宋" w:cs="仿宋"/>
                      <w:i w:val="0"/>
                      <w:iCs w:val="0"/>
                      <w:color w:val="000000"/>
                      <w:sz w:val="24"/>
                      <w:szCs w:val="24"/>
                      <w:u w:val="none"/>
                      <w:lang w:eastAsia="zh-CN"/>
                    </w:rPr>
                    <w:t>、</w:t>
                  </w:r>
                  <w:r>
                    <w:rPr>
                      <w:rFonts w:hint="eastAsia" w:ascii="仿宋" w:hAnsi="仿宋" w:eastAsia="仿宋" w:cs="仿宋"/>
                      <w:i w:val="0"/>
                      <w:iCs w:val="0"/>
                      <w:color w:val="000000"/>
                      <w:sz w:val="24"/>
                      <w:szCs w:val="24"/>
                      <w:u w:val="none"/>
                    </w:rPr>
                    <w:t>水流量计</w:t>
                  </w:r>
                  <w:r>
                    <w:rPr>
                      <w:rFonts w:hint="eastAsia" w:ascii="仿宋" w:hAnsi="仿宋" w:eastAsia="仿宋" w:cs="仿宋"/>
                      <w:i w:val="0"/>
                      <w:iCs w:val="0"/>
                      <w:color w:val="000000"/>
                      <w:sz w:val="24"/>
                      <w:szCs w:val="24"/>
                      <w:u w:val="none"/>
                      <w:lang w:eastAsia="zh-CN"/>
                    </w:rPr>
                    <w:t>、</w:t>
                  </w:r>
                  <w:r>
                    <w:rPr>
                      <w:rFonts w:hint="eastAsia" w:ascii="仿宋" w:hAnsi="仿宋" w:eastAsia="仿宋" w:cs="仿宋"/>
                      <w:i w:val="0"/>
                      <w:iCs w:val="0"/>
                      <w:color w:val="000000"/>
                      <w:sz w:val="24"/>
                      <w:szCs w:val="24"/>
                      <w:u w:val="none"/>
                    </w:rPr>
                    <w:t>温度传感器</w:t>
                  </w:r>
                  <w:r>
                    <w:rPr>
                      <w:rFonts w:hint="eastAsia" w:ascii="仿宋" w:hAnsi="仿宋" w:eastAsia="仿宋" w:cs="仿宋"/>
                      <w:i w:val="0"/>
                      <w:iCs w:val="0"/>
                      <w:color w:val="000000"/>
                      <w:sz w:val="24"/>
                      <w:szCs w:val="24"/>
                      <w:u w:val="none"/>
                      <w:lang w:eastAsia="zh-CN"/>
                    </w:rPr>
                    <w:t>、</w:t>
                  </w:r>
                  <w:r>
                    <w:rPr>
                      <w:rFonts w:hint="eastAsia" w:ascii="仿宋" w:hAnsi="仿宋" w:eastAsia="仿宋" w:cs="仿宋"/>
                      <w:i w:val="0"/>
                      <w:iCs w:val="0"/>
                      <w:color w:val="000000"/>
                      <w:sz w:val="24"/>
                      <w:szCs w:val="24"/>
                      <w:u w:val="none"/>
                    </w:rPr>
                    <w:t>风量测量装置</w:t>
                  </w:r>
                  <w:r>
                    <w:rPr>
                      <w:rFonts w:hint="eastAsia" w:ascii="仿宋" w:hAnsi="仿宋" w:eastAsia="仿宋" w:cs="仿宋"/>
                      <w:i w:val="0"/>
                      <w:iCs w:val="0"/>
                      <w:color w:val="000000"/>
                      <w:sz w:val="24"/>
                      <w:szCs w:val="24"/>
                      <w:u w:val="none"/>
                      <w:lang w:eastAsia="zh-CN"/>
                    </w:rPr>
                    <w:t>、</w:t>
                  </w:r>
                  <w:r>
                    <w:rPr>
                      <w:rFonts w:hint="eastAsia" w:ascii="仿宋" w:hAnsi="仿宋" w:eastAsia="仿宋" w:cs="仿宋"/>
                      <w:i w:val="0"/>
                      <w:iCs w:val="0"/>
                      <w:color w:val="000000"/>
                      <w:sz w:val="24"/>
                      <w:szCs w:val="24"/>
                      <w:u w:val="none"/>
                    </w:rPr>
                    <w:t>冷媒流量计</w:t>
                  </w:r>
                  <w:r>
                    <w:rPr>
                      <w:rFonts w:hint="eastAsia" w:ascii="仿宋" w:hAnsi="仿宋" w:eastAsia="仿宋" w:cs="仿宋"/>
                      <w:i w:val="0"/>
                      <w:iCs w:val="0"/>
                      <w:color w:val="000000"/>
                      <w:sz w:val="24"/>
                      <w:szCs w:val="24"/>
                      <w:u w:val="none"/>
                      <w:lang w:eastAsia="zh-CN"/>
                    </w:rPr>
                    <w:t>。</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864A0">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针对1号楼溴化锂主机2台、1号楼过渡季节空调主机2台进行测试。</w:t>
                  </w:r>
                </w:p>
              </w:tc>
            </w:tr>
            <w:tr w14:paraId="5F937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E2D3C">
                  <w:pPr>
                    <w:jc w:val="center"/>
                    <w:rPr>
                      <w:rFonts w:hint="eastAsia" w:ascii="仿宋" w:hAnsi="仿宋" w:eastAsia="仿宋" w:cs="仿宋"/>
                      <w:i w:val="0"/>
                      <w:iCs w:val="0"/>
                      <w:color w:val="000000"/>
                      <w:sz w:val="24"/>
                      <w:szCs w:val="24"/>
                      <w:u w:val="none"/>
                    </w:rPr>
                  </w:pPr>
                </w:p>
              </w:tc>
              <w:tc>
                <w:tcPr>
                  <w:tcW w:w="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737B7">
                  <w:pPr>
                    <w:jc w:val="left"/>
                    <w:rPr>
                      <w:rFonts w:hint="eastAsia" w:ascii="仿宋" w:hAnsi="仿宋" w:eastAsia="仿宋" w:cs="仿宋"/>
                      <w:i w:val="0"/>
                      <w:iCs w:val="0"/>
                      <w:color w:val="000000"/>
                      <w:sz w:val="24"/>
                      <w:szCs w:val="24"/>
                      <w:u w:val="none"/>
                    </w:rPr>
                  </w:pPr>
                </w:p>
              </w:tc>
              <w:tc>
                <w:tcPr>
                  <w:tcW w:w="7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0F85F">
                  <w:pPr>
                    <w:jc w:val="left"/>
                    <w:rPr>
                      <w:rFonts w:hint="eastAsia" w:ascii="仿宋" w:hAnsi="仿宋" w:eastAsia="仿宋" w:cs="仿宋"/>
                      <w:i w:val="0"/>
                      <w:iCs w:val="0"/>
                      <w:color w:val="000000"/>
                      <w:sz w:val="24"/>
                      <w:szCs w:val="24"/>
                      <w:u w:val="none"/>
                    </w:rPr>
                  </w:pPr>
                </w:p>
              </w:tc>
              <w:tc>
                <w:tcPr>
                  <w:tcW w:w="1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A66BF">
                  <w:pPr>
                    <w:jc w:val="left"/>
                    <w:rPr>
                      <w:rFonts w:hint="eastAsia" w:ascii="仿宋" w:hAnsi="仿宋" w:eastAsia="仿宋" w:cs="仿宋"/>
                      <w:i w:val="0"/>
                      <w:iCs w:val="0"/>
                      <w:color w:val="000000"/>
                      <w:sz w:val="24"/>
                      <w:szCs w:val="24"/>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6CD94">
                  <w:pPr>
                    <w:jc w:val="left"/>
                    <w:rPr>
                      <w:rFonts w:hint="eastAsia" w:ascii="仿宋" w:hAnsi="仿宋" w:eastAsia="仿宋" w:cs="仿宋"/>
                      <w:i w:val="0"/>
                      <w:iCs w:val="0"/>
                      <w:color w:val="000000"/>
                      <w:sz w:val="24"/>
                      <w:szCs w:val="24"/>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1226D">
                  <w:pPr>
                    <w:jc w:val="left"/>
                    <w:rPr>
                      <w:rFonts w:hint="eastAsia" w:ascii="仿宋" w:hAnsi="仿宋" w:eastAsia="仿宋" w:cs="仿宋"/>
                      <w:i w:val="0"/>
                      <w:iCs w:val="0"/>
                      <w:color w:val="000000"/>
                      <w:sz w:val="24"/>
                      <w:szCs w:val="24"/>
                      <w:u w:val="none"/>
                    </w:rPr>
                  </w:pPr>
                </w:p>
              </w:tc>
            </w:tr>
            <w:tr w14:paraId="0FA6C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A7DE6">
                  <w:pPr>
                    <w:jc w:val="center"/>
                    <w:rPr>
                      <w:rFonts w:hint="eastAsia" w:ascii="仿宋" w:hAnsi="仿宋" w:eastAsia="仿宋" w:cs="仿宋"/>
                      <w:i w:val="0"/>
                      <w:iCs w:val="0"/>
                      <w:color w:val="000000"/>
                      <w:sz w:val="24"/>
                      <w:szCs w:val="24"/>
                      <w:u w:val="none"/>
                    </w:rPr>
                  </w:pPr>
                </w:p>
              </w:tc>
              <w:tc>
                <w:tcPr>
                  <w:tcW w:w="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373E3">
                  <w:pPr>
                    <w:jc w:val="left"/>
                    <w:rPr>
                      <w:rFonts w:hint="eastAsia" w:ascii="仿宋" w:hAnsi="仿宋" w:eastAsia="仿宋" w:cs="仿宋"/>
                      <w:i w:val="0"/>
                      <w:iCs w:val="0"/>
                      <w:color w:val="000000"/>
                      <w:sz w:val="24"/>
                      <w:szCs w:val="24"/>
                      <w:u w:val="none"/>
                    </w:rPr>
                  </w:pPr>
                </w:p>
              </w:tc>
              <w:tc>
                <w:tcPr>
                  <w:tcW w:w="7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08867">
                  <w:pPr>
                    <w:jc w:val="left"/>
                    <w:rPr>
                      <w:rFonts w:hint="eastAsia" w:ascii="仿宋" w:hAnsi="仿宋" w:eastAsia="仿宋" w:cs="仿宋"/>
                      <w:i w:val="0"/>
                      <w:iCs w:val="0"/>
                      <w:color w:val="000000"/>
                      <w:sz w:val="24"/>
                      <w:szCs w:val="24"/>
                      <w:u w:val="none"/>
                    </w:rPr>
                  </w:pPr>
                </w:p>
              </w:tc>
              <w:tc>
                <w:tcPr>
                  <w:tcW w:w="1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A1EE5">
                  <w:pPr>
                    <w:jc w:val="left"/>
                    <w:rPr>
                      <w:rFonts w:hint="eastAsia" w:ascii="仿宋" w:hAnsi="仿宋" w:eastAsia="仿宋" w:cs="仿宋"/>
                      <w:i w:val="0"/>
                      <w:iCs w:val="0"/>
                      <w:color w:val="000000"/>
                      <w:sz w:val="24"/>
                      <w:szCs w:val="24"/>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05008">
                  <w:pPr>
                    <w:jc w:val="left"/>
                    <w:rPr>
                      <w:rFonts w:hint="eastAsia" w:ascii="仿宋" w:hAnsi="仿宋" w:eastAsia="仿宋" w:cs="仿宋"/>
                      <w:i w:val="0"/>
                      <w:iCs w:val="0"/>
                      <w:color w:val="000000"/>
                      <w:sz w:val="24"/>
                      <w:szCs w:val="24"/>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B5808">
                  <w:pPr>
                    <w:jc w:val="left"/>
                    <w:rPr>
                      <w:rFonts w:hint="eastAsia" w:ascii="仿宋" w:hAnsi="仿宋" w:eastAsia="仿宋" w:cs="仿宋"/>
                      <w:i w:val="0"/>
                      <w:iCs w:val="0"/>
                      <w:color w:val="000000"/>
                      <w:sz w:val="24"/>
                      <w:szCs w:val="24"/>
                      <w:u w:val="none"/>
                    </w:rPr>
                  </w:pPr>
                </w:p>
              </w:tc>
            </w:tr>
            <w:tr w14:paraId="20579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28F5">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051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电机运行系统</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3C4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电流、电压、有功功率</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E8A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《三相异步电动机经济运行》GB/T 12497-2006、</w:t>
                  </w:r>
                </w:p>
                <w:p w14:paraId="4343F24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GB/T 18613-2020电动机能效限定值及能效等级（合规判定）</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D8A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电流表、电压表、电机能效仪、功率分析仪等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80D3">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不少于6台，具体测试数量根据需求确定。</w:t>
                  </w:r>
                </w:p>
              </w:tc>
            </w:tr>
            <w:tr w14:paraId="24D4D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967F">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BED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照明系统</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CBC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照度、亮度等</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C37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《照明测量方法》GB/T 5700-2023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E42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照度计、亮度计等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1BED">
                  <w:pPr>
                    <w:keepNext w:val="0"/>
                    <w:keepLines w:val="0"/>
                    <w:widowControl/>
                    <w:suppressLineNumbers w:val="0"/>
                    <w:jc w:val="left"/>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不少于6处，具体测试数量根据需求确定。</w:t>
                  </w:r>
                </w:p>
              </w:tc>
            </w:tr>
          </w:tbl>
          <w:p w14:paraId="5052D885">
            <w:pPr>
              <w:ind w:firstLine="560" w:firstLineChars="200"/>
              <w:rPr>
                <w:rFonts w:hint="default" w:ascii="仿宋" w:hAnsi="仿宋" w:eastAsia="仿宋" w:cs="仿宋"/>
                <w:sz w:val="28"/>
                <w:szCs w:val="28"/>
                <w:highlight w:val="yellow"/>
                <w:lang w:val="en-US" w:eastAsia="zh-CN"/>
              </w:rPr>
            </w:pPr>
          </w:p>
          <w:p w14:paraId="5DD0174A">
            <w:pPr>
              <w:spacing w:line="320" w:lineRule="exact"/>
              <w:rPr>
                <w:rFonts w:hint="default" w:ascii="仿宋" w:hAnsi="仿宋" w:eastAsia="仿宋" w:cstheme="minorBidi"/>
                <w:b w:val="0"/>
                <w:bCs/>
                <w:kern w:val="2"/>
                <w:sz w:val="24"/>
                <w:szCs w:val="24"/>
                <w:lang w:val="en-US" w:eastAsia="zh-CN" w:bidi="ar-SA"/>
              </w:rPr>
            </w:pPr>
          </w:p>
        </w:tc>
        <w:tc>
          <w:tcPr>
            <w:tcW w:w="1200" w:type="dxa"/>
          </w:tcPr>
          <w:p w14:paraId="2081569D">
            <w:pPr>
              <w:spacing w:line="320" w:lineRule="exact"/>
              <w:rPr>
                <w:rFonts w:ascii="仿宋" w:hAnsi="仿宋" w:eastAsia="仿宋"/>
                <w:b w:val="0"/>
                <w:bCs/>
                <w:szCs w:val="21"/>
              </w:rPr>
            </w:pPr>
          </w:p>
        </w:tc>
        <w:tc>
          <w:tcPr>
            <w:tcW w:w="780" w:type="dxa"/>
          </w:tcPr>
          <w:p w14:paraId="740A0C57">
            <w:pPr>
              <w:spacing w:line="320" w:lineRule="exact"/>
              <w:rPr>
                <w:rFonts w:ascii="仿宋" w:hAnsi="仿宋" w:eastAsia="仿宋"/>
                <w:b w:val="0"/>
                <w:bCs/>
                <w:szCs w:val="21"/>
              </w:rPr>
            </w:pPr>
          </w:p>
        </w:tc>
        <w:tc>
          <w:tcPr>
            <w:tcW w:w="1665" w:type="dxa"/>
          </w:tcPr>
          <w:p w14:paraId="3665942B">
            <w:pPr>
              <w:spacing w:line="320" w:lineRule="exact"/>
              <w:rPr>
                <w:rFonts w:ascii="仿宋" w:hAnsi="仿宋" w:eastAsia="仿宋"/>
                <w:b w:val="0"/>
                <w:bCs/>
                <w:szCs w:val="21"/>
              </w:rPr>
            </w:pPr>
          </w:p>
        </w:tc>
        <w:tc>
          <w:tcPr>
            <w:tcW w:w="1357" w:type="dxa"/>
          </w:tcPr>
          <w:p w14:paraId="168E75F2">
            <w:pPr>
              <w:spacing w:line="320" w:lineRule="exact"/>
              <w:rPr>
                <w:rFonts w:ascii="仿宋" w:hAnsi="仿宋" w:eastAsia="仿宋"/>
                <w:b w:val="0"/>
                <w:bCs/>
                <w:szCs w:val="21"/>
              </w:rPr>
            </w:pPr>
          </w:p>
        </w:tc>
      </w:tr>
      <w:tr w14:paraId="7F120E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vMerge w:val="continue"/>
          </w:tcPr>
          <w:p w14:paraId="673B09BE">
            <w:pPr>
              <w:spacing w:line="320" w:lineRule="exact"/>
              <w:rPr>
                <w:rFonts w:hint="eastAsia" w:ascii="仿宋" w:hAnsi="仿宋" w:eastAsia="仿宋"/>
                <w:b w:val="0"/>
                <w:bCs/>
                <w:szCs w:val="21"/>
                <w:lang w:val="en-US" w:eastAsia="zh-CN"/>
              </w:rPr>
            </w:pPr>
          </w:p>
        </w:tc>
        <w:tc>
          <w:tcPr>
            <w:tcW w:w="1027" w:type="dxa"/>
            <w:vMerge w:val="continue"/>
          </w:tcPr>
          <w:p w14:paraId="1AAA1361">
            <w:pPr>
              <w:spacing w:line="320" w:lineRule="exact"/>
              <w:rPr>
                <w:rFonts w:ascii="仿宋" w:hAnsi="仿宋" w:eastAsia="仿宋"/>
                <w:b w:val="0"/>
                <w:bCs/>
                <w:szCs w:val="21"/>
              </w:rPr>
            </w:pPr>
          </w:p>
        </w:tc>
        <w:tc>
          <w:tcPr>
            <w:tcW w:w="2402" w:type="dxa"/>
          </w:tcPr>
          <w:p w14:paraId="1E1F0ADE">
            <w:pPr>
              <w:spacing w:line="320" w:lineRule="exact"/>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3、能源计量情况：分种类对医院各种能源的计量情况和能耗统计情况进行调研，分析医院现有能源计量体系建设、计量器具配备管理、计量数据运用管理、能耗数据统计等实际情况，分析计量配置上存在的差距和问题，明确需要达到的计量网络配置目标。</w:t>
            </w:r>
          </w:p>
        </w:tc>
        <w:tc>
          <w:tcPr>
            <w:tcW w:w="1200" w:type="dxa"/>
          </w:tcPr>
          <w:p w14:paraId="572C848B">
            <w:pPr>
              <w:spacing w:line="320" w:lineRule="exact"/>
              <w:rPr>
                <w:rFonts w:ascii="仿宋" w:hAnsi="仿宋" w:eastAsia="仿宋"/>
                <w:b w:val="0"/>
                <w:bCs/>
                <w:szCs w:val="21"/>
              </w:rPr>
            </w:pPr>
          </w:p>
        </w:tc>
        <w:tc>
          <w:tcPr>
            <w:tcW w:w="780" w:type="dxa"/>
          </w:tcPr>
          <w:p w14:paraId="0DDEA516">
            <w:pPr>
              <w:spacing w:line="320" w:lineRule="exact"/>
              <w:rPr>
                <w:rFonts w:ascii="仿宋" w:hAnsi="仿宋" w:eastAsia="仿宋"/>
                <w:b w:val="0"/>
                <w:bCs/>
                <w:szCs w:val="21"/>
              </w:rPr>
            </w:pPr>
          </w:p>
        </w:tc>
        <w:tc>
          <w:tcPr>
            <w:tcW w:w="1665" w:type="dxa"/>
          </w:tcPr>
          <w:p w14:paraId="55754408">
            <w:pPr>
              <w:spacing w:line="320" w:lineRule="exact"/>
              <w:rPr>
                <w:rFonts w:ascii="仿宋" w:hAnsi="仿宋" w:eastAsia="仿宋"/>
                <w:b w:val="0"/>
                <w:bCs/>
                <w:szCs w:val="21"/>
              </w:rPr>
            </w:pPr>
          </w:p>
        </w:tc>
        <w:tc>
          <w:tcPr>
            <w:tcW w:w="1357" w:type="dxa"/>
          </w:tcPr>
          <w:p w14:paraId="27275FF8">
            <w:pPr>
              <w:spacing w:line="320" w:lineRule="exact"/>
              <w:rPr>
                <w:rFonts w:ascii="仿宋" w:hAnsi="仿宋" w:eastAsia="仿宋"/>
                <w:b w:val="0"/>
                <w:bCs/>
                <w:szCs w:val="21"/>
              </w:rPr>
            </w:pPr>
          </w:p>
        </w:tc>
      </w:tr>
      <w:tr w14:paraId="34DC66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75" w:type="dxa"/>
            <w:vMerge w:val="continue"/>
          </w:tcPr>
          <w:p w14:paraId="3096879D">
            <w:pPr>
              <w:spacing w:line="320" w:lineRule="exact"/>
              <w:rPr>
                <w:rFonts w:hint="eastAsia" w:ascii="仿宋" w:hAnsi="仿宋" w:eastAsia="仿宋"/>
                <w:b w:val="0"/>
                <w:bCs/>
                <w:szCs w:val="21"/>
                <w:lang w:val="en-US" w:eastAsia="zh-CN"/>
              </w:rPr>
            </w:pPr>
          </w:p>
        </w:tc>
        <w:tc>
          <w:tcPr>
            <w:tcW w:w="1027" w:type="dxa"/>
            <w:vMerge w:val="continue"/>
          </w:tcPr>
          <w:p w14:paraId="457CD65E">
            <w:pPr>
              <w:spacing w:line="320" w:lineRule="exact"/>
              <w:rPr>
                <w:rFonts w:ascii="仿宋" w:hAnsi="仿宋" w:eastAsia="仿宋"/>
                <w:b w:val="0"/>
                <w:bCs/>
                <w:szCs w:val="21"/>
              </w:rPr>
            </w:pPr>
          </w:p>
        </w:tc>
        <w:tc>
          <w:tcPr>
            <w:tcW w:w="2402" w:type="dxa"/>
          </w:tcPr>
          <w:p w14:paraId="14E56B36">
            <w:pPr>
              <w:pStyle w:val="3"/>
              <w:spacing w:before="217" w:line="240" w:lineRule="auto"/>
              <w:ind w:right="99"/>
              <w:jc w:val="left"/>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4、能源管理状况：在现场进行观察，记录设备的开启状况、控制方式、温度设置等情况。观察是否存在能源浪费的行为或问题，如长时间开启不必要的设备、设备的调节控制不当等。对医院现有能源管理机构及部门设置、节能规章制度建设及执行、节能岗位设置及职责确定、能源管理目标和方针、节能宣传教育培训工作开展等实际情况进行调研，分析能源管理的成效与问题，明确后期可以实施的能源管理具体措施和管理目标。</w:t>
            </w:r>
          </w:p>
        </w:tc>
        <w:tc>
          <w:tcPr>
            <w:tcW w:w="1200" w:type="dxa"/>
          </w:tcPr>
          <w:p w14:paraId="3A27C30B">
            <w:pPr>
              <w:spacing w:line="320" w:lineRule="exact"/>
              <w:rPr>
                <w:rFonts w:ascii="仿宋" w:hAnsi="仿宋" w:eastAsia="仿宋"/>
                <w:b w:val="0"/>
                <w:bCs/>
                <w:szCs w:val="21"/>
              </w:rPr>
            </w:pPr>
          </w:p>
        </w:tc>
        <w:tc>
          <w:tcPr>
            <w:tcW w:w="780" w:type="dxa"/>
          </w:tcPr>
          <w:p w14:paraId="404842BE">
            <w:pPr>
              <w:spacing w:line="320" w:lineRule="exact"/>
              <w:rPr>
                <w:rFonts w:ascii="仿宋" w:hAnsi="仿宋" w:eastAsia="仿宋"/>
                <w:b w:val="0"/>
                <w:bCs/>
                <w:szCs w:val="21"/>
              </w:rPr>
            </w:pPr>
          </w:p>
        </w:tc>
        <w:tc>
          <w:tcPr>
            <w:tcW w:w="1665" w:type="dxa"/>
          </w:tcPr>
          <w:p w14:paraId="738EBE80">
            <w:pPr>
              <w:spacing w:line="320" w:lineRule="exact"/>
              <w:rPr>
                <w:rFonts w:ascii="仿宋" w:hAnsi="仿宋" w:eastAsia="仿宋"/>
                <w:b w:val="0"/>
                <w:bCs/>
                <w:szCs w:val="21"/>
              </w:rPr>
            </w:pPr>
          </w:p>
        </w:tc>
        <w:tc>
          <w:tcPr>
            <w:tcW w:w="1357" w:type="dxa"/>
          </w:tcPr>
          <w:p w14:paraId="55463ABB">
            <w:pPr>
              <w:spacing w:line="320" w:lineRule="exact"/>
              <w:rPr>
                <w:rFonts w:ascii="仿宋" w:hAnsi="仿宋" w:eastAsia="仿宋"/>
                <w:b w:val="0"/>
                <w:bCs/>
                <w:szCs w:val="21"/>
              </w:rPr>
            </w:pPr>
          </w:p>
        </w:tc>
      </w:tr>
      <w:tr w14:paraId="70D6F6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8" w:hRule="atLeast"/>
        </w:trPr>
        <w:tc>
          <w:tcPr>
            <w:tcW w:w="675" w:type="dxa"/>
            <w:vMerge w:val="continue"/>
          </w:tcPr>
          <w:p w14:paraId="320BED5C">
            <w:pPr>
              <w:spacing w:line="320" w:lineRule="exact"/>
              <w:rPr>
                <w:rFonts w:hint="eastAsia" w:ascii="仿宋" w:hAnsi="仿宋" w:eastAsia="仿宋"/>
                <w:b w:val="0"/>
                <w:bCs/>
                <w:szCs w:val="21"/>
                <w:lang w:val="en-US" w:eastAsia="zh-CN"/>
              </w:rPr>
            </w:pPr>
          </w:p>
        </w:tc>
        <w:tc>
          <w:tcPr>
            <w:tcW w:w="1027" w:type="dxa"/>
            <w:vMerge w:val="continue"/>
          </w:tcPr>
          <w:p w14:paraId="61DC5C94">
            <w:pPr>
              <w:spacing w:line="320" w:lineRule="exact"/>
              <w:rPr>
                <w:rFonts w:ascii="仿宋" w:hAnsi="仿宋" w:eastAsia="仿宋"/>
                <w:b w:val="0"/>
                <w:bCs/>
                <w:szCs w:val="21"/>
              </w:rPr>
            </w:pPr>
          </w:p>
        </w:tc>
        <w:tc>
          <w:tcPr>
            <w:tcW w:w="2402" w:type="dxa"/>
          </w:tcPr>
          <w:p w14:paraId="03040615">
            <w:pPr>
              <w:pStyle w:val="3"/>
              <w:spacing w:before="212" w:line="220" w:lineRule="auto"/>
              <w:ind w:left="25"/>
              <w:jc w:val="left"/>
              <w:outlineLvl w:val="1"/>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5、技改项目分析：核算医院五年来已经开展的节能技改项目取得的节能效果以及可以改进的方向。另外，结合医院实际情况及院方需求，对各能源公司提供的节能技改方案的可行性、安全性、经济性进行分析研究，测算节能效果，为医院量身制定可以具体实施的节能技改项目清单，分析各技改项目实施后的节能量和投资回收期，给出合理建议。</w:t>
            </w:r>
          </w:p>
        </w:tc>
        <w:tc>
          <w:tcPr>
            <w:tcW w:w="1200" w:type="dxa"/>
          </w:tcPr>
          <w:p w14:paraId="43FB8A59">
            <w:pPr>
              <w:spacing w:line="320" w:lineRule="exact"/>
              <w:rPr>
                <w:rFonts w:ascii="仿宋" w:hAnsi="仿宋" w:eastAsia="仿宋"/>
                <w:b w:val="0"/>
                <w:bCs/>
                <w:szCs w:val="21"/>
              </w:rPr>
            </w:pPr>
          </w:p>
        </w:tc>
        <w:tc>
          <w:tcPr>
            <w:tcW w:w="780" w:type="dxa"/>
          </w:tcPr>
          <w:p w14:paraId="629361B7">
            <w:pPr>
              <w:spacing w:line="320" w:lineRule="exact"/>
              <w:rPr>
                <w:rFonts w:ascii="仿宋" w:hAnsi="仿宋" w:eastAsia="仿宋"/>
                <w:b w:val="0"/>
                <w:bCs/>
                <w:szCs w:val="21"/>
              </w:rPr>
            </w:pPr>
          </w:p>
        </w:tc>
        <w:tc>
          <w:tcPr>
            <w:tcW w:w="1665" w:type="dxa"/>
          </w:tcPr>
          <w:p w14:paraId="1A055C97">
            <w:pPr>
              <w:spacing w:line="320" w:lineRule="exact"/>
              <w:rPr>
                <w:rFonts w:ascii="仿宋" w:hAnsi="仿宋" w:eastAsia="仿宋"/>
                <w:b w:val="0"/>
                <w:bCs/>
                <w:szCs w:val="21"/>
              </w:rPr>
            </w:pPr>
          </w:p>
        </w:tc>
        <w:tc>
          <w:tcPr>
            <w:tcW w:w="1357" w:type="dxa"/>
          </w:tcPr>
          <w:p w14:paraId="470FEF36">
            <w:pPr>
              <w:spacing w:line="320" w:lineRule="exact"/>
              <w:rPr>
                <w:rFonts w:ascii="仿宋" w:hAnsi="仿宋" w:eastAsia="仿宋"/>
                <w:b w:val="0"/>
                <w:bCs/>
                <w:szCs w:val="21"/>
              </w:rPr>
            </w:pPr>
          </w:p>
        </w:tc>
      </w:tr>
      <w:tr w14:paraId="5E35D0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83" w:hRule="atLeast"/>
        </w:trPr>
        <w:tc>
          <w:tcPr>
            <w:tcW w:w="675" w:type="dxa"/>
            <w:vMerge w:val="continue"/>
          </w:tcPr>
          <w:p w14:paraId="54E1D3A7">
            <w:pPr>
              <w:spacing w:line="320" w:lineRule="exact"/>
              <w:rPr>
                <w:rFonts w:hint="eastAsia" w:ascii="仿宋" w:hAnsi="仿宋" w:eastAsia="仿宋"/>
                <w:b w:val="0"/>
                <w:bCs/>
                <w:szCs w:val="21"/>
                <w:lang w:val="en-US" w:eastAsia="zh-CN"/>
              </w:rPr>
            </w:pPr>
          </w:p>
        </w:tc>
        <w:tc>
          <w:tcPr>
            <w:tcW w:w="1027" w:type="dxa"/>
            <w:vMerge w:val="continue"/>
          </w:tcPr>
          <w:p w14:paraId="599A444E">
            <w:pPr>
              <w:spacing w:line="320" w:lineRule="exact"/>
              <w:rPr>
                <w:rFonts w:ascii="仿宋" w:hAnsi="仿宋" w:eastAsia="仿宋"/>
                <w:b w:val="0"/>
                <w:bCs/>
                <w:szCs w:val="21"/>
              </w:rPr>
            </w:pPr>
          </w:p>
        </w:tc>
        <w:tc>
          <w:tcPr>
            <w:tcW w:w="2402" w:type="dxa"/>
          </w:tcPr>
          <w:p w14:paraId="6043CD3B">
            <w:pPr>
              <w:pStyle w:val="3"/>
              <w:spacing w:before="212" w:line="220" w:lineRule="auto"/>
              <w:ind w:left="25"/>
              <w:jc w:val="left"/>
              <w:outlineLvl w:val="1"/>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6、能源基准和基准期：根据调研情况，确定各种类能源消耗基准值，为后期合同能源管理项目的开展提供客观的能耗基准参考值，以及其他相关数据支撑。具体包含：①1号楼中央空调的各种类能源消耗基准值及基准期；②1号楼多联机空调、分体式空调的用电能源消耗基准值及基准期；③1号楼过渡季节空调(开利螺杆机组）各种类能源消耗基准值及基准期；④1号楼各种类能源消耗基准值及基准期；⑤2号楼各种类能源消耗基准值及基准期；⑥3号楼各种类能源消耗基准值及基准期；⑦1、2、3号楼合计各种类能源消耗基准值及基准期。</w:t>
            </w:r>
          </w:p>
        </w:tc>
        <w:tc>
          <w:tcPr>
            <w:tcW w:w="1200" w:type="dxa"/>
          </w:tcPr>
          <w:p w14:paraId="7EE1B82E">
            <w:pPr>
              <w:spacing w:line="320" w:lineRule="exact"/>
              <w:rPr>
                <w:rFonts w:ascii="仿宋" w:hAnsi="仿宋" w:eastAsia="仿宋"/>
                <w:b w:val="0"/>
                <w:bCs/>
                <w:szCs w:val="21"/>
              </w:rPr>
            </w:pPr>
          </w:p>
        </w:tc>
        <w:tc>
          <w:tcPr>
            <w:tcW w:w="780" w:type="dxa"/>
          </w:tcPr>
          <w:p w14:paraId="3E873EA6">
            <w:pPr>
              <w:spacing w:line="320" w:lineRule="exact"/>
              <w:rPr>
                <w:rFonts w:ascii="仿宋" w:hAnsi="仿宋" w:eastAsia="仿宋"/>
                <w:b w:val="0"/>
                <w:bCs/>
                <w:szCs w:val="21"/>
              </w:rPr>
            </w:pPr>
          </w:p>
        </w:tc>
        <w:tc>
          <w:tcPr>
            <w:tcW w:w="1665" w:type="dxa"/>
          </w:tcPr>
          <w:p w14:paraId="40E27874">
            <w:pPr>
              <w:spacing w:line="320" w:lineRule="exact"/>
              <w:rPr>
                <w:rFonts w:ascii="仿宋" w:hAnsi="仿宋" w:eastAsia="仿宋"/>
                <w:b w:val="0"/>
                <w:bCs/>
                <w:szCs w:val="21"/>
              </w:rPr>
            </w:pPr>
          </w:p>
        </w:tc>
        <w:tc>
          <w:tcPr>
            <w:tcW w:w="1357" w:type="dxa"/>
          </w:tcPr>
          <w:p w14:paraId="1FBE4ADC">
            <w:pPr>
              <w:spacing w:line="320" w:lineRule="exact"/>
              <w:rPr>
                <w:rFonts w:ascii="仿宋" w:hAnsi="仿宋" w:eastAsia="仿宋"/>
                <w:b w:val="0"/>
                <w:bCs/>
                <w:szCs w:val="21"/>
              </w:rPr>
            </w:pPr>
          </w:p>
        </w:tc>
      </w:tr>
      <w:tr w14:paraId="3374E2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83" w:hRule="atLeast"/>
        </w:trPr>
        <w:tc>
          <w:tcPr>
            <w:tcW w:w="675" w:type="dxa"/>
          </w:tcPr>
          <w:p w14:paraId="6E0A4A85">
            <w:pPr>
              <w:spacing w:line="320" w:lineRule="exact"/>
              <w:rPr>
                <w:rFonts w:hint="eastAsia" w:ascii="仿宋" w:hAnsi="仿宋" w:eastAsia="仿宋"/>
                <w:b w:val="0"/>
                <w:bCs/>
                <w:szCs w:val="21"/>
                <w:lang w:val="en-US" w:eastAsia="zh-CN"/>
              </w:rPr>
            </w:pPr>
          </w:p>
        </w:tc>
        <w:tc>
          <w:tcPr>
            <w:tcW w:w="1027" w:type="dxa"/>
          </w:tcPr>
          <w:p w14:paraId="20ED7133">
            <w:pPr>
              <w:spacing w:line="320" w:lineRule="exact"/>
              <w:rPr>
                <w:rFonts w:ascii="仿宋" w:hAnsi="仿宋" w:eastAsia="仿宋"/>
                <w:b w:val="0"/>
                <w:bCs/>
                <w:szCs w:val="21"/>
              </w:rPr>
            </w:pPr>
          </w:p>
        </w:tc>
        <w:tc>
          <w:tcPr>
            <w:tcW w:w="2402" w:type="dxa"/>
          </w:tcPr>
          <w:p w14:paraId="2C823EC5">
            <w:pPr>
              <w:pStyle w:val="6"/>
              <w:ind w:left="0" w:leftChars="0" w:firstLine="482" w:firstLineChars="200"/>
              <w:rPr>
                <w:rFonts w:hint="default" w:ascii="仿宋" w:hAnsi="仿宋" w:eastAsia="仿宋" w:cs="仿宋"/>
                <w:sz w:val="24"/>
                <w:szCs w:val="24"/>
                <w:highlight w:val="none"/>
                <w:lang w:val="en-US" w:eastAsia="zh-CN"/>
              </w:rPr>
            </w:pPr>
            <w:r>
              <w:rPr>
                <w:rFonts w:hint="eastAsia" w:ascii="仿宋" w:hAnsi="仿宋" w:eastAsia="仿宋" w:cs="仿宋"/>
                <w:b/>
                <w:bCs/>
                <w:sz w:val="24"/>
                <w:szCs w:val="24"/>
                <w:highlight w:val="none"/>
              </w:rPr>
              <w:t>7</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成本核算：</w:t>
            </w:r>
            <w:r>
              <w:rPr>
                <w:rFonts w:hint="eastAsia" w:ascii="仿宋" w:hAnsi="仿宋" w:eastAsia="仿宋" w:cs="仿宋"/>
                <w:sz w:val="24"/>
                <w:szCs w:val="24"/>
                <w:highlight w:val="none"/>
              </w:rPr>
              <w:t>根据调研情况，为医院后期开展能耗成本核算提供合理化建议，为临床科室、医技科室、行政职能科室制定符合科室实际的、可操作性强的能耗成本核算方式</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特别的，将医院现有空调班运营费用（包含人工、维修耗材、维保费、能源费等）核算出来，给出合同能源管理托管费用基准值及基准期。同时，对全院各科室用电用水耗能情况进行统计、监测分析，制定每月消耗限额指标，为医院节能管理作为参考。</w:t>
            </w:r>
          </w:p>
          <w:p w14:paraId="1BB970B1">
            <w:pPr>
              <w:pStyle w:val="3"/>
              <w:spacing w:before="212" w:line="220" w:lineRule="auto"/>
              <w:ind w:left="25"/>
              <w:jc w:val="left"/>
              <w:outlineLvl w:val="1"/>
              <w:rPr>
                <w:rFonts w:hint="default" w:ascii="仿宋" w:hAnsi="仿宋" w:eastAsia="仿宋" w:cstheme="minorBidi"/>
                <w:b w:val="0"/>
                <w:bCs/>
                <w:kern w:val="2"/>
                <w:sz w:val="24"/>
                <w:szCs w:val="24"/>
                <w:lang w:val="en-US" w:eastAsia="zh-CN" w:bidi="ar-SA"/>
              </w:rPr>
            </w:pPr>
          </w:p>
        </w:tc>
        <w:tc>
          <w:tcPr>
            <w:tcW w:w="1200" w:type="dxa"/>
          </w:tcPr>
          <w:p w14:paraId="43A39F24">
            <w:pPr>
              <w:spacing w:line="320" w:lineRule="exact"/>
              <w:rPr>
                <w:rFonts w:ascii="仿宋" w:hAnsi="仿宋" w:eastAsia="仿宋"/>
                <w:b w:val="0"/>
                <w:bCs/>
                <w:szCs w:val="21"/>
              </w:rPr>
            </w:pPr>
          </w:p>
        </w:tc>
        <w:tc>
          <w:tcPr>
            <w:tcW w:w="780" w:type="dxa"/>
          </w:tcPr>
          <w:p w14:paraId="1E077CAE">
            <w:pPr>
              <w:spacing w:line="320" w:lineRule="exact"/>
              <w:rPr>
                <w:rFonts w:ascii="仿宋" w:hAnsi="仿宋" w:eastAsia="仿宋"/>
                <w:b w:val="0"/>
                <w:bCs/>
                <w:szCs w:val="21"/>
              </w:rPr>
            </w:pPr>
          </w:p>
        </w:tc>
        <w:tc>
          <w:tcPr>
            <w:tcW w:w="1665" w:type="dxa"/>
          </w:tcPr>
          <w:p w14:paraId="0E6D0B88">
            <w:pPr>
              <w:spacing w:line="320" w:lineRule="exact"/>
              <w:rPr>
                <w:rFonts w:ascii="仿宋" w:hAnsi="仿宋" w:eastAsia="仿宋"/>
                <w:b w:val="0"/>
                <w:bCs/>
                <w:szCs w:val="21"/>
              </w:rPr>
            </w:pPr>
          </w:p>
        </w:tc>
        <w:tc>
          <w:tcPr>
            <w:tcW w:w="1357" w:type="dxa"/>
          </w:tcPr>
          <w:p w14:paraId="0BC6E2DF">
            <w:pPr>
              <w:spacing w:line="320" w:lineRule="exact"/>
              <w:rPr>
                <w:rFonts w:ascii="仿宋" w:hAnsi="仿宋" w:eastAsia="仿宋"/>
                <w:b w:val="0"/>
                <w:bCs/>
                <w:szCs w:val="21"/>
              </w:rPr>
            </w:pPr>
          </w:p>
        </w:tc>
      </w:tr>
      <w:tr w14:paraId="27F8E8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83" w:hRule="atLeast"/>
        </w:trPr>
        <w:tc>
          <w:tcPr>
            <w:tcW w:w="675" w:type="dxa"/>
          </w:tcPr>
          <w:p w14:paraId="2BA47F4B">
            <w:pPr>
              <w:spacing w:line="320" w:lineRule="exact"/>
              <w:rPr>
                <w:rFonts w:hint="eastAsia" w:ascii="仿宋" w:hAnsi="仿宋" w:eastAsia="仿宋"/>
                <w:b w:val="0"/>
                <w:bCs/>
                <w:szCs w:val="21"/>
                <w:lang w:val="en-US" w:eastAsia="zh-CN"/>
              </w:rPr>
            </w:pPr>
          </w:p>
        </w:tc>
        <w:tc>
          <w:tcPr>
            <w:tcW w:w="1027" w:type="dxa"/>
          </w:tcPr>
          <w:p w14:paraId="069C0028">
            <w:pPr>
              <w:spacing w:line="320" w:lineRule="exact"/>
              <w:rPr>
                <w:rFonts w:ascii="仿宋" w:hAnsi="仿宋" w:eastAsia="仿宋"/>
                <w:b w:val="0"/>
                <w:bCs/>
                <w:szCs w:val="21"/>
              </w:rPr>
            </w:pPr>
          </w:p>
        </w:tc>
        <w:tc>
          <w:tcPr>
            <w:tcW w:w="2402" w:type="dxa"/>
          </w:tcPr>
          <w:p w14:paraId="68B5F1FA">
            <w:pPr>
              <w:pStyle w:val="3"/>
              <w:spacing w:before="212" w:line="220" w:lineRule="auto"/>
              <w:ind w:left="25"/>
              <w:jc w:val="left"/>
              <w:outlineLvl w:val="1"/>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8、出具能源审计报告和进行评估等：报告内容包括能源消耗情况、用能设备情况、能源计量情况、能源管理状况、技改项目分析、能源基准和基准期、成本核算建议、能源精细化管理建议等。配合组织有关部门及专家对能源审计报告、能源托管方案进行全面评估和确定，协助向公共机构节能主管部门和财政部门备案。本项目所出具的编制文件及其他所需相关资料应符合国家相关规范要求，并满足此项目实际需要；所涉及的编制文件修改、完善、专家评审论证、资料备案等一切工作由成交供应商负责，所有费用包含在总报价内。</w:t>
            </w:r>
          </w:p>
        </w:tc>
        <w:tc>
          <w:tcPr>
            <w:tcW w:w="1200" w:type="dxa"/>
          </w:tcPr>
          <w:p w14:paraId="0A8A7774">
            <w:pPr>
              <w:spacing w:line="320" w:lineRule="exact"/>
              <w:rPr>
                <w:rFonts w:ascii="仿宋" w:hAnsi="仿宋" w:eastAsia="仿宋"/>
                <w:b w:val="0"/>
                <w:bCs/>
                <w:szCs w:val="21"/>
              </w:rPr>
            </w:pPr>
          </w:p>
        </w:tc>
        <w:tc>
          <w:tcPr>
            <w:tcW w:w="780" w:type="dxa"/>
          </w:tcPr>
          <w:p w14:paraId="3FE0E6D4">
            <w:pPr>
              <w:spacing w:line="320" w:lineRule="exact"/>
              <w:rPr>
                <w:rFonts w:ascii="仿宋" w:hAnsi="仿宋" w:eastAsia="仿宋"/>
                <w:b w:val="0"/>
                <w:bCs/>
                <w:szCs w:val="21"/>
              </w:rPr>
            </w:pPr>
          </w:p>
        </w:tc>
        <w:tc>
          <w:tcPr>
            <w:tcW w:w="1665" w:type="dxa"/>
          </w:tcPr>
          <w:p w14:paraId="0BC33AD3">
            <w:pPr>
              <w:spacing w:line="320" w:lineRule="exact"/>
              <w:rPr>
                <w:rFonts w:ascii="仿宋" w:hAnsi="仿宋" w:eastAsia="仿宋"/>
                <w:b w:val="0"/>
                <w:bCs/>
                <w:szCs w:val="21"/>
              </w:rPr>
            </w:pPr>
          </w:p>
        </w:tc>
        <w:tc>
          <w:tcPr>
            <w:tcW w:w="1357" w:type="dxa"/>
          </w:tcPr>
          <w:p w14:paraId="7DEEB278">
            <w:pPr>
              <w:spacing w:line="320" w:lineRule="exact"/>
              <w:rPr>
                <w:rFonts w:ascii="仿宋" w:hAnsi="仿宋" w:eastAsia="仿宋"/>
                <w:b w:val="0"/>
                <w:bCs/>
                <w:szCs w:val="21"/>
              </w:rPr>
            </w:pPr>
          </w:p>
        </w:tc>
      </w:tr>
      <w:tr w14:paraId="026ED9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78" w:hRule="atLeast"/>
        </w:trPr>
        <w:tc>
          <w:tcPr>
            <w:tcW w:w="675" w:type="dxa"/>
          </w:tcPr>
          <w:p w14:paraId="51B7679C">
            <w:pPr>
              <w:spacing w:line="320" w:lineRule="exact"/>
              <w:rPr>
                <w:rFonts w:hint="eastAsia" w:ascii="仿宋" w:hAnsi="仿宋" w:eastAsia="仿宋"/>
                <w:b w:val="0"/>
                <w:bCs/>
                <w:szCs w:val="21"/>
                <w:lang w:val="en-US" w:eastAsia="zh-CN"/>
              </w:rPr>
            </w:pPr>
          </w:p>
        </w:tc>
        <w:tc>
          <w:tcPr>
            <w:tcW w:w="1027" w:type="dxa"/>
          </w:tcPr>
          <w:p w14:paraId="69A1C495">
            <w:pPr>
              <w:spacing w:line="320" w:lineRule="exact"/>
              <w:rPr>
                <w:rFonts w:ascii="仿宋" w:hAnsi="仿宋" w:eastAsia="仿宋"/>
                <w:b w:val="0"/>
                <w:bCs/>
                <w:szCs w:val="21"/>
              </w:rPr>
            </w:pPr>
          </w:p>
        </w:tc>
        <w:tc>
          <w:tcPr>
            <w:tcW w:w="2402" w:type="dxa"/>
          </w:tcPr>
          <w:p w14:paraId="329B9064">
            <w:pPr>
              <w:pStyle w:val="3"/>
              <w:spacing w:before="212" w:line="220" w:lineRule="auto"/>
              <w:ind w:left="25"/>
              <w:jc w:val="left"/>
              <w:outlineLvl w:val="1"/>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9、其他要求：结合医院需求，为医院前期各能源公司提供的节能技改方案进行可行性评价；对医院能源托管或者合同能源管理项目的实施、医院后勤管理工作高质量发展等，提供专业指导意见；配合医院做好节能示范单位创建或其他荣誉申报。</w:t>
            </w:r>
          </w:p>
        </w:tc>
        <w:tc>
          <w:tcPr>
            <w:tcW w:w="1200" w:type="dxa"/>
          </w:tcPr>
          <w:p w14:paraId="696DF8FF">
            <w:pPr>
              <w:spacing w:line="320" w:lineRule="exact"/>
              <w:rPr>
                <w:rFonts w:ascii="仿宋" w:hAnsi="仿宋" w:eastAsia="仿宋"/>
                <w:b w:val="0"/>
                <w:bCs/>
                <w:szCs w:val="21"/>
              </w:rPr>
            </w:pPr>
          </w:p>
        </w:tc>
        <w:tc>
          <w:tcPr>
            <w:tcW w:w="780" w:type="dxa"/>
          </w:tcPr>
          <w:p w14:paraId="02076E64">
            <w:pPr>
              <w:spacing w:line="320" w:lineRule="exact"/>
              <w:rPr>
                <w:rFonts w:ascii="仿宋" w:hAnsi="仿宋" w:eastAsia="仿宋"/>
                <w:b w:val="0"/>
                <w:bCs/>
                <w:szCs w:val="21"/>
              </w:rPr>
            </w:pPr>
          </w:p>
        </w:tc>
        <w:tc>
          <w:tcPr>
            <w:tcW w:w="1665" w:type="dxa"/>
          </w:tcPr>
          <w:p w14:paraId="7BBD5ACE">
            <w:pPr>
              <w:spacing w:line="320" w:lineRule="exact"/>
              <w:rPr>
                <w:rFonts w:ascii="仿宋" w:hAnsi="仿宋" w:eastAsia="仿宋"/>
                <w:b w:val="0"/>
                <w:bCs/>
                <w:szCs w:val="21"/>
              </w:rPr>
            </w:pPr>
          </w:p>
        </w:tc>
        <w:tc>
          <w:tcPr>
            <w:tcW w:w="1357" w:type="dxa"/>
          </w:tcPr>
          <w:p w14:paraId="4A62BA69">
            <w:pPr>
              <w:spacing w:line="320" w:lineRule="exact"/>
              <w:rPr>
                <w:rFonts w:ascii="仿宋" w:hAnsi="仿宋" w:eastAsia="仿宋"/>
                <w:b w:val="0"/>
                <w:bCs/>
                <w:szCs w:val="21"/>
              </w:rPr>
            </w:pPr>
          </w:p>
        </w:tc>
      </w:tr>
      <w:tr w14:paraId="4D7355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75" w:type="dxa"/>
          </w:tcPr>
          <w:p w14:paraId="102DEA43">
            <w:pPr>
              <w:spacing w:line="320" w:lineRule="exact"/>
              <w:rPr>
                <w:rFonts w:hint="eastAsia" w:ascii="仿宋" w:hAnsi="仿宋" w:eastAsia="仿宋"/>
                <w:b w:val="0"/>
                <w:bCs/>
                <w:szCs w:val="21"/>
                <w:lang w:val="en-US" w:eastAsia="zh-CN"/>
              </w:rPr>
            </w:pPr>
          </w:p>
        </w:tc>
        <w:tc>
          <w:tcPr>
            <w:tcW w:w="1027" w:type="dxa"/>
            <w:vMerge w:val="restart"/>
          </w:tcPr>
          <w:p w14:paraId="0C9AFA5A">
            <w:pPr>
              <w:spacing w:line="320" w:lineRule="exact"/>
              <w:rPr>
                <w:rFonts w:hint="eastAsia" w:ascii="仿宋" w:hAnsi="仿宋" w:eastAsia="仿宋"/>
                <w:b w:val="0"/>
                <w:bCs/>
                <w:szCs w:val="21"/>
                <w:lang w:val="en-US" w:eastAsia="zh-CN"/>
              </w:rPr>
            </w:pPr>
            <w:r>
              <w:rPr>
                <w:rFonts w:hint="eastAsia" w:ascii="仿宋" w:hAnsi="仿宋" w:eastAsia="仿宋"/>
                <w:b/>
                <w:bCs w:val="0"/>
                <w:szCs w:val="21"/>
                <w:lang w:val="en-US" w:eastAsia="zh-CN"/>
              </w:rPr>
              <w:t>四、其他要求</w:t>
            </w:r>
          </w:p>
        </w:tc>
        <w:tc>
          <w:tcPr>
            <w:tcW w:w="2402" w:type="dxa"/>
          </w:tcPr>
          <w:p w14:paraId="3D227115">
            <w:pPr>
              <w:pStyle w:val="3"/>
              <w:spacing w:before="212" w:line="220" w:lineRule="auto"/>
              <w:ind w:left="25"/>
              <w:jc w:val="left"/>
              <w:outlineLvl w:val="1"/>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1、工期要求：合同签订后30个日历天内完成审计评估工作，并出具正式能源审计评估报告。</w:t>
            </w:r>
          </w:p>
        </w:tc>
        <w:tc>
          <w:tcPr>
            <w:tcW w:w="1200" w:type="dxa"/>
          </w:tcPr>
          <w:p w14:paraId="67AFED0F">
            <w:pPr>
              <w:spacing w:line="320" w:lineRule="exact"/>
              <w:rPr>
                <w:rFonts w:ascii="仿宋" w:hAnsi="仿宋" w:eastAsia="仿宋"/>
                <w:b w:val="0"/>
                <w:bCs/>
                <w:szCs w:val="21"/>
              </w:rPr>
            </w:pPr>
          </w:p>
        </w:tc>
        <w:tc>
          <w:tcPr>
            <w:tcW w:w="780" w:type="dxa"/>
          </w:tcPr>
          <w:p w14:paraId="0875D882">
            <w:pPr>
              <w:spacing w:line="320" w:lineRule="exact"/>
              <w:rPr>
                <w:rFonts w:ascii="仿宋" w:hAnsi="仿宋" w:eastAsia="仿宋"/>
                <w:b w:val="0"/>
                <w:bCs/>
                <w:szCs w:val="21"/>
              </w:rPr>
            </w:pPr>
          </w:p>
        </w:tc>
        <w:tc>
          <w:tcPr>
            <w:tcW w:w="1665" w:type="dxa"/>
          </w:tcPr>
          <w:p w14:paraId="756B2335">
            <w:pPr>
              <w:spacing w:line="320" w:lineRule="exact"/>
              <w:rPr>
                <w:rFonts w:ascii="仿宋" w:hAnsi="仿宋" w:eastAsia="仿宋"/>
                <w:b w:val="0"/>
                <w:bCs/>
                <w:szCs w:val="21"/>
              </w:rPr>
            </w:pPr>
          </w:p>
        </w:tc>
        <w:tc>
          <w:tcPr>
            <w:tcW w:w="1357" w:type="dxa"/>
          </w:tcPr>
          <w:p w14:paraId="2BB4DE07">
            <w:pPr>
              <w:spacing w:line="320" w:lineRule="exact"/>
              <w:rPr>
                <w:rFonts w:ascii="仿宋" w:hAnsi="仿宋" w:eastAsia="仿宋"/>
                <w:b w:val="0"/>
                <w:bCs/>
                <w:szCs w:val="21"/>
              </w:rPr>
            </w:pPr>
          </w:p>
        </w:tc>
      </w:tr>
      <w:tr w14:paraId="4CF1E5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18" w:hRule="atLeast"/>
        </w:trPr>
        <w:tc>
          <w:tcPr>
            <w:tcW w:w="675" w:type="dxa"/>
          </w:tcPr>
          <w:p w14:paraId="2EB8AD48">
            <w:pPr>
              <w:spacing w:line="320" w:lineRule="exact"/>
              <w:rPr>
                <w:rFonts w:hint="eastAsia" w:ascii="仿宋" w:hAnsi="仿宋" w:eastAsia="仿宋"/>
                <w:b w:val="0"/>
                <w:bCs/>
                <w:szCs w:val="21"/>
                <w:lang w:val="en-US" w:eastAsia="zh-CN"/>
              </w:rPr>
            </w:pPr>
          </w:p>
        </w:tc>
        <w:tc>
          <w:tcPr>
            <w:tcW w:w="1027" w:type="dxa"/>
            <w:vMerge w:val="continue"/>
          </w:tcPr>
          <w:p w14:paraId="6A5A488F">
            <w:pPr>
              <w:spacing w:line="320" w:lineRule="exact"/>
              <w:rPr>
                <w:rFonts w:hint="eastAsia" w:ascii="仿宋" w:hAnsi="仿宋" w:eastAsia="仿宋"/>
                <w:b/>
                <w:bCs w:val="0"/>
                <w:szCs w:val="21"/>
                <w:lang w:val="en-US" w:eastAsia="zh-CN"/>
              </w:rPr>
            </w:pPr>
          </w:p>
        </w:tc>
        <w:tc>
          <w:tcPr>
            <w:tcW w:w="2402" w:type="dxa"/>
          </w:tcPr>
          <w:p w14:paraId="1A68220A">
            <w:pPr>
              <w:pStyle w:val="3"/>
              <w:spacing w:before="212" w:line="220" w:lineRule="auto"/>
              <w:ind w:left="25"/>
              <w:jc w:val="left"/>
              <w:outlineLvl w:val="1"/>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2、质量要求：《安徽省公共机构能源审计管理暂行办法》、《公共机构能源审计技术导则》（GB/T 31342-2014）、《综合能耗计算通则》（GB/T 2589-2020）、《公共机构综合能耗定额及计算方法》（DB34/T 3774-2020）、《安徽省非工业能源审计报告内容和深度要求》及相关标准要求。所有工作完成后，需提交采购人正式胶装报告，出具正式审计评估报告前，需提交电子版至采购人审核，若未达到采购人要求，采购人将不予支付任何服务费用。</w:t>
            </w:r>
          </w:p>
        </w:tc>
        <w:tc>
          <w:tcPr>
            <w:tcW w:w="1200" w:type="dxa"/>
          </w:tcPr>
          <w:p w14:paraId="4CDFD58B">
            <w:pPr>
              <w:spacing w:line="320" w:lineRule="exact"/>
              <w:rPr>
                <w:rFonts w:ascii="仿宋" w:hAnsi="仿宋" w:eastAsia="仿宋"/>
                <w:b w:val="0"/>
                <w:bCs/>
                <w:szCs w:val="21"/>
              </w:rPr>
            </w:pPr>
          </w:p>
        </w:tc>
        <w:tc>
          <w:tcPr>
            <w:tcW w:w="780" w:type="dxa"/>
          </w:tcPr>
          <w:p w14:paraId="4435989D">
            <w:pPr>
              <w:spacing w:line="320" w:lineRule="exact"/>
              <w:rPr>
                <w:rFonts w:ascii="仿宋" w:hAnsi="仿宋" w:eastAsia="仿宋"/>
                <w:b w:val="0"/>
                <w:bCs/>
                <w:szCs w:val="21"/>
              </w:rPr>
            </w:pPr>
          </w:p>
        </w:tc>
        <w:tc>
          <w:tcPr>
            <w:tcW w:w="1665" w:type="dxa"/>
          </w:tcPr>
          <w:p w14:paraId="07B9A329">
            <w:pPr>
              <w:spacing w:line="320" w:lineRule="exact"/>
              <w:rPr>
                <w:rFonts w:ascii="仿宋" w:hAnsi="仿宋" w:eastAsia="仿宋"/>
                <w:b w:val="0"/>
                <w:bCs/>
                <w:szCs w:val="21"/>
              </w:rPr>
            </w:pPr>
          </w:p>
        </w:tc>
        <w:tc>
          <w:tcPr>
            <w:tcW w:w="1357" w:type="dxa"/>
          </w:tcPr>
          <w:p w14:paraId="1C395AD3">
            <w:pPr>
              <w:spacing w:line="320" w:lineRule="exact"/>
              <w:rPr>
                <w:rFonts w:ascii="仿宋" w:hAnsi="仿宋" w:eastAsia="仿宋"/>
                <w:b w:val="0"/>
                <w:bCs/>
                <w:szCs w:val="21"/>
              </w:rPr>
            </w:pPr>
          </w:p>
        </w:tc>
      </w:tr>
      <w:tr w14:paraId="08F9FD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3" w:hRule="atLeast"/>
        </w:trPr>
        <w:tc>
          <w:tcPr>
            <w:tcW w:w="675" w:type="dxa"/>
          </w:tcPr>
          <w:p w14:paraId="17833DC9">
            <w:pPr>
              <w:spacing w:line="320" w:lineRule="exact"/>
              <w:rPr>
                <w:rFonts w:hint="eastAsia" w:ascii="仿宋" w:hAnsi="仿宋" w:eastAsia="仿宋"/>
                <w:b w:val="0"/>
                <w:bCs/>
                <w:szCs w:val="21"/>
                <w:lang w:val="en-US" w:eastAsia="zh-CN"/>
              </w:rPr>
            </w:pPr>
          </w:p>
        </w:tc>
        <w:tc>
          <w:tcPr>
            <w:tcW w:w="1027" w:type="dxa"/>
            <w:vMerge w:val="continue"/>
          </w:tcPr>
          <w:p w14:paraId="0F730434">
            <w:pPr>
              <w:spacing w:line="320" w:lineRule="exact"/>
              <w:rPr>
                <w:rFonts w:hint="eastAsia" w:ascii="仿宋" w:hAnsi="仿宋" w:eastAsia="仿宋"/>
                <w:b/>
                <w:bCs w:val="0"/>
                <w:szCs w:val="21"/>
                <w:lang w:val="en-US" w:eastAsia="zh-CN"/>
              </w:rPr>
            </w:pPr>
          </w:p>
        </w:tc>
        <w:tc>
          <w:tcPr>
            <w:tcW w:w="2402" w:type="dxa"/>
          </w:tcPr>
          <w:p w14:paraId="770C2FCD">
            <w:pPr>
              <w:pStyle w:val="3"/>
              <w:spacing w:before="212" w:line="220" w:lineRule="auto"/>
              <w:ind w:left="25"/>
              <w:jc w:val="left"/>
              <w:outlineLvl w:val="1"/>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3、驻场要求：供应商拟配备项目团队需深入医院各部位进行现场调研，驻场调研人员不少于3人，驻场调研时间不少于10个工作日（医院不提供驻场调研期间食宿）。</w:t>
            </w:r>
          </w:p>
        </w:tc>
        <w:tc>
          <w:tcPr>
            <w:tcW w:w="1200" w:type="dxa"/>
          </w:tcPr>
          <w:p w14:paraId="65FECE4F">
            <w:pPr>
              <w:spacing w:line="320" w:lineRule="exact"/>
              <w:rPr>
                <w:rFonts w:ascii="仿宋" w:hAnsi="仿宋" w:eastAsia="仿宋"/>
                <w:b w:val="0"/>
                <w:bCs/>
                <w:szCs w:val="21"/>
              </w:rPr>
            </w:pPr>
          </w:p>
        </w:tc>
        <w:tc>
          <w:tcPr>
            <w:tcW w:w="780" w:type="dxa"/>
          </w:tcPr>
          <w:p w14:paraId="3A9F1225">
            <w:pPr>
              <w:spacing w:line="320" w:lineRule="exact"/>
              <w:rPr>
                <w:rFonts w:ascii="仿宋" w:hAnsi="仿宋" w:eastAsia="仿宋"/>
                <w:b w:val="0"/>
                <w:bCs/>
                <w:szCs w:val="21"/>
              </w:rPr>
            </w:pPr>
          </w:p>
        </w:tc>
        <w:tc>
          <w:tcPr>
            <w:tcW w:w="1665" w:type="dxa"/>
          </w:tcPr>
          <w:p w14:paraId="7885E70D">
            <w:pPr>
              <w:spacing w:line="320" w:lineRule="exact"/>
              <w:rPr>
                <w:rFonts w:ascii="仿宋" w:hAnsi="仿宋" w:eastAsia="仿宋"/>
                <w:b w:val="0"/>
                <w:bCs/>
                <w:szCs w:val="21"/>
              </w:rPr>
            </w:pPr>
          </w:p>
        </w:tc>
        <w:tc>
          <w:tcPr>
            <w:tcW w:w="1357" w:type="dxa"/>
          </w:tcPr>
          <w:p w14:paraId="28D61747">
            <w:pPr>
              <w:spacing w:line="320" w:lineRule="exact"/>
              <w:rPr>
                <w:rFonts w:ascii="仿宋" w:hAnsi="仿宋" w:eastAsia="仿宋"/>
                <w:b w:val="0"/>
                <w:bCs/>
                <w:szCs w:val="21"/>
              </w:rPr>
            </w:pPr>
          </w:p>
        </w:tc>
      </w:tr>
      <w:tr w14:paraId="4A9085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33" w:hRule="atLeast"/>
        </w:trPr>
        <w:tc>
          <w:tcPr>
            <w:tcW w:w="675" w:type="dxa"/>
          </w:tcPr>
          <w:p w14:paraId="081FDF4E">
            <w:pPr>
              <w:spacing w:line="320" w:lineRule="exact"/>
              <w:rPr>
                <w:rFonts w:hint="eastAsia" w:ascii="仿宋" w:hAnsi="仿宋" w:eastAsia="仿宋"/>
                <w:b w:val="0"/>
                <w:bCs/>
                <w:szCs w:val="21"/>
                <w:lang w:val="en-US" w:eastAsia="zh-CN"/>
              </w:rPr>
            </w:pPr>
          </w:p>
        </w:tc>
        <w:tc>
          <w:tcPr>
            <w:tcW w:w="1027" w:type="dxa"/>
            <w:vMerge w:val="continue"/>
          </w:tcPr>
          <w:p w14:paraId="673FA2BE">
            <w:pPr>
              <w:spacing w:line="320" w:lineRule="exact"/>
              <w:rPr>
                <w:rFonts w:hint="eastAsia" w:ascii="仿宋" w:hAnsi="仿宋" w:eastAsia="仿宋"/>
                <w:b/>
                <w:bCs w:val="0"/>
                <w:szCs w:val="21"/>
                <w:lang w:val="en-US" w:eastAsia="zh-CN"/>
              </w:rPr>
            </w:pPr>
          </w:p>
        </w:tc>
        <w:tc>
          <w:tcPr>
            <w:tcW w:w="2402" w:type="dxa"/>
          </w:tcPr>
          <w:p w14:paraId="429E4498">
            <w:pPr>
              <w:pStyle w:val="3"/>
              <w:spacing w:before="212" w:line="220" w:lineRule="auto"/>
              <w:ind w:left="25"/>
              <w:jc w:val="left"/>
              <w:outlineLvl w:val="1"/>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4、供应商应本着客观实际的原则开展能源审计评估服务，为医院的节能降耗提供合理化建议，不得与其他软硬件生产商有利益输送关系，损害医院利益。</w:t>
            </w:r>
          </w:p>
        </w:tc>
        <w:tc>
          <w:tcPr>
            <w:tcW w:w="1200" w:type="dxa"/>
          </w:tcPr>
          <w:p w14:paraId="365D3E7D">
            <w:pPr>
              <w:spacing w:line="320" w:lineRule="exact"/>
              <w:rPr>
                <w:rFonts w:ascii="仿宋" w:hAnsi="仿宋" w:eastAsia="仿宋"/>
                <w:b w:val="0"/>
                <w:bCs/>
                <w:szCs w:val="21"/>
              </w:rPr>
            </w:pPr>
          </w:p>
        </w:tc>
        <w:tc>
          <w:tcPr>
            <w:tcW w:w="780" w:type="dxa"/>
          </w:tcPr>
          <w:p w14:paraId="283DE890">
            <w:pPr>
              <w:spacing w:line="320" w:lineRule="exact"/>
              <w:rPr>
                <w:rFonts w:ascii="仿宋" w:hAnsi="仿宋" w:eastAsia="仿宋"/>
                <w:b w:val="0"/>
                <w:bCs/>
                <w:szCs w:val="21"/>
              </w:rPr>
            </w:pPr>
          </w:p>
        </w:tc>
        <w:tc>
          <w:tcPr>
            <w:tcW w:w="1665" w:type="dxa"/>
          </w:tcPr>
          <w:p w14:paraId="5C15C537">
            <w:pPr>
              <w:spacing w:line="320" w:lineRule="exact"/>
              <w:rPr>
                <w:rFonts w:ascii="仿宋" w:hAnsi="仿宋" w:eastAsia="仿宋"/>
                <w:b w:val="0"/>
                <w:bCs/>
                <w:szCs w:val="21"/>
              </w:rPr>
            </w:pPr>
          </w:p>
        </w:tc>
        <w:tc>
          <w:tcPr>
            <w:tcW w:w="1357" w:type="dxa"/>
          </w:tcPr>
          <w:p w14:paraId="1E69B6E3">
            <w:pPr>
              <w:spacing w:line="320" w:lineRule="exact"/>
              <w:rPr>
                <w:rFonts w:ascii="仿宋" w:hAnsi="仿宋" w:eastAsia="仿宋"/>
                <w:b w:val="0"/>
                <w:bCs/>
                <w:szCs w:val="21"/>
              </w:rPr>
            </w:pPr>
          </w:p>
        </w:tc>
      </w:tr>
      <w:tr w14:paraId="5C63E1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1" w:hRule="atLeast"/>
        </w:trPr>
        <w:tc>
          <w:tcPr>
            <w:tcW w:w="675" w:type="dxa"/>
          </w:tcPr>
          <w:p w14:paraId="3E88AB31">
            <w:pPr>
              <w:spacing w:line="320" w:lineRule="exact"/>
              <w:rPr>
                <w:rFonts w:hint="eastAsia" w:ascii="仿宋" w:hAnsi="仿宋" w:eastAsia="仿宋"/>
                <w:b w:val="0"/>
                <w:bCs/>
                <w:szCs w:val="21"/>
                <w:lang w:val="en-US" w:eastAsia="zh-CN"/>
              </w:rPr>
            </w:pPr>
          </w:p>
        </w:tc>
        <w:tc>
          <w:tcPr>
            <w:tcW w:w="1027" w:type="dxa"/>
            <w:vMerge w:val="restart"/>
          </w:tcPr>
          <w:p w14:paraId="19675615">
            <w:pPr>
              <w:spacing w:line="320" w:lineRule="exact"/>
              <w:rPr>
                <w:rFonts w:hint="eastAsia" w:ascii="仿宋" w:hAnsi="仿宋" w:eastAsia="仿宋"/>
                <w:b/>
                <w:bCs w:val="0"/>
                <w:sz w:val="28"/>
                <w:szCs w:val="28"/>
                <w:lang w:val="en-US" w:eastAsia="zh-CN"/>
              </w:rPr>
            </w:pPr>
          </w:p>
          <w:p w14:paraId="1BEB45D3">
            <w:pPr>
              <w:spacing w:line="320" w:lineRule="exact"/>
              <w:rPr>
                <w:rFonts w:hint="default" w:ascii="仿宋" w:hAnsi="仿宋" w:eastAsia="仿宋"/>
                <w:b/>
                <w:bCs w:val="0"/>
                <w:szCs w:val="21"/>
                <w:lang w:val="en-US" w:eastAsia="zh-CN"/>
              </w:rPr>
            </w:pPr>
            <w:r>
              <w:rPr>
                <w:rFonts w:hint="eastAsia" w:ascii="仿宋" w:hAnsi="仿宋" w:eastAsia="仿宋"/>
                <w:b/>
                <w:bCs w:val="0"/>
                <w:sz w:val="24"/>
                <w:szCs w:val="24"/>
                <w:lang w:val="en-US" w:eastAsia="zh-CN"/>
              </w:rPr>
              <w:t>五、评分细则</w:t>
            </w:r>
          </w:p>
        </w:tc>
        <w:tc>
          <w:tcPr>
            <w:tcW w:w="2402" w:type="dxa"/>
          </w:tcPr>
          <w:p w14:paraId="17D33C71">
            <w:pPr>
              <w:pStyle w:val="3"/>
              <w:spacing w:before="212" w:line="220" w:lineRule="auto"/>
              <w:ind w:left="25"/>
              <w:jc w:val="left"/>
              <w:outlineLvl w:val="1"/>
              <w:rPr>
                <w:rFonts w:hint="eastAsia"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综合实力</w:t>
            </w:r>
            <w:r>
              <w:rPr>
                <w:rFonts w:hint="eastAsia" w:ascii="仿宋" w:hAnsi="仿宋" w:eastAsia="仿宋" w:cstheme="minorBidi"/>
                <w:b w:val="0"/>
                <w:bCs/>
                <w:kern w:val="2"/>
                <w:sz w:val="24"/>
                <w:szCs w:val="24"/>
                <w:lang w:val="en-US" w:eastAsia="zh-CN" w:bidi="ar-SA"/>
              </w:rPr>
              <w:t>：</w:t>
            </w:r>
          </w:p>
          <w:p w14:paraId="25637687">
            <w:pPr>
              <w:pStyle w:val="3"/>
              <w:spacing w:before="212" w:line="220" w:lineRule="auto"/>
              <w:ind w:left="25"/>
              <w:jc w:val="left"/>
              <w:outlineLvl w:val="1"/>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1.供应商入选政府部门公布的公共机构能源审计服务机构名单或节能减煤降碳诊断服务机构名单的得</w:t>
            </w:r>
            <w:r>
              <w:rPr>
                <w:rFonts w:hint="eastAsia" w:ascii="仿宋" w:hAnsi="仿宋" w:eastAsia="仿宋" w:cstheme="minorBidi"/>
                <w:b w:val="0"/>
                <w:bCs/>
                <w:kern w:val="2"/>
                <w:sz w:val="24"/>
                <w:szCs w:val="24"/>
                <w:lang w:val="en-US" w:eastAsia="zh-CN" w:bidi="ar-SA"/>
              </w:rPr>
              <w:t>相应分数，不提供不得分。</w:t>
            </w:r>
          </w:p>
          <w:p w14:paraId="545A3D5A">
            <w:pPr>
              <w:pStyle w:val="3"/>
              <w:spacing w:before="212" w:line="220" w:lineRule="auto"/>
              <w:ind w:left="25"/>
              <w:jc w:val="left"/>
              <w:outlineLvl w:val="1"/>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2.供应商具有有效的质量管理体系认证证书、环境管理体系认证证书、职业健康安全管理体系认证证书，每提供一个得</w:t>
            </w:r>
            <w:r>
              <w:rPr>
                <w:rFonts w:hint="eastAsia" w:ascii="仿宋" w:hAnsi="仿宋" w:eastAsia="仿宋" w:cstheme="minorBidi"/>
                <w:b w:val="0"/>
                <w:bCs/>
                <w:kern w:val="2"/>
                <w:sz w:val="24"/>
                <w:szCs w:val="24"/>
                <w:lang w:val="en-US" w:eastAsia="zh-CN" w:bidi="ar-SA"/>
              </w:rPr>
              <w:t>相应分数，都提供得满分。</w:t>
            </w:r>
          </w:p>
          <w:p w14:paraId="2FB209F7">
            <w:pPr>
              <w:pStyle w:val="3"/>
              <w:spacing w:before="212" w:line="220" w:lineRule="auto"/>
              <w:ind w:left="25"/>
              <w:jc w:val="left"/>
              <w:outlineLvl w:val="1"/>
              <w:rPr>
                <w:rFonts w:hint="default" w:ascii="仿宋" w:hAnsi="仿宋" w:eastAsia="仿宋" w:cstheme="minorBidi"/>
                <w:b w:val="0"/>
                <w:bCs/>
                <w:kern w:val="2"/>
                <w:sz w:val="24"/>
                <w:szCs w:val="24"/>
                <w:lang w:val="en-US" w:eastAsia="zh-CN" w:bidi="ar-SA"/>
              </w:rPr>
            </w:pPr>
            <w:r>
              <w:rPr>
                <w:rFonts w:hint="default" w:ascii="仿宋" w:hAnsi="仿宋" w:eastAsia="仿宋" w:cstheme="minorBidi"/>
                <w:b w:val="0"/>
                <w:bCs/>
                <w:kern w:val="2"/>
                <w:sz w:val="24"/>
                <w:szCs w:val="24"/>
                <w:lang w:val="en-US" w:eastAsia="zh-CN" w:bidi="ar-SA"/>
              </w:rPr>
              <w:t>注：供应商须提供相关证明材料复印件或影印件并加盖公章，包括但不限于网页截图、文件、公告等。</w:t>
            </w:r>
          </w:p>
        </w:tc>
        <w:tc>
          <w:tcPr>
            <w:tcW w:w="1200" w:type="dxa"/>
          </w:tcPr>
          <w:p w14:paraId="1B1FF139">
            <w:pPr>
              <w:spacing w:line="320" w:lineRule="exact"/>
              <w:rPr>
                <w:rFonts w:ascii="仿宋" w:hAnsi="仿宋" w:eastAsia="仿宋"/>
                <w:b w:val="0"/>
                <w:bCs/>
                <w:szCs w:val="21"/>
              </w:rPr>
            </w:pPr>
          </w:p>
        </w:tc>
        <w:tc>
          <w:tcPr>
            <w:tcW w:w="780" w:type="dxa"/>
          </w:tcPr>
          <w:p w14:paraId="23B50C1F">
            <w:pPr>
              <w:spacing w:line="320" w:lineRule="exact"/>
              <w:rPr>
                <w:rFonts w:ascii="仿宋" w:hAnsi="仿宋" w:eastAsia="仿宋"/>
                <w:b w:val="0"/>
                <w:bCs/>
                <w:szCs w:val="21"/>
              </w:rPr>
            </w:pPr>
          </w:p>
        </w:tc>
        <w:tc>
          <w:tcPr>
            <w:tcW w:w="1665" w:type="dxa"/>
          </w:tcPr>
          <w:p w14:paraId="08BAA7B4">
            <w:pPr>
              <w:spacing w:line="320" w:lineRule="exact"/>
              <w:rPr>
                <w:rFonts w:ascii="仿宋" w:hAnsi="仿宋" w:eastAsia="仿宋"/>
                <w:b w:val="0"/>
                <w:bCs/>
                <w:szCs w:val="21"/>
              </w:rPr>
            </w:pPr>
          </w:p>
        </w:tc>
        <w:tc>
          <w:tcPr>
            <w:tcW w:w="1357" w:type="dxa"/>
          </w:tcPr>
          <w:p w14:paraId="120A76EA">
            <w:pPr>
              <w:spacing w:line="320" w:lineRule="exact"/>
              <w:rPr>
                <w:rFonts w:ascii="仿宋" w:hAnsi="仿宋" w:eastAsia="仿宋"/>
                <w:b w:val="0"/>
                <w:bCs/>
                <w:szCs w:val="21"/>
              </w:rPr>
            </w:pPr>
          </w:p>
        </w:tc>
      </w:tr>
      <w:tr w14:paraId="249CA0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29" w:hRule="atLeast"/>
        </w:trPr>
        <w:tc>
          <w:tcPr>
            <w:tcW w:w="675" w:type="dxa"/>
          </w:tcPr>
          <w:p w14:paraId="5A685C14">
            <w:pPr>
              <w:spacing w:line="320" w:lineRule="exact"/>
              <w:rPr>
                <w:rFonts w:hint="eastAsia" w:ascii="仿宋" w:hAnsi="仿宋" w:eastAsia="仿宋"/>
                <w:b w:val="0"/>
                <w:bCs/>
                <w:szCs w:val="21"/>
                <w:lang w:val="en-US" w:eastAsia="zh-CN"/>
              </w:rPr>
            </w:pPr>
          </w:p>
        </w:tc>
        <w:tc>
          <w:tcPr>
            <w:tcW w:w="1027" w:type="dxa"/>
            <w:vMerge w:val="continue"/>
          </w:tcPr>
          <w:p w14:paraId="77E25BFE">
            <w:pPr>
              <w:spacing w:line="320" w:lineRule="exact"/>
              <w:rPr>
                <w:rFonts w:hint="eastAsia" w:ascii="仿宋" w:hAnsi="仿宋" w:eastAsia="仿宋"/>
                <w:b/>
                <w:bCs w:val="0"/>
                <w:sz w:val="28"/>
                <w:szCs w:val="28"/>
                <w:lang w:val="en-US" w:eastAsia="zh-CN"/>
              </w:rPr>
            </w:pPr>
          </w:p>
        </w:tc>
        <w:tc>
          <w:tcPr>
            <w:tcW w:w="2402" w:type="dxa"/>
          </w:tcPr>
          <w:p w14:paraId="4688949E">
            <w:pPr>
              <w:pStyle w:val="3"/>
              <w:spacing w:before="212" w:line="220" w:lineRule="auto"/>
              <w:ind w:left="25"/>
              <w:jc w:val="left"/>
              <w:outlineLvl w:val="1"/>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项目业绩</w:t>
            </w:r>
            <w:r>
              <w:rPr>
                <w:rFonts w:hint="eastAsia" w:ascii="仿宋" w:hAnsi="仿宋" w:eastAsia="仿宋" w:cs="仿宋"/>
                <w:color w:val="000000"/>
                <w:sz w:val="24"/>
                <w:szCs w:val="24"/>
                <w:lang w:eastAsia="zh-CN"/>
              </w:rPr>
              <w:t>：</w:t>
            </w:r>
          </w:p>
          <w:p w14:paraId="37D4468F">
            <w:pPr>
              <w:pStyle w:val="4"/>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每提供一份医院业绩就加分，提供3份业绩的得满分。</w:t>
            </w:r>
          </w:p>
          <w:p w14:paraId="6C8088CA">
            <w:pPr>
              <w:pStyle w:val="4"/>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注：（1）提供合同及项目完成的证明材料（如最终版审计评估报告），需明确体现项目服务内容等评审因素，若无法体现的需另附合同业主方盖章的证明文件，否则不得分。 </w:t>
            </w:r>
          </w:p>
          <w:p w14:paraId="0DF9AC17">
            <w:pPr>
              <w:pStyle w:val="4"/>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（2）若一份合同中有多个服务对象，仅算一份业绩。</w:t>
            </w:r>
          </w:p>
          <w:p w14:paraId="5004F7E3">
            <w:pPr>
              <w:pStyle w:val="4"/>
              <w:rPr>
                <w:rFonts w:hint="eastAsia"/>
                <w:lang w:val="en-US" w:eastAsia="zh-CN"/>
              </w:rPr>
            </w:pPr>
            <w:r>
              <w:rPr>
                <w:rFonts w:hint="eastAsia" w:ascii="仿宋" w:hAnsi="仿宋" w:eastAsia="仿宋" w:cs="仿宋"/>
                <w:sz w:val="24"/>
                <w:szCs w:val="24"/>
                <w:lang w:val="en-US" w:eastAsia="zh-CN"/>
              </w:rPr>
              <w:t>（3）同一服务对象不同时期的合同，仅算一份业绩。</w:t>
            </w:r>
          </w:p>
        </w:tc>
        <w:tc>
          <w:tcPr>
            <w:tcW w:w="1200" w:type="dxa"/>
          </w:tcPr>
          <w:p w14:paraId="39535115">
            <w:pPr>
              <w:spacing w:line="320" w:lineRule="exact"/>
              <w:rPr>
                <w:rFonts w:ascii="仿宋" w:hAnsi="仿宋" w:eastAsia="仿宋"/>
                <w:b w:val="0"/>
                <w:bCs/>
                <w:szCs w:val="21"/>
              </w:rPr>
            </w:pPr>
          </w:p>
        </w:tc>
        <w:tc>
          <w:tcPr>
            <w:tcW w:w="780" w:type="dxa"/>
          </w:tcPr>
          <w:p w14:paraId="6637ACCA">
            <w:pPr>
              <w:spacing w:line="320" w:lineRule="exact"/>
              <w:rPr>
                <w:rFonts w:ascii="仿宋" w:hAnsi="仿宋" w:eastAsia="仿宋"/>
                <w:b w:val="0"/>
                <w:bCs/>
                <w:szCs w:val="21"/>
              </w:rPr>
            </w:pPr>
          </w:p>
        </w:tc>
        <w:tc>
          <w:tcPr>
            <w:tcW w:w="1665" w:type="dxa"/>
          </w:tcPr>
          <w:p w14:paraId="440E3348">
            <w:pPr>
              <w:spacing w:line="320" w:lineRule="exact"/>
              <w:rPr>
                <w:rFonts w:ascii="仿宋" w:hAnsi="仿宋" w:eastAsia="仿宋"/>
                <w:b w:val="0"/>
                <w:bCs/>
                <w:szCs w:val="21"/>
              </w:rPr>
            </w:pPr>
          </w:p>
        </w:tc>
        <w:tc>
          <w:tcPr>
            <w:tcW w:w="1357" w:type="dxa"/>
          </w:tcPr>
          <w:p w14:paraId="7C573A74">
            <w:pPr>
              <w:spacing w:line="320" w:lineRule="exact"/>
              <w:rPr>
                <w:rFonts w:ascii="仿宋" w:hAnsi="仿宋" w:eastAsia="仿宋"/>
                <w:b w:val="0"/>
                <w:bCs/>
                <w:szCs w:val="21"/>
              </w:rPr>
            </w:pPr>
          </w:p>
        </w:tc>
      </w:tr>
      <w:tr w14:paraId="72E750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71" w:hRule="atLeast"/>
        </w:trPr>
        <w:tc>
          <w:tcPr>
            <w:tcW w:w="675" w:type="dxa"/>
          </w:tcPr>
          <w:p w14:paraId="51DB50E2">
            <w:pPr>
              <w:spacing w:line="320" w:lineRule="exact"/>
              <w:rPr>
                <w:rFonts w:hint="eastAsia" w:ascii="仿宋" w:hAnsi="仿宋" w:eastAsia="仿宋"/>
                <w:b w:val="0"/>
                <w:bCs/>
                <w:szCs w:val="21"/>
                <w:lang w:val="en-US" w:eastAsia="zh-CN"/>
              </w:rPr>
            </w:pPr>
          </w:p>
        </w:tc>
        <w:tc>
          <w:tcPr>
            <w:tcW w:w="1027" w:type="dxa"/>
          </w:tcPr>
          <w:p w14:paraId="401B1499">
            <w:pPr>
              <w:spacing w:line="320" w:lineRule="exact"/>
              <w:rPr>
                <w:rFonts w:hint="eastAsia" w:ascii="仿宋" w:hAnsi="仿宋" w:eastAsia="仿宋"/>
                <w:b/>
                <w:bCs w:val="0"/>
                <w:sz w:val="28"/>
                <w:szCs w:val="28"/>
                <w:lang w:val="en-US" w:eastAsia="zh-CN"/>
              </w:rPr>
            </w:pPr>
          </w:p>
        </w:tc>
        <w:tc>
          <w:tcPr>
            <w:tcW w:w="2402" w:type="dxa"/>
          </w:tcPr>
          <w:p w14:paraId="7A6E42B8">
            <w:pPr>
              <w:pStyle w:val="4"/>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项目团队</w:t>
            </w:r>
            <w:r>
              <w:rPr>
                <w:rFonts w:hint="eastAsia" w:ascii="仿宋" w:hAnsi="仿宋" w:eastAsia="仿宋" w:cs="仿宋"/>
                <w:color w:val="000000"/>
                <w:sz w:val="24"/>
                <w:szCs w:val="24"/>
                <w:lang w:eastAsia="zh-CN"/>
              </w:rPr>
              <w:t>：</w:t>
            </w:r>
          </w:p>
          <w:p w14:paraId="0EF71152">
            <w:pPr>
              <w:pStyle w:val="5"/>
              <w:numPr>
                <w:ilvl w:val="0"/>
                <w:numId w:val="2"/>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项目团队拟配人员中，项目负责人须具有能源、暖通、电力、给排水、机电、环境、审计、造价类等专业技术职称。根据职称高低酌情打分。</w:t>
            </w:r>
          </w:p>
          <w:p w14:paraId="5FA9D8C3">
            <w:pPr>
              <w:pStyle w:val="5"/>
              <w:numPr>
                <w:ilvl w:val="0"/>
                <w:numId w:val="2"/>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项目团队拟配人员中，团队成员须具有能源、暖通、电力、给排水、机电、环境、审计、造价类等专业技术职称。根据职称高低酌情打分。</w:t>
            </w:r>
          </w:p>
          <w:p w14:paraId="06665B2A">
            <w:pPr>
              <w:pStyle w:val="5"/>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注：（1）供应商须承诺，拟派项目团队人员服务于本项目，未经采购人允许，不得更换。</w:t>
            </w:r>
          </w:p>
          <w:p w14:paraId="7C816951">
            <w:pPr>
              <w:pStyle w:val="5"/>
              <w:rPr>
                <w:rFonts w:hint="eastAsia"/>
                <w:lang w:val="en-US" w:eastAsia="zh-CN"/>
              </w:rPr>
            </w:pPr>
            <w:r>
              <w:rPr>
                <w:rFonts w:hint="eastAsia" w:ascii="仿宋" w:hAnsi="仿宋" w:eastAsia="仿宋" w:cs="仿宋"/>
                <w:sz w:val="24"/>
                <w:szCs w:val="24"/>
                <w:lang w:val="en-US" w:eastAsia="zh-CN"/>
              </w:rPr>
              <w:t>（2）供应商须提供项目团队所有人员的学历证书、职称证书、及近1个月的社保缴纳证明复印件或影印件并加盖公章。</w:t>
            </w:r>
          </w:p>
        </w:tc>
        <w:tc>
          <w:tcPr>
            <w:tcW w:w="1200" w:type="dxa"/>
          </w:tcPr>
          <w:p w14:paraId="25B0054B">
            <w:pPr>
              <w:spacing w:line="320" w:lineRule="exact"/>
              <w:rPr>
                <w:rFonts w:ascii="仿宋" w:hAnsi="仿宋" w:eastAsia="仿宋"/>
                <w:b w:val="0"/>
                <w:bCs/>
                <w:szCs w:val="21"/>
              </w:rPr>
            </w:pPr>
          </w:p>
        </w:tc>
        <w:tc>
          <w:tcPr>
            <w:tcW w:w="780" w:type="dxa"/>
          </w:tcPr>
          <w:p w14:paraId="3BC39D8A">
            <w:pPr>
              <w:spacing w:line="320" w:lineRule="exact"/>
              <w:rPr>
                <w:rFonts w:ascii="仿宋" w:hAnsi="仿宋" w:eastAsia="仿宋"/>
                <w:b w:val="0"/>
                <w:bCs/>
                <w:szCs w:val="21"/>
              </w:rPr>
            </w:pPr>
          </w:p>
        </w:tc>
        <w:tc>
          <w:tcPr>
            <w:tcW w:w="1665" w:type="dxa"/>
          </w:tcPr>
          <w:p w14:paraId="72460B45">
            <w:pPr>
              <w:spacing w:line="320" w:lineRule="exact"/>
              <w:rPr>
                <w:rFonts w:ascii="仿宋" w:hAnsi="仿宋" w:eastAsia="仿宋"/>
                <w:b w:val="0"/>
                <w:bCs/>
                <w:szCs w:val="21"/>
              </w:rPr>
            </w:pPr>
          </w:p>
        </w:tc>
        <w:tc>
          <w:tcPr>
            <w:tcW w:w="1357" w:type="dxa"/>
          </w:tcPr>
          <w:p w14:paraId="77771F1E">
            <w:pPr>
              <w:spacing w:line="320" w:lineRule="exact"/>
              <w:rPr>
                <w:rFonts w:ascii="仿宋" w:hAnsi="仿宋" w:eastAsia="仿宋"/>
                <w:b w:val="0"/>
                <w:bCs/>
                <w:szCs w:val="21"/>
              </w:rPr>
            </w:pPr>
          </w:p>
        </w:tc>
      </w:tr>
    </w:tbl>
    <w:p w14:paraId="445F6D38">
      <w:pPr>
        <w:spacing w:line="520" w:lineRule="exact"/>
        <w:jc w:val="both"/>
        <w:rPr>
          <w:rFonts w:hint="default" w:ascii="仿宋_GB2312" w:hAnsi="仿宋_GB2312" w:eastAsia="仿宋_GB2312" w:cs="仿宋_GB2312"/>
          <w:sz w:val="28"/>
          <w:szCs w:val="28"/>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57F76"/>
    <w:multiLevelType w:val="singleLevel"/>
    <w:tmpl w:val="C0D57F76"/>
    <w:lvl w:ilvl="0" w:tentative="0">
      <w:start w:val="1"/>
      <w:numFmt w:val="decimal"/>
      <w:suff w:val="nothing"/>
      <w:lvlText w:val="%1、"/>
      <w:lvlJc w:val="left"/>
    </w:lvl>
  </w:abstractNum>
  <w:abstractNum w:abstractNumId="1">
    <w:nsid w:val="D658089D"/>
    <w:multiLevelType w:val="singleLevel"/>
    <w:tmpl w:val="D658089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kNTIyYTNiOGU4YzIwYWUyOTE5NDgyMGI5ODlmNTIifQ=="/>
  </w:docVars>
  <w:rsids>
    <w:rsidRoot w:val="002851E5"/>
    <w:rsid w:val="0006657C"/>
    <w:rsid w:val="001248D2"/>
    <w:rsid w:val="00155FBA"/>
    <w:rsid w:val="00173E99"/>
    <w:rsid w:val="001814E4"/>
    <w:rsid w:val="001B5199"/>
    <w:rsid w:val="00211D28"/>
    <w:rsid w:val="00227566"/>
    <w:rsid w:val="002823E3"/>
    <w:rsid w:val="002851E5"/>
    <w:rsid w:val="002A1FB3"/>
    <w:rsid w:val="002E52E9"/>
    <w:rsid w:val="003011B8"/>
    <w:rsid w:val="0030766C"/>
    <w:rsid w:val="003349D4"/>
    <w:rsid w:val="00353359"/>
    <w:rsid w:val="003A21D1"/>
    <w:rsid w:val="003C7889"/>
    <w:rsid w:val="004A21DE"/>
    <w:rsid w:val="005302CA"/>
    <w:rsid w:val="00534110"/>
    <w:rsid w:val="00542BF7"/>
    <w:rsid w:val="0054349F"/>
    <w:rsid w:val="005F732A"/>
    <w:rsid w:val="00604008"/>
    <w:rsid w:val="006875F0"/>
    <w:rsid w:val="006A28F9"/>
    <w:rsid w:val="006D7760"/>
    <w:rsid w:val="007138D0"/>
    <w:rsid w:val="00720399"/>
    <w:rsid w:val="007A7140"/>
    <w:rsid w:val="00811923"/>
    <w:rsid w:val="008839C7"/>
    <w:rsid w:val="008D1090"/>
    <w:rsid w:val="008F4EAC"/>
    <w:rsid w:val="00920750"/>
    <w:rsid w:val="00921AFD"/>
    <w:rsid w:val="00927BD2"/>
    <w:rsid w:val="00A42F87"/>
    <w:rsid w:val="00A575F9"/>
    <w:rsid w:val="00A90253"/>
    <w:rsid w:val="00AB2CBB"/>
    <w:rsid w:val="00B06F22"/>
    <w:rsid w:val="00B40703"/>
    <w:rsid w:val="00B61661"/>
    <w:rsid w:val="00B67316"/>
    <w:rsid w:val="00BA055D"/>
    <w:rsid w:val="00BC7D10"/>
    <w:rsid w:val="00C30BF6"/>
    <w:rsid w:val="00D7333D"/>
    <w:rsid w:val="00D92192"/>
    <w:rsid w:val="00DC338C"/>
    <w:rsid w:val="00DD6A30"/>
    <w:rsid w:val="00DE2A72"/>
    <w:rsid w:val="00E84574"/>
    <w:rsid w:val="00F13471"/>
    <w:rsid w:val="00F258F5"/>
    <w:rsid w:val="0136557F"/>
    <w:rsid w:val="01B12E58"/>
    <w:rsid w:val="04863587"/>
    <w:rsid w:val="056B4493"/>
    <w:rsid w:val="061F7B2F"/>
    <w:rsid w:val="07604BD9"/>
    <w:rsid w:val="089F1C5C"/>
    <w:rsid w:val="099866AB"/>
    <w:rsid w:val="0AD10AFE"/>
    <w:rsid w:val="0B927856"/>
    <w:rsid w:val="0C50186C"/>
    <w:rsid w:val="0C880468"/>
    <w:rsid w:val="0D687700"/>
    <w:rsid w:val="0E0013EF"/>
    <w:rsid w:val="11301FEB"/>
    <w:rsid w:val="1310799E"/>
    <w:rsid w:val="139A199E"/>
    <w:rsid w:val="139C124C"/>
    <w:rsid w:val="14D077DA"/>
    <w:rsid w:val="165D4F05"/>
    <w:rsid w:val="175C4DC1"/>
    <w:rsid w:val="176A0F9C"/>
    <w:rsid w:val="17CC40F0"/>
    <w:rsid w:val="17D12783"/>
    <w:rsid w:val="18FE77EB"/>
    <w:rsid w:val="1B3E0E18"/>
    <w:rsid w:val="1B7E1BA5"/>
    <w:rsid w:val="1BD01CD5"/>
    <w:rsid w:val="1C4F3541"/>
    <w:rsid w:val="1CC23D13"/>
    <w:rsid w:val="1D824A33"/>
    <w:rsid w:val="1D862F93"/>
    <w:rsid w:val="1D994A74"/>
    <w:rsid w:val="1DDE4B7D"/>
    <w:rsid w:val="1E734319"/>
    <w:rsid w:val="1F140147"/>
    <w:rsid w:val="1F4F0A72"/>
    <w:rsid w:val="2031368A"/>
    <w:rsid w:val="20315438"/>
    <w:rsid w:val="20584ED7"/>
    <w:rsid w:val="212154AC"/>
    <w:rsid w:val="21D83ABC"/>
    <w:rsid w:val="22AA14D2"/>
    <w:rsid w:val="23312AC9"/>
    <w:rsid w:val="239F090A"/>
    <w:rsid w:val="23FA0237"/>
    <w:rsid w:val="24823019"/>
    <w:rsid w:val="24CD09F7"/>
    <w:rsid w:val="2628108B"/>
    <w:rsid w:val="26824FFE"/>
    <w:rsid w:val="26D44584"/>
    <w:rsid w:val="26ED5E31"/>
    <w:rsid w:val="276A7481"/>
    <w:rsid w:val="27F75540"/>
    <w:rsid w:val="287131C0"/>
    <w:rsid w:val="28A569C3"/>
    <w:rsid w:val="296F6D42"/>
    <w:rsid w:val="2A355B25"/>
    <w:rsid w:val="2A5341FD"/>
    <w:rsid w:val="2B26153D"/>
    <w:rsid w:val="2B361C7F"/>
    <w:rsid w:val="2CAF30EF"/>
    <w:rsid w:val="2D522E91"/>
    <w:rsid w:val="2D687FBF"/>
    <w:rsid w:val="2D692572"/>
    <w:rsid w:val="2E3107AB"/>
    <w:rsid w:val="2F065C15"/>
    <w:rsid w:val="2FD91648"/>
    <w:rsid w:val="30061912"/>
    <w:rsid w:val="30F85AFE"/>
    <w:rsid w:val="313E5C07"/>
    <w:rsid w:val="323427F7"/>
    <w:rsid w:val="348C6C89"/>
    <w:rsid w:val="3552429E"/>
    <w:rsid w:val="36CE3589"/>
    <w:rsid w:val="36D87F64"/>
    <w:rsid w:val="37295440"/>
    <w:rsid w:val="37A97B52"/>
    <w:rsid w:val="388F11FD"/>
    <w:rsid w:val="39D944F1"/>
    <w:rsid w:val="39F01A68"/>
    <w:rsid w:val="3AC0768C"/>
    <w:rsid w:val="3B5D312D"/>
    <w:rsid w:val="3B620744"/>
    <w:rsid w:val="3C4B742A"/>
    <w:rsid w:val="3CBC40CD"/>
    <w:rsid w:val="3E2717D1"/>
    <w:rsid w:val="40714B62"/>
    <w:rsid w:val="410F2EFD"/>
    <w:rsid w:val="41AE6491"/>
    <w:rsid w:val="432307B8"/>
    <w:rsid w:val="43AF029E"/>
    <w:rsid w:val="43E57153"/>
    <w:rsid w:val="43EC5DE8"/>
    <w:rsid w:val="451C7BB5"/>
    <w:rsid w:val="45F8417E"/>
    <w:rsid w:val="462D0357"/>
    <w:rsid w:val="47E43A3D"/>
    <w:rsid w:val="48C26CC5"/>
    <w:rsid w:val="490824A1"/>
    <w:rsid w:val="49C34AA3"/>
    <w:rsid w:val="49F52314"/>
    <w:rsid w:val="4A2F038B"/>
    <w:rsid w:val="4A4C4A99"/>
    <w:rsid w:val="4B0B6702"/>
    <w:rsid w:val="4B1D6435"/>
    <w:rsid w:val="4B92297F"/>
    <w:rsid w:val="4C1C66ED"/>
    <w:rsid w:val="4CA961D2"/>
    <w:rsid w:val="4CE80A29"/>
    <w:rsid w:val="4DDC4386"/>
    <w:rsid w:val="4EDF45DA"/>
    <w:rsid w:val="4F5148FF"/>
    <w:rsid w:val="509947B0"/>
    <w:rsid w:val="51167BAE"/>
    <w:rsid w:val="5148001E"/>
    <w:rsid w:val="519C5836"/>
    <w:rsid w:val="51F53C68"/>
    <w:rsid w:val="522462FB"/>
    <w:rsid w:val="52B74D5D"/>
    <w:rsid w:val="545F361A"/>
    <w:rsid w:val="5472334E"/>
    <w:rsid w:val="54DC110F"/>
    <w:rsid w:val="56EE359A"/>
    <w:rsid w:val="571701DC"/>
    <w:rsid w:val="57EB467E"/>
    <w:rsid w:val="582B2191"/>
    <w:rsid w:val="586C27AA"/>
    <w:rsid w:val="58906498"/>
    <w:rsid w:val="58DD716B"/>
    <w:rsid w:val="59A87812"/>
    <w:rsid w:val="5C0D2777"/>
    <w:rsid w:val="5C565A67"/>
    <w:rsid w:val="5CE51E91"/>
    <w:rsid w:val="5D4F4B31"/>
    <w:rsid w:val="5E39312E"/>
    <w:rsid w:val="5E6D6BC5"/>
    <w:rsid w:val="5EBE53E1"/>
    <w:rsid w:val="60036B0E"/>
    <w:rsid w:val="600D594C"/>
    <w:rsid w:val="606130E4"/>
    <w:rsid w:val="612260FC"/>
    <w:rsid w:val="613A2C7B"/>
    <w:rsid w:val="61E37639"/>
    <w:rsid w:val="61EB473F"/>
    <w:rsid w:val="62D90A3C"/>
    <w:rsid w:val="63071143"/>
    <w:rsid w:val="63505130"/>
    <w:rsid w:val="64C07051"/>
    <w:rsid w:val="681F5143"/>
    <w:rsid w:val="6A115841"/>
    <w:rsid w:val="6B0D3978"/>
    <w:rsid w:val="6B550731"/>
    <w:rsid w:val="6D622406"/>
    <w:rsid w:val="6DF826BE"/>
    <w:rsid w:val="6E5715EA"/>
    <w:rsid w:val="6E6144C8"/>
    <w:rsid w:val="6F392F8E"/>
    <w:rsid w:val="6F71097A"/>
    <w:rsid w:val="6FE23626"/>
    <w:rsid w:val="703C5B33"/>
    <w:rsid w:val="722F0678"/>
    <w:rsid w:val="72693AA2"/>
    <w:rsid w:val="73787706"/>
    <w:rsid w:val="737E5413"/>
    <w:rsid w:val="73E334C8"/>
    <w:rsid w:val="73FE3706"/>
    <w:rsid w:val="746A3BEA"/>
    <w:rsid w:val="7621477C"/>
    <w:rsid w:val="773C186D"/>
    <w:rsid w:val="77C3577D"/>
    <w:rsid w:val="77DA1522"/>
    <w:rsid w:val="793B7903"/>
    <w:rsid w:val="798219D5"/>
    <w:rsid w:val="7AE447A3"/>
    <w:rsid w:val="7B5A4438"/>
    <w:rsid w:val="7BF86AD1"/>
    <w:rsid w:val="7C876F1B"/>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adjustRightInd w:val="0"/>
      <w:spacing w:line="360" w:lineRule="atLeast"/>
      <w:ind w:firstLine="482"/>
      <w:textAlignment w:val="baseline"/>
    </w:pPr>
    <w:rPr>
      <w:kern w:val="0"/>
      <w:sz w:val="24"/>
    </w:rPr>
  </w:style>
  <w:style w:type="paragraph" w:styleId="3">
    <w:name w:val="Body Text"/>
    <w:basedOn w:val="1"/>
    <w:next w:val="4"/>
    <w:qFormat/>
    <w:uiPriority w:val="0"/>
    <w:pPr>
      <w:spacing w:after="120"/>
    </w:pPr>
  </w:style>
  <w:style w:type="paragraph" w:customStyle="1" w:styleId="4">
    <w:name w:val="style4"/>
    <w:basedOn w:val="1"/>
    <w:next w:val="5"/>
    <w:autoRedefine/>
    <w:qFormat/>
    <w:uiPriority w:val="0"/>
    <w:pPr>
      <w:widowControl/>
      <w:spacing w:before="280" w:after="280"/>
    </w:pPr>
    <w:rPr>
      <w:rFonts w:ascii="宋体" w:hAnsi="Times New Roman" w:eastAsia="宋体" w:cs="Times New Roman"/>
      <w:sz w:val="18"/>
    </w:rPr>
  </w:style>
  <w:style w:type="paragraph" w:customStyle="1" w:styleId="5">
    <w:name w:val="2"/>
    <w:next w:val="1"/>
    <w:autoRedefine/>
    <w:qFormat/>
    <w:uiPriority w:val="0"/>
    <w:pPr>
      <w:widowControl w:val="0"/>
      <w:jc w:val="both"/>
    </w:pPr>
    <w:rPr>
      <w:rFonts w:ascii="Calibri" w:hAnsi="Calibri" w:eastAsia="宋体" w:cs="Times New Roman"/>
      <w:sz w:val="21"/>
      <w:szCs w:val="22"/>
      <w:lang w:val="en-US" w:eastAsia="zh-CN" w:bidi="ar-SA"/>
    </w:rPr>
  </w:style>
  <w:style w:type="paragraph" w:styleId="6">
    <w:name w:val="index 4"/>
    <w:basedOn w:val="1"/>
    <w:next w:val="1"/>
    <w:qFormat/>
    <w:uiPriority w:val="0"/>
    <w:pPr>
      <w:ind w:left="600" w:leftChars="600"/>
    </w:pPr>
    <w:rPr>
      <w:szCs w:val="24"/>
    </w:rPr>
  </w:style>
  <w:style w:type="paragraph" w:styleId="7">
    <w:name w:val="Plain Text"/>
    <w:basedOn w:val="1"/>
    <w:qFormat/>
    <w:uiPriority w:val="0"/>
    <w:rPr>
      <w:rFonts w:ascii="宋体" w:hAnsi="Courier New" w:cstheme="minorBidi"/>
      <w:szCs w:val="22"/>
    </w:rPr>
  </w:style>
  <w:style w:type="paragraph" w:styleId="8">
    <w:name w:val="footer"/>
    <w:basedOn w:val="1"/>
    <w:link w:val="15"/>
    <w:autoRedefine/>
    <w:semiHidden/>
    <w:unhideWhenUsed/>
    <w:qFormat/>
    <w:uiPriority w:val="99"/>
    <w:pPr>
      <w:tabs>
        <w:tab w:val="center" w:pos="4153"/>
        <w:tab w:val="right" w:pos="8306"/>
      </w:tabs>
      <w:snapToGrid w:val="0"/>
      <w:jc w:val="left"/>
    </w:pPr>
    <w:rPr>
      <w:sz w:val="18"/>
      <w:szCs w:val="18"/>
    </w:rPr>
  </w:style>
  <w:style w:type="paragraph" w:styleId="9">
    <w:name w:val="header"/>
    <w:basedOn w:val="1"/>
    <w:link w:val="14"/>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3"/>
    <w:unhideWhenUsed/>
    <w:qFormat/>
    <w:uiPriority w:val="99"/>
    <w:pPr>
      <w:ind w:firstLine="420" w:firstLineChars="100"/>
    </w:pPr>
    <w:rPr>
      <w:rFonts w:ascii="Times New Roman" w:hAnsi="Times New Roman"/>
      <w:kern w:val="0"/>
      <w:sz w:val="20"/>
      <w:szCs w:val="20"/>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4">
    <w:name w:val="页眉 Char"/>
    <w:basedOn w:val="13"/>
    <w:link w:val="9"/>
    <w:autoRedefine/>
    <w:semiHidden/>
    <w:qFormat/>
    <w:uiPriority w:val="99"/>
    <w:rPr>
      <w:sz w:val="18"/>
      <w:szCs w:val="18"/>
    </w:rPr>
  </w:style>
  <w:style w:type="character" w:customStyle="1" w:styleId="15">
    <w:name w:val="页脚 Char"/>
    <w:basedOn w:val="13"/>
    <w:link w:val="8"/>
    <w:autoRedefine/>
    <w:semiHidden/>
    <w:qFormat/>
    <w:uiPriority w:val="99"/>
    <w:rPr>
      <w:sz w:val="18"/>
      <w:szCs w:val="18"/>
    </w:rPr>
  </w:style>
  <w:style w:type="character" w:customStyle="1" w:styleId="16">
    <w:name w:val="NormalCharacter"/>
    <w:autoRedefine/>
    <w:qFormat/>
    <w:uiPriority w:val="0"/>
  </w:style>
  <w:style w:type="paragraph" w:customStyle="1" w:styleId="17">
    <w:name w:val="表格文字"/>
    <w:basedOn w:val="1"/>
    <w:qFormat/>
    <w:uiPriority w:val="1624"/>
    <w:pPr>
      <w:spacing w:line="420" w:lineRule="atLeast"/>
      <w:textAlignment w:val="baseline"/>
    </w:pPr>
    <w:rPr>
      <w:szCs w:val="24"/>
    </w:rPr>
  </w:style>
  <w:style w:type="paragraph" w:customStyle="1" w:styleId="18">
    <w:name w:val="Table Text"/>
    <w:basedOn w:val="1"/>
    <w:semiHidden/>
    <w:qFormat/>
    <w:uiPriority w:val="0"/>
    <w:rPr>
      <w:rFonts w:ascii="宋体" w:hAnsi="宋体" w:eastAsia="宋体" w:cs="宋体"/>
      <w:sz w:val="20"/>
      <w:szCs w:val="20"/>
      <w:lang w:val="en-US" w:eastAsia="en-US" w:bidi="ar-SA"/>
    </w:rPr>
  </w:style>
  <w:style w:type="table" w:customStyle="1" w:styleId="1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3896</Words>
  <Characters>4098</Characters>
  <Lines>3</Lines>
  <Paragraphs>1</Paragraphs>
  <TotalTime>1</TotalTime>
  <ScaleCrop>false</ScaleCrop>
  <LinksUpToDate>false</LinksUpToDate>
  <CharactersWithSpaces>4273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2020-09-14T23:26:00Z</dcterms:created>
  <dc:creator>AutoBVT</dc:creator>
  <cp:lastModifiedBy>渡</cp:lastModifiedBy>
  <dcterms:modified xsi:type="dcterms:W3CDTF">2026-09-03T07:56:13Z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1FEA08CB0B514CE2B629ADAE042C62C4_13</vt:lpwstr>
  </property>
  <property fmtid="{D5CDD505-2E9C-101B-9397-08002B2CF9AE}" pid="4" name="KSOTemplateDocerSaveRecord">
    <vt:lpwstr>eyJoZGlkIjoiYjk4MGE4OTQzMmYzOWM1MjA4YWRmNGM0YzRlMDgyMjUiLCJ1c2VySWQiOiIzOTkxMzY3NjYifQ==</vt:lpwstr>
  </property>
</Properties>
</file>