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心肺复苏机</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第一次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02"/>
        <w:gridCol w:w="1985"/>
        <w:gridCol w:w="4590"/>
        <w:gridCol w:w="350"/>
        <w:gridCol w:w="694"/>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27"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694"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502"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1985"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4590" w:type="dxa"/>
            <w:vAlign w:val="center"/>
          </w:tcPr>
          <w:p w14:paraId="1E36B171">
            <w:pPr>
              <w:spacing w:line="320" w:lineRule="exact"/>
              <w:jc w:val="center"/>
              <w:rPr>
                <w:rFonts w:hint="default" w:ascii="仿宋" w:hAnsi="仿宋" w:eastAsia="仿宋" w:cs="仿宋"/>
                <w:bCs/>
                <w:szCs w:val="21"/>
                <w:lang w:val="en-US" w:eastAsia="zh-CN"/>
              </w:rPr>
            </w:pPr>
          </w:p>
        </w:tc>
        <w:tc>
          <w:tcPr>
            <w:tcW w:w="350"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694"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02"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1985" w:type="dxa"/>
            <w:shd w:val="clear" w:color="auto" w:fill="auto"/>
            <w:vAlign w:val="center"/>
          </w:tcPr>
          <w:p w14:paraId="590AE382">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按压技术</w:t>
            </w:r>
          </w:p>
        </w:tc>
        <w:tc>
          <w:tcPr>
            <w:tcW w:w="4590" w:type="dxa"/>
            <w:shd w:val="clear" w:color="auto" w:fill="auto"/>
            <w:vAlign w:val="center"/>
          </w:tcPr>
          <w:p w14:paraId="754E7928">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绑带式3D按压</w:t>
            </w:r>
          </w:p>
        </w:tc>
        <w:tc>
          <w:tcPr>
            <w:tcW w:w="350" w:type="dxa"/>
          </w:tcPr>
          <w:p w14:paraId="247471E5">
            <w:pPr>
              <w:spacing w:line="320" w:lineRule="exact"/>
              <w:jc w:val="left"/>
              <w:rPr>
                <w:rFonts w:hint="default" w:ascii="仿宋" w:hAnsi="仿宋" w:eastAsia="仿宋" w:cs="仿宋"/>
                <w:bCs/>
                <w:sz w:val="24"/>
                <w:szCs w:val="24"/>
                <w:lang w:val="en-US" w:eastAsia="zh-CN"/>
              </w:rPr>
            </w:pPr>
          </w:p>
        </w:tc>
        <w:tc>
          <w:tcPr>
            <w:tcW w:w="694"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502"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1985" w:type="dxa"/>
            <w:shd w:val="clear" w:color="auto" w:fill="auto"/>
            <w:vAlign w:val="center"/>
          </w:tcPr>
          <w:p w14:paraId="60F13DDF">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按压频率</w:t>
            </w:r>
          </w:p>
        </w:tc>
        <w:tc>
          <w:tcPr>
            <w:tcW w:w="4590" w:type="dxa"/>
            <w:shd w:val="clear" w:color="auto" w:fill="auto"/>
            <w:vAlign w:val="center"/>
          </w:tcPr>
          <w:p w14:paraId="7EC31EBF">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主机机身上具有频率调节档位，无需外接终端设备进行调节</w:t>
            </w:r>
          </w:p>
        </w:tc>
        <w:tc>
          <w:tcPr>
            <w:tcW w:w="350" w:type="dxa"/>
          </w:tcPr>
          <w:p w14:paraId="711CE084">
            <w:pPr>
              <w:spacing w:line="320" w:lineRule="exact"/>
              <w:jc w:val="left"/>
              <w:rPr>
                <w:rFonts w:hint="eastAsia" w:ascii="仿宋" w:hAnsi="仿宋" w:eastAsia="仿宋" w:cs="仿宋"/>
                <w:bCs/>
                <w:sz w:val="24"/>
                <w:szCs w:val="24"/>
              </w:rPr>
            </w:pPr>
          </w:p>
        </w:tc>
        <w:tc>
          <w:tcPr>
            <w:tcW w:w="694"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1985" w:type="dxa"/>
            <w:shd w:val="clear" w:color="auto" w:fill="auto"/>
            <w:vAlign w:val="center"/>
          </w:tcPr>
          <w:p w14:paraId="15B1DA7C">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按压深度</w:t>
            </w:r>
          </w:p>
        </w:tc>
        <w:tc>
          <w:tcPr>
            <w:tcW w:w="4590" w:type="dxa"/>
            <w:shd w:val="clear" w:color="auto" w:fill="auto"/>
            <w:vAlign w:val="center"/>
          </w:tcPr>
          <w:p w14:paraId="1E143C81">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主机机身上具有深度调节档位，无需外接终端设备进行调节</w:t>
            </w:r>
          </w:p>
        </w:tc>
        <w:tc>
          <w:tcPr>
            <w:tcW w:w="350" w:type="dxa"/>
          </w:tcPr>
          <w:p w14:paraId="167BB1FD">
            <w:pPr>
              <w:spacing w:line="320" w:lineRule="exact"/>
              <w:jc w:val="left"/>
              <w:rPr>
                <w:rFonts w:hint="eastAsia" w:ascii="仿宋" w:hAnsi="仿宋" w:eastAsia="仿宋" w:cs="仿宋"/>
                <w:bCs/>
                <w:sz w:val="24"/>
                <w:szCs w:val="24"/>
              </w:rPr>
            </w:pPr>
          </w:p>
        </w:tc>
        <w:tc>
          <w:tcPr>
            <w:tcW w:w="694"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1985" w:type="dxa"/>
            <w:shd w:val="clear" w:color="auto" w:fill="auto"/>
            <w:vAlign w:val="center"/>
          </w:tcPr>
          <w:p w14:paraId="493DF6FB">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电磁兼容</w:t>
            </w:r>
          </w:p>
        </w:tc>
        <w:tc>
          <w:tcPr>
            <w:tcW w:w="4590" w:type="dxa"/>
            <w:shd w:val="clear" w:color="auto" w:fill="auto"/>
            <w:vAlign w:val="center"/>
          </w:tcPr>
          <w:p w14:paraId="3636A008">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满足YY 9706.102-2021《医用电气设备第1-2 部分安全通用要求并列标准电磁兼容-要求和试验》的要求</w:t>
            </w:r>
          </w:p>
        </w:tc>
        <w:tc>
          <w:tcPr>
            <w:tcW w:w="350" w:type="dxa"/>
          </w:tcPr>
          <w:p w14:paraId="28164C7B">
            <w:pPr>
              <w:spacing w:line="320" w:lineRule="exact"/>
              <w:jc w:val="left"/>
              <w:rPr>
                <w:rFonts w:hint="eastAsia" w:ascii="仿宋" w:hAnsi="仿宋" w:eastAsia="仿宋" w:cs="仿宋"/>
                <w:bCs/>
                <w:sz w:val="24"/>
                <w:szCs w:val="24"/>
              </w:rPr>
            </w:pPr>
          </w:p>
        </w:tc>
        <w:tc>
          <w:tcPr>
            <w:tcW w:w="694"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1985" w:type="dxa"/>
            <w:shd w:val="clear" w:color="auto" w:fill="auto"/>
            <w:vAlign w:val="center"/>
          </w:tcPr>
          <w:p w14:paraId="0E74082A">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驱动方式</w:t>
            </w:r>
          </w:p>
        </w:tc>
        <w:tc>
          <w:tcPr>
            <w:tcW w:w="4590" w:type="dxa"/>
            <w:shd w:val="clear" w:color="auto" w:fill="auto"/>
            <w:vAlign w:val="center"/>
          </w:tcPr>
          <w:p w14:paraId="13D153A3">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电动电控（非锂聚合物电池），电池充满电情况下，单块电池最大运行时间≥60分钟</w:t>
            </w:r>
          </w:p>
        </w:tc>
        <w:tc>
          <w:tcPr>
            <w:tcW w:w="350" w:type="dxa"/>
          </w:tcPr>
          <w:p w14:paraId="0A23FB5A">
            <w:pPr>
              <w:spacing w:line="320" w:lineRule="exact"/>
              <w:jc w:val="left"/>
              <w:rPr>
                <w:rFonts w:hint="eastAsia" w:ascii="仿宋" w:hAnsi="仿宋" w:eastAsia="仿宋" w:cs="仿宋"/>
                <w:bCs/>
                <w:sz w:val="24"/>
                <w:szCs w:val="24"/>
              </w:rPr>
            </w:pPr>
          </w:p>
        </w:tc>
        <w:tc>
          <w:tcPr>
            <w:tcW w:w="694"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02"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1985" w:type="dxa"/>
            <w:shd w:val="clear" w:color="auto" w:fill="auto"/>
            <w:vAlign w:val="center"/>
          </w:tcPr>
          <w:p w14:paraId="263B305F">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主机机身上的两个绑带挂钩之间的主机宽度</w:t>
            </w:r>
          </w:p>
        </w:tc>
        <w:tc>
          <w:tcPr>
            <w:tcW w:w="4590" w:type="dxa"/>
            <w:shd w:val="clear" w:color="auto" w:fill="auto"/>
            <w:vAlign w:val="center"/>
          </w:tcPr>
          <w:p w14:paraId="413601A2">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≤160mm，确保按压期间胸泵原理有效性</w:t>
            </w:r>
          </w:p>
        </w:tc>
        <w:tc>
          <w:tcPr>
            <w:tcW w:w="350" w:type="dxa"/>
          </w:tcPr>
          <w:p w14:paraId="00A58C03">
            <w:pPr>
              <w:spacing w:line="320" w:lineRule="exact"/>
              <w:jc w:val="left"/>
              <w:rPr>
                <w:rFonts w:hint="eastAsia" w:ascii="仿宋" w:hAnsi="仿宋" w:eastAsia="仿宋" w:cs="仿宋"/>
                <w:bCs/>
                <w:sz w:val="24"/>
                <w:szCs w:val="24"/>
              </w:rPr>
            </w:pPr>
          </w:p>
        </w:tc>
        <w:tc>
          <w:tcPr>
            <w:tcW w:w="694"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1985" w:type="dxa"/>
            <w:shd w:val="clear" w:color="auto" w:fill="auto"/>
            <w:vAlign w:val="center"/>
          </w:tcPr>
          <w:p w14:paraId="16CBDD69">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主机机身上的绑带挂钩最低点到主机底面的距离</w:t>
            </w:r>
          </w:p>
        </w:tc>
        <w:tc>
          <w:tcPr>
            <w:tcW w:w="4590" w:type="dxa"/>
            <w:shd w:val="clear" w:color="auto" w:fill="auto"/>
            <w:vAlign w:val="center"/>
          </w:tcPr>
          <w:p w14:paraId="43A3ADFC">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≥45mm，以降低按压期主机的晃动</w:t>
            </w:r>
          </w:p>
        </w:tc>
        <w:tc>
          <w:tcPr>
            <w:tcW w:w="350" w:type="dxa"/>
          </w:tcPr>
          <w:p w14:paraId="1D016E50">
            <w:pPr>
              <w:spacing w:line="320" w:lineRule="exact"/>
              <w:jc w:val="left"/>
              <w:rPr>
                <w:rFonts w:hint="eastAsia" w:ascii="仿宋" w:hAnsi="仿宋" w:eastAsia="仿宋" w:cs="仿宋"/>
                <w:bCs/>
                <w:sz w:val="24"/>
                <w:szCs w:val="24"/>
              </w:rPr>
            </w:pPr>
          </w:p>
        </w:tc>
        <w:tc>
          <w:tcPr>
            <w:tcW w:w="694"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 w:hRule="atLeast"/>
        </w:trPr>
        <w:tc>
          <w:tcPr>
            <w:tcW w:w="502"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1985" w:type="dxa"/>
            <w:shd w:val="clear" w:color="auto" w:fill="auto"/>
            <w:vAlign w:val="center"/>
          </w:tcPr>
          <w:p w14:paraId="6E3B1742">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最高持续工作相对湿度</w:t>
            </w:r>
          </w:p>
        </w:tc>
        <w:tc>
          <w:tcPr>
            <w:tcW w:w="4590" w:type="dxa"/>
            <w:shd w:val="clear" w:color="auto" w:fill="auto"/>
            <w:vAlign w:val="center"/>
          </w:tcPr>
          <w:p w14:paraId="3C851DAC">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≥90%，无冷凝</w:t>
            </w:r>
          </w:p>
        </w:tc>
        <w:tc>
          <w:tcPr>
            <w:tcW w:w="350" w:type="dxa"/>
          </w:tcPr>
          <w:p w14:paraId="04A007E7">
            <w:pPr>
              <w:spacing w:line="320" w:lineRule="exact"/>
              <w:jc w:val="left"/>
              <w:rPr>
                <w:rFonts w:hint="eastAsia" w:ascii="仿宋" w:hAnsi="仿宋" w:eastAsia="仿宋" w:cs="仿宋"/>
                <w:bCs/>
                <w:sz w:val="24"/>
                <w:szCs w:val="24"/>
              </w:rPr>
            </w:pPr>
          </w:p>
        </w:tc>
        <w:tc>
          <w:tcPr>
            <w:tcW w:w="694"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02"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1985" w:type="dxa"/>
            <w:shd w:val="clear" w:color="auto" w:fill="auto"/>
            <w:vAlign w:val="center"/>
          </w:tcPr>
          <w:p w14:paraId="68123945">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防电击的程度分类</w:t>
            </w:r>
          </w:p>
        </w:tc>
        <w:tc>
          <w:tcPr>
            <w:tcW w:w="4590" w:type="dxa"/>
            <w:shd w:val="clear" w:color="auto" w:fill="auto"/>
            <w:vAlign w:val="center"/>
          </w:tcPr>
          <w:p w14:paraId="199710C0">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default"/>
                <w:sz w:val="15"/>
                <w:szCs w:val="15"/>
                <w:lang w:val="en-US" w:eastAsia="zh-CN"/>
              </w:rPr>
            </w:pPr>
            <w:r>
              <w:rPr>
                <w:rFonts w:hint="eastAsia"/>
                <w:sz w:val="15"/>
                <w:szCs w:val="15"/>
                <w:lang w:val="en-US" w:eastAsia="zh-CN"/>
              </w:rPr>
              <w:t>防除颤C</w:t>
            </w:r>
            <w:r>
              <w:rPr>
                <w:rFonts w:hint="default"/>
                <w:sz w:val="15"/>
                <w:szCs w:val="15"/>
                <w:lang w:val="en-US" w:eastAsia="zh-CN"/>
              </w:rPr>
              <w:t>F</w:t>
            </w:r>
            <w:r>
              <w:rPr>
                <w:rFonts w:hint="eastAsia"/>
                <w:sz w:val="15"/>
                <w:szCs w:val="15"/>
                <w:lang w:val="en-US" w:eastAsia="zh-CN"/>
              </w:rPr>
              <w:t>型</w:t>
            </w:r>
          </w:p>
        </w:tc>
        <w:tc>
          <w:tcPr>
            <w:tcW w:w="350" w:type="dxa"/>
          </w:tcPr>
          <w:p w14:paraId="7F161ED3">
            <w:pPr>
              <w:spacing w:line="320" w:lineRule="exact"/>
              <w:jc w:val="left"/>
              <w:rPr>
                <w:rFonts w:hint="eastAsia" w:ascii="仿宋" w:hAnsi="仿宋" w:eastAsia="仿宋" w:cs="仿宋"/>
                <w:bCs/>
                <w:sz w:val="24"/>
                <w:szCs w:val="24"/>
              </w:rPr>
            </w:pPr>
          </w:p>
        </w:tc>
        <w:tc>
          <w:tcPr>
            <w:tcW w:w="694"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1985" w:type="dxa"/>
            <w:shd w:val="clear" w:color="auto" w:fill="auto"/>
            <w:vAlign w:val="center"/>
          </w:tcPr>
          <w:p w14:paraId="26141207">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工作大气压力</w:t>
            </w:r>
          </w:p>
        </w:tc>
        <w:tc>
          <w:tcPr>
            <w:tcW w:w="4590" w:type="dxa"/>
            <w:shd w:val="clear" w:color="auto" w:fill="auto"/>
            <w:vAlign w:val="center"/>
          </w:tcPr>
          <w:p w14:paraId="2ED8BF39">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default"/>
                <w:sz w:val="15"/>
                <w:szCs w:val="15"/>
                <w:lang w:val="en-US" w:eastAsia="zh-CN"/>
              </w:rPr>
            </w:pPr>
            <w:r>
              <w:rPr>
                <w:rFonts w:hint="eastAsia"/>
                <w:sz w:val="15"/>
                <w:szCs w:val="15"/>
                <w:lang w:val="en-US" w:eastAsia="zh-CN"/>
              </w:rPr>
              <w:t>57Kpa-106Kpa</w:t>
            </w:r>
          </w:p>
        </w:tc>
        <w:tc>
          <w:tcPr>
            <w:tcW w:w="350" w:type="dxa"/>
          </w:tcPr>
          <w:p w14:paraId="309EC2AC">
            <w:pPr>
              <w:spacing w:line="320" w:lineRule="exact"/>
              <w:jc w:val="left"/>
              <w:rPr>
                <w:rFonts w:hint="eastAsia" w:ascii="仿宋" w:hAnsi="仿宋" w:eastAsia="仿宋" w:cs="仿宋"/>
                <w:bCs/>
                <w:sz w:val="24"/>
                <w:szCs w:val="24"/>
              </w:rPr>
            </w:pPr>
          </w:p>
        </w:tc>
        <w:tc>
          <w:tcPr>
            <w:tcW w:w="694"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3" w:hRule="atLeast"/>
        </w:trPr>
        <w:tc>
          <w:tcPr>
            <w:tcW w:w="502"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1985" w:type="dxa"/>
            <w:shd w:val="clear" w:color="auto" w:fill="auto"/>
            <w:vAlign w:val="center"/>
          </w:tcPr>
          <w:p w14:paraId="2B7AF656">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4571A722">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生产厂家</w:t>
            </w:r>
            <w:r>
              <w:rPr>
                <w:rFonts w:hint="eastAsia"/>
                <w:sz w:val="15"/>
                <w:szCs w:val="15"/>
                <w:lang w:val="en-US" w:eastAsia="zh-Hans"/>
              </w:rPr>
              <w:t>具有CA CPR数据平台，可导入除颤仪心电图，进行整体数据分析</w:t>
            </w:r>
          </w:p>
        </w:tc>
        <w:tc>
          <w:tcPr>
            <w:tcW w:w="350" w:type="dxa"/>
          </w:tcPr>
          <w:p w14:paraId="1FEA9546">
            <w:pPr>
              <w:spacing w:line="320" w:lineRule="exact"/>
              <w:jc w:val="left"/>
              <w:rPr>
                <w:rFonts w:hint="eastAsia" w:ascii="仿宋" w:hAnsi="仿宋" w:eastAsia="仿宋" w:cs="仿宋"/>
                <w:color w:val="000000"/>
                <w:kern w:val="0"/>
                <w:sz w:val="24"/>
                <w:szCs w:val="24"/>
              </w:rPr>
            </w:pPr>
          </w:p>
        </w:tc>
        <w:tc>
          <w:tcPr>
            <w:tcW w:w="694"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2"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1985" w:type="dxa"/>
            <w:shd w:val="clear" w:color="auto" w:fill="auto"/>
            <w:vAlign w:val="center"/>
          </w:tcPr>
          <w:p w14:paraId="0630F74A">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主机高度</w:t>
            </w:r>
          </w:p>
        </w:tc>
        <w:tc>
          <w:tcPr>
            <w:tcW w:w="4590" w:type="dxa"/>
            <w:shd w:val="clear" w:color="auto" w:fill="auto"/>
            <w:vAlign w:val="center"/>
          </w:tcPr>
          <w:p w14:paraId="6C468ADF">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≤18cm，便于特殊患者在负压隔离舱内实施心肺复苏</w:t>
            </w:r>
          </w:p>
        </w:tc>
        <w:tc>
          <w:tcPr>
            <w:tcW w:w="350" w:type="dxa"/>
          </w:tcPr>
          <w:p w14:paraId="0AAF6406">
            <w:pPr>
              <w:spacing w:line="320" w:lineRule="exact"/>
              <w:jc w:val="left"/>
              <w:rPr>
                <w:rFonts w:hint="eastAsia" w:ascii="仿宋" w:hAnsi="仿宋" w:eastAsia="仿宋" w:cs="仿宋"/>
                <w:color w:val="000000"/>
                <w:kern w:val="0"/>
                <w:sz w:val="24"/>
                <w:szCs w:val="24"/>
              </w:rPr>
            </w:pPr>
          </w:p>
        </w:tc>
        <w:tc>
          <w:tcPr>
            <w:tcW w:w="694"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1985" w:type="dxa"/>
            <w:shd w:val="clear" w:color="auto" w:fill="auto"/>
            <w:vAlign w:val="center"/>
          </w:tcPr>
          <w:p w14:paraId="1FCABB0B">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42FC313A">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按压部位保护套底部由数个小负压吸盘组成</w:t>
            </w:r>
          </w:p>
        </w:tc>
        <w:tc>
          <w:tcPr>
            <w:tcW w:w="350" w:type="dxa"/>
          </w:tcPr>
          <w:p w14:paraId="60764D4A">
            <w:pPr>
              <w:spacing w:line="320" w:lineRule="exact"/>
              <w:jc w:val="left"/>
              <w:rPr>
                <w:rFonts w:hint="eastAsia" w:ascii="仿宋" w:hAnsi="仿宋" w:eastAsia="仿宋" w:cs="仿宋"/>
                <w:color w:val="000000"/>
                <w:kern w:val="0"/>
                <w:sz w:val="24"/>
                <w:szCs w:val="24"/>
              </w:rPr>
            </w:pPr>
          </w:p>
        </w:tc>
        <w:tc>
          <w:tcPr>
            <w:tcW w:w="694"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1985" w:type="dxa"/>
            <w:shd w:val="clear" w:color="auto" w:fill="auto"/>
            <w:vAlign w:val="center"/>
          </w:tcPr>
          <w:p w14:paraId="2F9FB2C7">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2F53A562">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无背板设计，以避免绑带因背板造成胸泵效果不足的情况</w:t>
            </w:r>
          </w:p>
        </w:tc>
        <w:tc>
          <w:tcPr>
            <w:tcW w:w="350" w:type="dxa"/>
          </w:tcPr>
          <w:p w14:paraId="1815DE41">
            <w:pPr>
              <w:spacing w:line="320" w:lineRule="exact"/>
              <w:jc w:val="left"/>
              <w:rPr>
                <w:rFonts w:hint="eastAsia" w:ascii="仿宋" w:hAnsi="仿宋" w:eastAsia="仿宋" w:cs="仿宋"/>
                <w:color w:val="000000"/>
                <w:kern w:val="0"/>
                <w:sz w:val="24"/>
                <w:szCs w:val="24"/>
              </w:rPr>
            </w:pPr>
          </w:p>
        </w:tc>
        <w:tc>
          <w:tcPr>
            <w:tcW w:w="694" w:type="dxa"/>
          </w:tcPr>
          <w:p w14:paraId="2F8E3EF9">
            <w:pPr>
              <w:spacing w:line="320" w:lineRule="exact"/>
              <w:jc w:val="left"/>
              <w:rPr>
                <w:rFonts w:hint="eastAsia" w:ascii="仿宋" w:hAnsi="仿宋" w:eastAsia="仿宋" w:cs="仿宋"/>
                <w:bCs/>
                <w:sz w:val="24"/>
                <w:szCs w:val="24"/>
              </w:rPr>
            </w:pPr>
          </w:p>
        </w:tc>
        <w:tc>
          <w:tcPr>
            <w:tcW w:w="50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025915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6460D99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1985" w:type="dxa"/>
            <w:shd w:val="clear" w:color="auto" w:fill="auto"/>
            <w:vAlign w:val="center"/>
          </w:tcPr>
          <w:p w14:paraId="39FED130">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18DC13A4">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主机机身上具有蓝牙与Wi-Fi状态指示灯</w:t>
            </w:r>
          </w:p>
        </w:tc>
        <w:tc>
          <w:tcPr>
            <w:tcW w:w="350" w:type="dxa"/>
          </w:tcPr>
          <w:p w14:paraId="26B1FD0F">
            <w:pPr>
              <w:spacing w:line="320" w:lineRule="exact"/>
              <w:jc w:val="left"/>
              <w:rPr>
                <w:rFonts w:hint="eastAsia" w:ascii="仿宋" w:hAnsi="仿宋" w:eastAsia="仿宋" w:cs="仿宋"/>
                <w:color w:val="000000"/>
                <w:kern w:val="0"/>
                <w:sz w:val="24"/>
                <w:szCs w:val="24"/>
              </w:rPr>
            </w:pPr>
          </w:p>
        </w:tc>
        <w:tc>
          <w:tcPr>
            <w:tcW w:w="694" w:type="dxa"/>
          </w:tcPr>
          <w:p w14:paraId="589DF89E">
            <w:pPr>
              <w:spacing w:line="320" w:lineRule="exact"/>
              <w:jc w:val="left"/>
              <w:rPr>
                <w:rFonts w:hint="eastAsia" w:ascii="仿宋" w:hAnsi="仿宋" w:eastAsia="仿宋" w:cs="仿宋"/>
                <w:bCs/>
                <w:sz w:val="24"/>
                <w:szCs w:val="24"/>
              </w:rPr>
            </w:pPr>
          </w:p>
        </w:tc>
        <w:tc>
          <w:tcPr>
            <w:tcW w:w="506" w:type="dxa"/>
          </w:tcPr>
          <w:p w14:paraId="263DC5DA">
            <w:pPr>
              <w:spacing w:line="320" w:lineRule="exact"/>
              <w:jc w:val="left"/>
              <w:rPr>
                <w:rFonts w:hint="eastAsia" w:ascii="仿宋" w:hAnsi="仿宋" w:eastAsia="仿宋" w:cs="仿宋"/>
                <w:bCs/>
                <w:sz w:val="24"/>
                <w:szCs w:val="24"/>
              </w:rPr>
            </w:pPr>
          </w:p>
        </w:tc>
        <w:tc>
          <w:tcPr>
            <w:tcW w:w="1018" w:type="dxa"/>
          </w:tcPr>
          <w:p w14:paraId="0B0AAABC">
            <w:pPr>
              <w:spacing w:line="320" w:lineRule="exact"/>
              <w:jc w:val="left"/>
              <w:rPr>
                <w:rFonts w:hint="eastAsia" w:ascii="仿宋" w:hAnsi="仿宋" w:eastAsia="仿宋" w:cs="仿宋"/>
                <w:bCs/>
                <w:sz w:val="24"/>
                <w:szCs w:val="24"/>
              </w:rPr>
            </w:pPr>
          </w:p>
        </w:tc>
      </w:tr>
      <w:tr w14:paraId="1CCC03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252C35B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1985" w:type="dxa"/>
            <w:shd w:val="clear" w:color="auto" w:fill="auto"/>
            <w:vAlign w:val="center"/>
          </w:tcPr>
          <w:p w14:paraId="3EF84C75">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主机（含电池）重量</w:t>
            </w:r>
          </w:p>
        </w:tc>
        <w:tc>
          <w:tcPr>
            <w:tcW w:w="4590" w:type="dxa"/>
            <w:shd w:val="clear" w:color="auto" w:fill="auto"/>
            <w:vAlign w:val="center"/>
          </w:tcPr>
          <w:p w14:paraId="7E1312E6">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≤2.5kg</w:t>
            </w:r>
          </w:p>
        </w:tc>
        <w:tc>
          <w:tcPr>
            <w:tcW w:w="350" w:type="dxa"/>
          </w:tcPr>
          <w:p w14:paraId="4A0CE148">
            <w:pPr>
              <w:spacing w:line="320" w:lineRule="exact"/>
              <w:jc w:val="left"/>
              <w:rPr>
                <w:rFonts w:hint="eastAsia" w:ascii="仿宋" w:hAnsi="仿宋" w:eastAsia="仿宋" w:cs="仿宋"/>
                <w:color w:val="000000"/>
                <w:kern w:val="0"/>
                <w:sz w:val="24"/>
                <w:szCs w:val="24"/>
              </w:rPr>
            </w:pPr>
          </w:p>
        </w:tc>
        <w:tc>
          <w:tcPr>
            <w:tcW w:w="694" w:type="dxa"/>
          </w:tcPr>
          <w:p w14:paraId="7A326042">
            <w:pPr>
              <w:spacing w:line="320" w:lineRule="exact"/>
              <w:jc w:val="left"/>
              <w:rPr>
                <w:rFonts w:hint="eastAsia" w:ascii="仿宋" w:hAnsi="仿宋" w:eastAsia="仿宋" w:cs="仿宋"/>
                <w:bCs/>
                <w:sz w:val="24"/>
                <w:szCs w:val="24"/>
              </w:rPr>
            </w:pPr>
          </w:p>
        </w:tc>
        <w:tc>
          <w:tcPr>
            <w:tcW w:w="506" w:type="dxa"/>
          </w:tcPr>
          <w:p w14:paraId="4911201D">
            <w:pPr>
              <w:spacing w:line="320" w:lineRule="exact"/>
              <w:jc w:val="left"/>
              <w:rPr>
                <w:rFonts w:hint="eastAsia" w:ascii="仿宋" w:hAnsi="仿宋" w:eastAsia="仿宋" w:cs="仿宋"/>
                <w:bCs/>
                <w:sz w:val="24"/>
                <w:szCs w:val="24"/>
              </w:rPr>
            </w:pPr>
          </w:p>
        </w:tc>
        <w:tc>
          <w:tcPr>
            <w:tcW w:w="1018" w:type="dxa"/>
          </w:tcPr>
          <w:p w14:paraId="32519C62">
            <w:pPr>
              <w:spacing w:line="320" w:lineRule="exact"/>
              <w:jc w:val="left"/>
              <w:rPr>
                <w:rFonts w:hint="eastAsia" w:ascii="仿宋" w:hAnsi="仿宋" w:eastAsia="仿宋" w:cs="仿宋"/>
                <w:bCs/>
                <w:sz w:val="24"/>
                <w:szCs w:val="24"/>
              </w:rPr>
            </w:pPr>
          </w:p>
        </w:tc>
      </w:tr>
      <w:tr w14:paraId="781044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3169134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1985" w:type="dxa"/>
            <w:shd w:val="clear" w:color="auto" w:fill="auto"/>
            <w:vAlign w:val="center"/>
          </w:tcPr>
          <w:p w14:paraId="77AD39B1">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6DA49C99">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主机机身上无液晶屏等易碎部件，适用于复杂的急救环境</w:t>
            </w:r>
          </w:p>
        </w:tc>
        <w:tc>
          <w:tcPr>
            <w:tcW w:w="350" w:type="dxa"/>
          </w:tcPr>
          <w:p w14:paraId="64F846E7">
            <w:pPr>
              <w:spacing w:line="320" w:lineRule="exact"/>
              <w:jc w:val="left"/>
              <w:rPr>
                <w:rFonts w:hint="eastAsia" w:ascii="仿宋" w:hAnsi="仿宋" w:eastAsia="仿宋" w:cs="仿宋"/>
                <w:color w:val="000000"/>
                <w:kern w:val="0"/>
                <w:sz w:val="24"/>
                <w:szCs w:val="24"/>
              </w:rPr>
            </w:pPr>
          </w:p>
        </w:tc>
        <w:tc>
          <w:tcPr>
            <w:tcW w:w="694" w:type="dxa"/>
          </w:tcPr>
          <w:p w14:paraId="48F712E2">
            <w:pPr>
              <w:spacing w:line="320" w:lineRule="exact"/>
              <w:jc w:val="left"/>
              <w:rPr>
                <w:rFonts w:hint="eastAsia" w:ascii="仿宋" w:hAnsi="仿宋" w:eastAsia="仿宋" w:cs="仿宋"/>
                <w:bCs/>
                <w:sz w:val="24"/>
                <w:szCs w:val="24"/>
              </w:rPr>
            </w:pPr>
          </w:p>
        </w:tc>
        <w:tc>
          <w:tcPr>
            <w:tcW w:w="506" w:type="dxa"/>
          </w:tcPr>
          <w:p w14:paraId="203795BE">
            <w:pPr>
              <w:spacing w:line="320" w:lineRule="exact"/>
              <w:jc w:val="left"/>
              <w:rPr>
                <w:rFonts w:hint="eastAsia" w:ascii="仿宋" w:hAnsi="仿宋" w:eastAsia="仿宋" w:cs="仿宋"/>
                <w:bCs/>
                <w:sz w:val="24"/>
                <w:szCs w:val="24"/>
              </w:rPr>
            </w:pPr>
          </w:p>
        </w:tc>
        <w:tc>
          <w:tcPr>
            <w:tcW w:w="1018" w:type="dxa"/>
          </w:tcPr>
          <w:p w14:paraId="09B79702">
            <w:pPr>
              <w:spacing w:line="320" w:lineRule="exact"/>
              <w:jc w:val="left"/>
              <w:rPr>
                <w:rFonts w:hint="eastAsia" w:ascii="仿宋" w:hAnsi="仿宋" w:eastAsia="仿宋" w:cs="仿宋"/>
                <w:bCs/>
                <w:sz w:val="24"/>
                <w:szCs w:val="24"/>
              </w:rPr>
            </w:pPr>
          </w:p>
        </w:tc>
      </w:tr>
      <w:tr w14:paraId="5D8936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406D2AF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1985" w:type="dxa"/>
            <w:shd w:val="clear" w:color="auto" w:fill="auto"/>
            <w:vAlign w:val="center"/>
          </w:tcPr>
          <w:p w14:paraId="32AB007B">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p>
        </w:tc>
        <w:tc>
          <w:tcPr>
            <w:tcW w:w="4590" w:type="dxa"/>
            <w:shd w:val="clear" w:color="auto" w:fill="auto"/>
            <w:vAlign w:val="center"/>
          </w:tcPr>
          <w:p w14:paraId="0C774337">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具有电量查询按键，无需拆卸电池与开机的情况下即可查看电池电量</w:t>
            </w:r>
          </w:p>
        </w:tc>
        <w:tc>
          <w:tcPr>
            <w:tcW w:w="350" w:type="dxa"/>
          </w:tcPr>
          <w:p w14:paraId="5AEDEA85">
            <w:pPr>
              <w:spacing w:line="320" w:lineRule="exact"/>
              <w:jc w:val="left"/>
              <w:rPr>
                <w:rFonts w:hint="eastAsia" w:ascii="仿宋" w:hAnsi="仿宋" w:eastAsia="仿宋" w:cs="仿宋"/>
                <w:color w:val="000000"/>
                <w:kern w:val="0"/>
                <w:sz w:val="24"/>
                <w:szCs w:val="24"/>
              </w:rPr>
            </w:pPr>
          </w:p>
        </w:tc>
        <w:tc>
          <w:tcPr>
            <w:tcW w:w="694" w:type="dxa"/>
          </w:tcPr>
          <w:p w14:paraId="521C0950">
            <w:pPr>
              <w:spacing w:line="320" w:lineRule="exact"/>
              <w:jc w:val="left"/>
              <w:rPr>
                <w:rFonts w:hint="eastAsia" w:ascii="仿宋" w:hAnsi="仿宋" w:eastAsia="仿宋" w:cs="仿宋"/>
                <w:bCs/>
                <w:sz w:val="24"/>
                <w:szCs w:val="24"/>
              </w:rPr>
            </w:pPr>
          </w:p>
        </w:tc>
        <w:tc>
          <w:tcPr>
            <w:tcW w:w="506" w:type="dxa"/>
          </w:tcPr>
          <w:p w14:paraId="0B81BEA4">
            <w:pPr>
              <w:spacing w:line="320" w:lineRule="exact"/>
              <w:jc w:val="left"/>
              <w:rPr>
                <w:rFonts w:hint="eastAsia" w:ascii="仿宋" w:hAnsi="仿宋" w:eastAsia="仿宋" w:cs="仿宋"/>
                <w:bCs/>
                <w:sz w:val="24"/>
                <w:szCs w:val="24"/>
              </w:rPr>
            </w:pPr>
          </w:p>
        </w:tc>
        <w:tc>
          <w:tcPr>
            <w:tcW w:w="1018" w:type="dxa"/>
          </w:tcPr>
          <w:p w14:paraId="27CD7561">
            <w:pPr>
              <w:spacing w:line="320" w:lineRule="exact"/>
              <w:jc w:val="left"/>
              <w:rPr>
                <w:rFonts w:hint="eastAsia" w:ascii="仿宋" w:hAnsi="仿宋" w:eastAsia="仿宋" w:cs="仿宋"/>
                <w:bCs/>
                <w:sz w:val="24"/>
                <w:szCs w:val="24"/>
              </w:rPr>
            </w:pPr>
          </w:p>
        </w:tc>
      </w:tr>
      <w:tr w14:paraId="26C850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502" w:type="dxa"/>
            <w:shd w:val="clear" w:color="auto" w:fill="auto"/>
            <w:vAlign w:val="center"/>
          </w:tcPr>
          <w:p w14:paraId="33CEB99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1985" w:type="dxa"/>
            <w:shd w:val="clear" w:color="auto" w:fill="auto"/>
            <w:vAlign w:val="center"/>
          </w:tcPr>
          <w:p w14:paraId="1025CA77">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sz w:val="15"/>
                <w:szCs w:val="15"/>
                <w:lang w:val="en-US" w:eastAsia="zh-CN"/>
              </w:rPr>
            </w:pPr>
            <w:r>
              <w:rPr>
                <w:rFonts w:hint="eastAsia"/>
                <w:sz w:val="15"/>
                <w:szCs w:val="15"/>
                <w:lang w:val="en-US" w:eastAsia="zh-CN"/>
              </w:rPr>
              <w:t>使用年限</w:t>
            </w:r>
          </w:p>
        </w:tc>
        <w:tc>
          <w:tcPr>
            <w:tcW w:w="4590" w:type="dxa"/>
            <w:shd w:val="clear" w:color="auto" w:fill="auto"/>
            <w:vAlign w:val="center"/>
          </w:tcPr>
          <w:p w14:paraId="0F06F474">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sz w:val="15"/>
                <w:szCs w:val="15"/>
                <w:lang w:val="en-US" w:eastAsia="zh-CN"/>
              </w:rPr>
            </w:pPr>
            <w:r>
              <w:rPr>
                <w:rFonts w:hint="eastAsia"/>
                <w:sz w:val="15"/>
                <w:szCs w:val="15"/>
                <w:lang w:val="en-US" w:eastAsia="zh-CN"/>
              </w:rPr>
              <w:t>≥10年</w:t>
            </w:r>
          </w:p>
        </w:tc>
        <w:tc>
          <w:tcPr>
            <w:tcW w:w="350" w:type="dxa"/>
          </w:tcPr>
          <w:p w14:paraId="0DC6DB21">
            <w:pPr>
              <w:spacing w:line="320" w:lineRule="exact"/>
              <w:jc w:val="left"/>
              <w:rPr>
                <w:rFonts w:hint="eastAsia" w:ascii="仿宋" w:hAnsi="仿宋" w:eastAsia="仿宋" w:cs="仿宋"/>
                <w:color w:val="000000"/>
                <w:kern w:val="0"/>
                <w:sz w:val="24"/>
                <w:szCs w:val="24"/>
              </w:rPr>
            </w:pPr>
          </w:p>
        </w:tc>
        <w:tc>
          <w:tcPr>
            <w:tcW w:w="694" w:type="dxa"/>
          </w:tcPr>
          <w:p w14:paraId="4B638E4F">
            <w:pPr>
              <w:spacing w:line="320" w:lineRule="exact"/>
              <w:jc w:val="left"/>
              <w:rPr>
                <w:rFonts w:hint="eastAsia" w:ascii="仿宋" w:hAnsi="仿宋" w:eastAsia="仿宋" w:cs="仿宋"/>
                <w:bCs/>
                <w:sz w:val="24"/>
                <w:szCs w:val="24"/>
              </w:rPr>
            </w:pPr>
          </w:p>
        </w:tc>
        <w:tc>
          <w:tcPr>
            <w:tcW w:w="506" w:type="dxa"/>
          </w:tcPr>
          <w:p w14:paraId="3D5E99EC">
            <w:pPr>
              <w:spacing w:line="320" w:lineRule="exact"/>
              <w:jc w:val="left"/>
              <w:rPr>
                <w:rFonts w:hint="eastAsia" w:ascii="仿宋" w:hAnsi="仿宋" w:eastAsia="仿宋" w:cs="仿宋"/>
                <w:bCs/>
                <w:sz w:val="24"/>
                <w:szCs w:val="24"/>
              </w:rPr>
            </w:pPr>
          </w:p>
        </w:tc>
        <w:tc>
          <w:tcPr>
            <w:tcW w:w="1018" w:type="dxa"/>
          </w:tcPr>
          <w:p w14:paraId="1DC9B687">
            <w:pPr>
              <w:spacing w:line="320" w:lineRule="exact"/>
              <w:jc w:val="left"/>
              <w:rPr>
                <w:rFonts w:hint="eastAsia" w:ascii="仿宋" w:hAnsi="仿宋" w:eastAsia="仿宋" w:cs="仿宋"/>
                <w:bCs/>
                <w:sz w:val="24"/>
                <w:szCs w:val="24"/>
              </w:rPr>
            </w:pPr>
          </w:p>
        </w:tc>
      </w:tr>
      <w:tr w14:paraId="7233A9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02" w:type="dxa"/>
            <w:shd w:val="clear" w:color="auto" w:fill="auto"/>
            <w:vAlign w:val="center"/>
          </w:tcPr>
          <w:p w14:paraId="28F63FF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1985" w:type="dxa"/>
            <w:shd w:val="clear" w:color="auto" w:fill="auto"/>
            <w:vAlign w:val="center"/>
          </w:tcPr>
          <w:p w14:paraId="2DC3145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2"/>
                <w:sz w:val="15"/>
                <w:szCs w:val="15"/>
                <w:u w:val="none"/>
                <w:lang w:val="en-US" w:eastAsia="zh-CN" w:bidi="ar-SA"/>
              </w:rPr>
              <w:t>质保</w:t>
            </w:r>
          </w:p>
        </w:tc>
        <w:tc>
          <w:tcPr>
            <w:tcW w:w="4590" w:type="dxa"/>
            <w:shd w:val="clear" w:color="auto" w:fill="auto"/>
            <w:vAlign w:val="center"/>
          </w:tcPr>
          <w:p w14:paraId="75A6825F">
            <w:pPr>
              <w:keepNext w:val="0"/>
              <w:keepLines w:val="0"/>
              <w:pageBreakBefore w:val="0"/>
              <w:numPr>
                <w:ilvl w:val="0"/>
                <w:numId w:val="0"/>
              </w:numPr>
              <w:kinsoku/>
              <w:wordWrap/>
              <w:overflowPunct/>
              <w:topLinePunct w:val="0"/>
              <w:autoSpaceDE/>
              <w:autoSpaceDN/>
              <w:bidi w:val="0"/>
              <w:adjustRightInd/>
              <w:snapToGrid/>
              <w:spacing w:line="360" w:lineRule="exact"/>
              <w:jc w:val="left"/>
              <w:textAlignment w:val="auto"/>
              <w:rPr>
                <w:rFonts w:hint="eastAsia" w:eastAsiaTheme="minorEastAsia"/>
                <w:sz w:val="15"/>
                <w:szCs w:val="15"/>
                <w:lang w:val="en-US" w:eastAsia="zh-CN"/>
              </w:rPr>
            </w:pPr>
            <w:r>
              <w:rPr>
                <w:rFonts w:hint="eastAsia"/>
                <w:sz w:val="15"/>
                <w:szCs w:val="15"/>
                <w:lang w:val="en-US" w:eastAsia="zh-CN"/>
              </w:rPr>
              <w:t>5年，绑带设备生命周期内免费更换</w:t>
            </w:r>
          </w:p>
        </w:tc>
        <w:tc>
          <w:tcPr>
            <w:tcW w:w="350" w:type="dxa"/>
          </w:tcPr>
          <w:p w14:paraId="1AB0497B">
            <w:pPr>
              <w:spacing w:line="320" w:lineRule="exact"/>
              <w:jc w:val="left"/>
              <w:rPr>
                <w:rFonts w:hint="eastAsia" w:ascii="仿宋" w:hAnsi="仿宋" w:eastAsia="仿宋" w:cs="仿宋"/>
                <w:color w:val="000000"/>
                <w:kern w:val="0"/>
                <w:sz w:val="24"/>
                <w:szCs w:val="24"/>
              </w:rPr>
            </w:pPr>
          </w:p>
        </w:tc>
        <w:tc>
          <w:tcPr>
            <w:tcW w:w="694" w:type="dxa"/>
          </w:tcPr>
          <w:p w14:paraId="28E3F893">
            <w:pPr>
              <w:spacing w:line="320" w:lineRule="exact"/>
              <w:jc w:val="left"/>
              <w:rPr>
                <w:rFonts w:hint="eastAsia" w:ascii="仿宋" w:hAnsi="仿宋" w:eastAsia="仿宋" w:cs="仿宋"/>
                <w:bCs/>
                <w:sz w:val="24"/>
                <w:szCs w:val="24"/>
              </w:rPr>
            </w:pPr>
          </w:p>
        </w:tc>
        <w:tc>
          <w:tcPr>
            <w:tcW w:w="506" w:type="dxa"/>
          </w:tcPr>
          <w:p w14:paraId="5A1D4005">
            <w:pPr>
              <w:spacing w:line="320" w:lineRule="exact"/>
              <w:jc w:val="left"/>
              <w:rPr>
                <w:rFonts w:hint="eastAsia" w:ascii="仿宋" w:hAnsi="仿宋" w:eastAsia="仿宋" w:cs="仿宋"/>
                <w:bCs/>
                <w:sz w:val="24"/>
                <w:szCs w:val="24"/>
              </w:rPr>
            </w:pPr>
          </w:p>
        </w:tc>
        <w:tc>
          <w:tcPr>
            <w:tcW w:w="1018" w:type="dxa"/>
          </w:tcPr>
          <w:p w14:paraId="5567E3BD">
            <w:pPr>
              <w:spacing w:line="320" w:lineRule="exact"/>
              <w:jc w:val="left"/>
              <w:rPr>
                <w:rFonts w:hint="eastAsia" w:ascii="仿宋" w:hAnsi="仿宋" w:eastAsia="仿宋" w:cs="仿宋"/>
                <w:bCs/>
                <w:sz w:val="24"/>
                <w:szCs w:val="24"/>
              </w:rPr>
            </w:pPr>
          </w:p>
        </w:tc>
      </w:tr>
    </w:tbl>
    <w:p w14:paraId="2F3D81A7">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bookmarkStart w:id="0" w:name="_GoBack"/>
      <w:bookmarkEnd w:id="0"/>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8F7087"/>
    <w:rsid w:val="06941695"/>
    <w:rsid w:val="06A72333"/>
    <w:rsid w:val="06F66A9B"/>
    <w:rsid w:val="07450F80"/>
    <w:rsid w:val="079C369B"/>
    <w:rsid w:val="07AF1FB4"/>
    <w:rsid w:val="07D72EEC"/>
    <w:rsid w:val="080A66C6"/>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BE93BE5"/>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1F056B"/>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C46C03"/>
    <w:rsid w:val="2BE07BE3"/>
    <w:rsid w:val="2C6E3570"/>
    <w:rsid w:val="2CAF5180"/>
    <w:rsid w:val="2CB30A73"/>
    <w:rsid w:val="2CBF2091"/>
    <w:rsid w:val="2D286742"/>
    <w:rsid w:val="2D542A2A"/>
    <w:rsid w:val="2D656A67"/>
    <w:rsid w:val="2D80558E"/>
    <w:rsid w:val="2D85186A"/>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027E00"/>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7E3A4A"/>
    <w:rsid w:val="388E06F9"/>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647AE3"/>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EDB0430"/>
    <w:rsid w:val="4F413B09"/>
    <w:rsid w:val="4F792DCA"/>
    <w:rsid w:val="4F8F10A2"/>
    <w:rsid w:val="4F9D25EA"/>
    <w:rsid w:val="4FAA2E71"/>
    <w:rsid w:val="4FE70DC0"/>
    <w:rsid w:val="4FEE65F2"/>
    <w:rsid w:val="503B0D85"/>
    <w:rsid w:val="50D22270"/>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9A6CDC"/>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4F3049"/>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56644"/>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72DD6"/>
    <w:rsid w:val="74CF4AFC"/>
    <w:rsid w:val="750B2500"/>
    <w:rsid w:val="751E4CA6"/>
    <w:rsid w:val="7530561F"/>
    <w:rsid w:val="753A5E46"/>
    <w:rsid w:val="754D7793"/>
    <w:rsid w:val="7550035E"/>
    <w:rsid w:val="758A45B5"/>
    <w:rsid w:val="759D5A90"/>
    <w:rsid w:val="75A1160C"/>
    <w:rsid w:val="75F0684F"/>
    <w:rsid w:val="75F56E68"/>
    <w:rsid w:val="76185FF4"/>
    <w:rsid w:val="76316964"/>
    <w:rsid w:val="768840AF"/>
    <w:rsid w:val="76A81B2B"/>
    <w:rsid w:val="76EA5E9C"/>
    <w:rsid w:val="771C3B7F"/>
    <w:rsid w:val="77570EBD"/>
    <w:rsid w:val="77D46253"/>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1764</Words>
  <Characters>1854</Characters>
  <Lines>43</Lines>
  <Paragraphs>12</Paragraphs>
  <TotalTime>5</TotalTime>
  <ScaleCrop>false</ScaleCrop>
  <LinksUpToDate>false</LinksUpToDate>
  <CharactersWithSpaces>2682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2026-09-02T06:34:00Z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