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7CF36">
      <w:pPr>
        <w:spacing w:line="520" w:lineRule="exact"/>
        <w:jc w:val="center"/>
        <w:rPr>
          <w:rFonts w:ascii="仿宋" w:hAnsi="仿宋" w:eastAsia="仿宋"/>
          <w:b/>
          <w:sz w:val="36"/>
          <w:szCs w:val="36"/>
        </w:rPr>
      </w:pPr>
      <w:r>
        <w:rPr>
          <w:rFonts w:hint="eastAsia" w:ascii="仿宋" w:hAnsi="仿宋" w:eastAsia="仿宋"/>
          <w:b/>
          <w:sz w:val="36"/>
          <w:szCs w:val="36"/>
        </w:rPr>
        <w:t>拟购六安市中医院职工电动自行车充电桩安装项目初步参数论证征求意见表</w:t>
      </w:r>
    </w:p>
    <w:p w14:paraId="36D4A109">
      <w:pPr>
        <w:spacing w:line="320" w:lineRule="exact"/>
        <w:rPr>
          <w:rFonts w:ascii="仿宋" w:hAnsi="仿宋" w:eastAsia="仿宋"/>
          <w:sz w:val="24"/>
          <w:szCs w:val="24"/>
        </w:rPr>
      </w:pPr>
    </w:p>
    <w:p w14:paraId="653E2DFC">
      <w:pPr>
        <w:widowControl w:val="0"/>
        <w:adjustRightInd/>
        <w:snapToGrid/>
        <w:spacing w:line="300" w:lineRule="exact"/>
        <w:rPr>
          <w:rFonts w:ascii="仿宋" w:hAnsi="仿宋" w:eastAsia="仿宋"/>
          <w:szCs w:val="21"/>
          <w:u w:val="single"/>
        </w:rPr>
      </w:pPr>
      <w:r>
        <w:rPr>
          <w:rFonts w:hint="eastAsia" w:ascii="仿宋" w:hAnsi="仿宋" w:eastAsia="仿宋"/>
          <w:szCs w:val="21"/>
        </w:rPr>
        <w:t>供应商、联系人及电话（加盖公章）：</w:t>
      </w:r>
    </w:p>
    <w:p w14:paraId="1BD6FB3B">
      <w:pPr>
        <w:widowControl w:val="0"/>
        <w:adjustRightInd/>
        <w:snapToGrid/>
        <w:spacing w:line="300" w:lineRule="exact"/>
        <w:rPr>
          <w:rFonts w:ascii="仿宋" w:hAnsi="仿宋" w:eastAsia="仿宋"/>
          <w:szCs w:val="21"/>
          <w:u w:val="single"/>
        </w:rPr>
      </w:pPr>
      <w:r>
        <w:rPr>
          <w:rFonts w:hint="eastAsia" w:ascii="仿宋" w:hAnsi="仿宋" w:eastAsia="仿宋"/>
          <w:szCs w:val="21"/>
        </w:rPr>
        <w:t>电动自行车充电桩服务费最低报价：</w:t>
      </w:r>
    </w:p>
    <w:p w14:paraId="59F25058">
      <w:pPr>
        <w:widowControl w:val="0"/>
        <w:adjustRightInd/>
        <w:snapToGrid/>
        <w:spacing w:line="300" w:lineRule="exact"/>
        <w:ind w:firstLine="442" w:firstLineChars="200"/>
        <w:rPr>
          <w:rFonts w:ascii="仿宋" w:hAnsi="仿宋" w:eastAsia="仿宋"/>
          <w:b/>
          <w:szCs w:val="21"/>
        </w:rPr>
      </w:pPr>
      <w:r>
        <w:rPr>
          <w:rFonts w:hint="eastAsia" w:ascii="仿宋" w:hAnsi="仿宋" w:eastAsia="仿宋"/>
          <w:b/>
          <w:szCs w:val="21"/>
        </w:rPr>
        <w:t>备注：</w:t>
      </w:r>
    </w:p>
    <w:p w14:paraId="4DBC20EF">
      <w:pPr>
        <w:widowControl w:val="0"/>
        <w:adjustRightInd/>
        <w:snapToGrid/>
        <w:spacing w:line="300" w:lineRule="exact"/>
        <w:ind w:firstLine="440" w:firstLineChars="200"/>
        <w:rPr>
          <w:rFonts w:ascii="仿宋" w:hAnsi="仿宋" w:eastAsia="仿宋"/>
          <w:color w:val="FF0000"/>
          <w:szCs w:val="21"/>
        </w:rPr>
      </w:pPr>
      <w:r>
        <w:rPr>
          <w:rFonts w:hint="eastAsia" w:ascii="仿宋" w:hAnsi="仿宋" w:eastAsia="仿宋"/>
          <w:szCs w:val="21"/>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szCs w:val="21"/>
        </w:rPr>
        <w:t>发送至医院指定邮箱（</w:t>
      </w:r>
      <w:r>
        <w:rPr>
          <w:rFonts w:hint="eastAsia" w:ascii="仿宋" w:hAnsi="仿宋" w:eastAsia="仿宋"/>
          <w:szCs w:val="21"/>
          <w:u w:val="single"/>
        </w:rPr>
        <w:t>归口科室</w:t>
      </w:r>
      <w:r>
        <w:rPr>
          <w:rFonts w:hint="eastAsia" w:ascii="仿宋" w:hAnsi="仿宋" w:eastAsia="仿宋"/>
          <w:szCs w:val="21"/>
        </w:rPr>
        <w:t>【后勤保障部☑】：</w:t>
      </w:r>
      <w:r>
        <w:rPr>
          <w:rFonts w:hint="eastAsia" w:ascii="仿宋" w:hAnsi="仿宋" w:eastAsia="仿宋"/>
          <w:color w:val="FF0000"/>
          <w:szCs w:val="21"/>
          <w:u w:val="single"/>
        </w:rPr>
        <w:t xml:space="preserve">zyyzwk2025 @163.com         </w:t>
      </w:r>
      <w:r>
        <w:rPr>
          <w:rFonts w:hint="eastAsia" w:ascii="仿宋" w:hAnsi="仿宋" w:eastAsia="仿宋"/>
          <w:color w:val="FF0000"/>
          <w:szCs w:val="21"/>
        </w:rPr>
        <w:t>）；</w:t>
      </w:r>
    </w:p>
    <w:p w14:paraId="26CC059B">
      <w:pPr>
        <w:widowControl w:val="0"/>
        <w:adjustRightInd/>
        <w:snapToGrid/>
        <w:ind w:firstLine="440" w:firstLineChars="200"/>
        <w:rPr>
          <w:rFonts w:ascii="仿宋" w:hAnsi="仿宋" w:eastAsia="仿宋"/>
          <w:b/>
          <w:szCs w:val="21"/>
          <w:u w:val="single"/>
        </w:rPr>
      </w:pPr>
      <w:r>
        <w:rPr>
          <w:rFonts w:hint="eastAsia" w:ascii="仿宋" w:hAnsi="仿宋" w:eastAsia="仿宋"/>
          <w:szCs w:val="21"/>
        </w:rPr>
        <w:t>2、响应情况（是/否）若为否则继续填写具体建议修改指标，</w:t>
      </w:r>
      <w:r>
        <w:rPr>
          <w:rFonts w:hint="eastAsia" w:ascii="仿宋" w:hAnsi="仿宋" w:eastAsia="仿宋"/>
          <w:b/>
          <w:bCs/>
          <w:szCs w:val="21"/>
        </w:rPr>
        <w:t>建议修改指标须提供相应证明材料</w:t>
      </w:r>
      <w:r>
        <w:rPr>
          <w:rFonts w:hint="eastAsia" w:ascii="仿宋" w:hAnsi="仿宋" w:eastAsia="仿宋"/>
          <w:szCs w:val="21"/>
        </w:rPr>
        <w:t>（</w:t>
      </w:r>
      <w:r>
        <w:rPr>
          <w:rFonts w:hint="eastAsia" w:ascii="仿宋" w:hAnsi="仿宋" w:eastAsia="仿宋" w:cs="仿宋"/>
          <w:bCs/>
          <w:szCs w:val="21"/>
        </w:rPr>
        <w:t>★项</w:t>
      </w:r>
      <w:r>
        <w:rPr>
          <w:rFonts w:hint="eastAsia" w:ascii="仿宋" w:hAnsi="仿宋" w:eastAsia="仿宋"/>
          <w:szCs w:val="21"/>
        </w:rPr>
        <w:t>证明材料须为政府主管部门【或</w:t>
      </w:r>
      <w:r>
        <w:rPr>
          <w:rStyle w:val="22"/>
          <w:rFonts w:hint="eastAsia" w:ascii="仿宋" w:hAnsi="仿宋" w:eastAsia="仿宋" w:cs="仿宋"/>
          <w:bCs/>
          <w:sz w:val="21"/>
          <w:szCs w:val="21"/>
        </w:rPr>
        <w:t>具备CMA&lt;或CNAS&gt;资质检测机构】出具的</w:t>
      </w:r>
      <w:r>
        <w:rPr>
          <w:rFonts w:hint="eastAsia" w:ascii="仿宋" w:hAnsi="仿宋" w:eastAsia="仿宋"/>
          <w:szCs w:val="21"/>
        </w:rPr>
        <w:t>检测报告，非</w:t>
      </w:r>
      <w:r>
        <w:rPr>
          <w:rFonts w:hint="eastAsia" w:ascii="仿宋" w:hAnsi="仿宋" w:eastAsia="仿宋" w:cs="仿宋"/>
          <w:bCs/>
          <w:szCs w:val="21"/>
        </w:rPr>
        <w:t>★项</w:t>
      </w:r>
      <w:r>
        <w:rPr>
          <w:rFonts w:hint="eastAsia" w:ascii="仿宋" w:hAnsi="仿宋" w:eastAsia="仿宋"/>
          <w:szCs w:val="21"/>
        </w:rPr>
        <w:t>证明材料可为除彩页外的其他材料，</w:t>
      </w:r>
      <w:r>
        <w:rPr>
          <w:rFonts w:hint="eastAsia" w:ascii="仿宋" w:hAnsi="仿宋" w:eastAsia="仿宋"/>
          <w:b/>
          <w:bCs/>
          <w:szCs w:val="21"/>
        </w:rPr>
        <w:t>无证明材料则可不予采纳</w:t>
      </w:r>
      <w:r>
        <w:rPr>
          <w:rFonts w:hint="eastAsia" w:ascii="仿宋" w:hAnsi="仿宋" w:eastAsia="仿宋"/>
          <w:szCs w:val="21"/>
        </w:rPr>
        <w:t>；建议修改意见原则上须满足业界主流品牌同档次水平产品且不得为独家），</w:t>
      </w:r>
      <w:r>
        <w:rPr>
          <w:rFonts w:hint="eastAsia" w:ascii="仿宋" w:hAnsi="仿宋" w:eastAsia="仿宋"/>
          <w:b/>
          <w:szCs w:val="21"/>
          <w:u w:val="single"/>
        </w:rPr>
        <w:t>同时务必备注本品牌本规格型号产品相对应的真实指标并标注是否为独家（供医院汇总定稿版参数时选择）；</w:t>
      </w:r>
    </w:p>
    <w:p w14:paraId="11492458">
      <w:pPr>
        <w:widowControl w:val="0"/>
        <w:adjustRightInd/>
        <w:snapToGrid/>
        <w:ind w:firstLine="442" w:firstLineChars="200"/>
        <w:rPr>
          <w:rFonts w:ascii="仿宋" w:hAnsi="仿宋" w:eastAsia="仿宋"/>
          <w:szCs w:val="21"/>
        </w:rPr>
      </w:pPr>
      <w:r>
        <w:rPr>
          <w:rFonts w:hint="eastAsia" w:ascii="仿宋" w:hAnsi="仿宋" w:eastAsia="仿宋"/>
          <w:b/>
          <w:szCs w:val="21"/>
        </w:rPr>
        <w:t>3、杜绝两种现象：如电器类：</w:t>
      </w:r>
      <w:r>
        <w:rPr>
          <w:rFonts w:hint="eastAsia" w:ascii="仿宋" w:hAnsi="仿宋" w:eastAsia="仿宋"/>
          <w:bCs/>
          <w:szCs w:val="21"/>
        </w:rPr>
        <w:t>一是整机保修3年，保修范围不包含须定期更换零部件，须定期更换零部件报价清单如下...；二是将须定期更换零部件变为耗材，恶意降低货物价格，提高耗材价（或直接提高耗材报价）。</w:t>
      </w:r>
    </w:p>
    <w:p w14:paraId="22B2FCCC">
      <w:pPr>
        <w:widowControl w:val="0"/>
        <w:adjustRightInd/>
        <w:snapToGrid/>
        <w:ind w:firstLine="440" w:firstLineChars="200"/>
        <w:rPr>
          <w:rFonts w:ascii="仿宋" w:hAnsi="仿宋" w:eastAsia="仿宋"/>
          <w:b/>
          <w:szCs w:val="21"/>
        </w:rPr>
      </w:pPr>
      <w:r>
        <w:rPr>
          <w:rFonts w:hint="eastAsia" w:ascii="仿宋" w:hAnsi="仿宋" w:eastAsia="仿宋" w:cs="仿宋"/>
          <w:bCs/>
          <w:szCs w:val="21"/>
        </w:rPr>
        <w:t>4、拟设置为★项参数(★项标准：拟购项目核心参数指标</w:t>
      </w:r>
      <w:r>
        <w:rPr>
          <w:rFonts w:hint="eastAsia" w:ascii="仿宋" w:hAnsi="仿宋" w:eastAsia="仿宋" w:cs="仿宋"/>
          <w:b/>
          <w:szCs w:val="21"/>
        </w:rPr>
        <w:t>【如有不妥，请提出并提供权威部门证明文件，否则不予采纳】)</w:t>
      </w:r>
      <w:r>
        <w:rPr>
          <w:rFonts w:hint="eastAsia" w:ascii="仿宋" w:hAnsi="仿宋" w:eastAsia="仿宋" w:cs="仿宋"/>
          <w:bCs/>
          <w:szCs w:val="21"/>
        </w:rPr>
        <w:t>要求投标人在投标文件中所提供的证明材料须为</w:t>
      </w:r>
      <w:r>
        <w:rPr>
          <w:rFonts w:hint="eastAsia" w:ascii="仿宋" w:hAnsi="仿宋" w:eastAsia="仿宋" w:cs="仿宋"/>
          <w:bCs/>
          <w:sz w:val="21"/>
          <w:szCs w:val="21"/>
        </w:rPr>
        <w:t>政府主管部门</w:t>
      </w:r>
      <w:r>
        <w:rPr>
          <w:rFonts w:hint="eastAsia" w:ascii="仿宋" w:hAnsi="仿宋" w:eastAsia="仿宋" w:cs="仿宋"/>
          <w:b/>
          <w:sz w:val="21"/>
          <w:szCs w:val="21"/>
        </w:rPr>
        <w:t>（</w:t>
      </w:r>
      <w:r>
        <w:rPr>
          <w:rStyle w:val="22"/>
          <w:rFonts w:hint="eastAsia" w:ascii="仿宋" w:hAnsi="仿宋" w:eastAsia="仿宋" w:cs="仿宋"/>
          <w:b/>
          <w:sz w:val="21"/>
          <w:szCs w:val="21"/>
        </w:rPr>
        <w:t>或具备CMA【或CNAS】资质检测机构）</w:t>
      </w:r>
      <w:r>
        <w:rPr>
          <w:rStyle w:val="22"/>
          <w:rFonts w:hint="eastAsia" w:ascii="仿宋" w:hAnsi="仿宋" w:eastAsia="仿宋" w:cs="仿宋"/>
          <w:bCs/>
          <w:sz w:val="21"/>
          <w:szCs w:val="21"/>
        </w:rPr>
        <w:t>出具的证明资料原件扫描件。</w:t>
      </w:r>
    </w:p>
    <w:p w14:paraId="31C0127F">
      <w:pPr>
        <w:widowControl w:val="0"/>
        <w:adjustRightInd/>
        <w:snapToGrid/>
        <w:spacing w:line="300" w:lineRule="exact"/>
        <w:ind w:firstLine="562" w:firstLineChars="200"/>
        <w:rPr>
          <w:rFonts w:ascii="仿宋" w:hAnsi="仿宋" w:eastAsia="仿宋"/>
          <w:b/>
          <w:sz w:val="28"/>
          <w:szCs w:val="24"/>
        </w:rPr>
      </w:pPr>
    </w:p>
    <w:p w14:paraId="3ED8AA4E">
      <w:pPr>
        <w:widowControl w:val="0"/>
        <w:adjustRightInd/>
        <w:snapToGrid/>
        <w:spacing w:line="300" w:lineRule="exact"/>
        <w:ind w:firstLine="562" w:firstLineChars="200"/>
        <w:rPr>
          <w:rFonts w:ascii="仿宋" w:hAnsi="仿宋" w:eastAsia="仿宋"/>
          <w:b/>
          <w:sz w:val="28"/>
          <w:szCs w:val="24"/>
        </w:rPr>
      </w:pPr>
    </w:p>
    <w:p w14:paraId="4791F19C">
      <w:pPr>
        <w:widowControl w:val="0"/>
        <w:adjustRightInd/>
        <w:snapToGrid/>
        <w:spacing w:line="300" w:lineRule="exact"/>
        <w:ind w:firstLine="562" w:firstLineChars="200"/>
        <w:rPr>
          <w:rFonts w:ascii="仿宋" w:hAnsi="仿宋" w:eastAsia="仿宋"/>
          <w:b/>
          <w:sz w:val="28"/>
          <w:szCs w:val="24"/>
        </w:rPr>
      </w:pPr>
      <w:r>
        <w:rPr>
          <w:rFonts w:hint="eastAsia" w:ascii="仿宋" w:hAnsi="仿宋" w:eastAsia="仿宋"/>
          <w:b/>
          <w:sz w:val="28"/>
          <w:szCs w:val="24"/>
        </w:rPr>
        <w:t>具体论证内容如下：</w:t>
      </w:r>
    </w:p>
    <w:p w14:paraId="1B867EDE">
      <w:pPr>
        <w:spacing w:line="320" w:lineRule="exact"/>
        <w:rPr>
          <w:rFonts w:ascii="仿宋" w:hAnsi="仿宋" w:eastAsia="仿宋"/>
          <w:b/>
          <w:szCs w:val="21"/>
        </w:rPr>
      </w:pPr>
      <w:r>
        <w:rPr>
          <w:rFonts w:hint="eastAsia" w:ascii="仿宋" w:hAnsi="仿宋" w:eastAsia="仿宋"/>
          <w:b/>
          <w:szCs w:val="21"/>
        </w:rPr>
        <w:t>第一部分：拟购项目初步参数结构</w:t>
      </w:r>
    </w:p>
    <w:p w14:paraId="6DD35C47">
      <w:pPr>
        <w:pStyle w:val="2"/>
        <w:keepNext w:val="0"/>
        <w:keepLines w:val="0"/>
        <w:widowControl/>
        <w:adjustRightInd/>
        <w:spacing w:before="0" w:after="0" w:line="360" w:lineRule="auto"/>
        <w:textAlignment w:val="auto"/>
        <w:rPr>
          <w:rFonts w:ascii="宋体" w:hAnsi="宋体" w:eastAsia="宋体" w:cs="宋体"/>
          <w:color w:val="000000"/>
          <w:sz w:val="24"/>
          <w:szCs w:val="24"/>
        </w:rPr>
      </w:pPr>
      <w:r>
        <w:rPr>
          <w:rFonts w:hint="eastAsia" w:ascii="宋体" w:hAnsi="宋体" w:eastAsia="宋体" w:cs="宋体"/>
          <w:color w:val="000000"/>
          <w:sz w:val="24"/>
          <w:szCs w:val="24"/>
        </w:rPr>
        <w:t>一、项目概况</w:t>
      </w:r>
    </w:p>
    <w:p w14:paraId="3D1F073A">
      <w:pPr>
        <w:spacing w:line="360" w:lineRule="auto"/>
        <w:ind w:left="-363" w:firstLine="480" w:firstLineChars="200"/>
        <w:rPr>
          <w:rFonts w:ascii="宋体" w:hAnsi="宋体" w:cs="宋体"/>
          <w:color w:val="000000"/>
          <w:sz w:val="24"/>
          <w:szCs w:val="24"/>
        </w:rPr>
      </w:pPr>
      <w:r>
        <w:rPr>
          <w:rFonts w:hint="eastAsia" w:ascii="宋体" w:hAnsi="宋体" w:cs="宋体"/>
          <w:color w:val="000000"/>
          <w:sz w:val="24"/>
          <w:szCs w:val="24"/>
        </w:rPr>
        <w:t>1、项目地点：六安市中医院院内指定区域</w:t>
      </w:r>
    </w:p>
    <w:tbl>
      <w:tblPr>
        <w:tblStyle w:val="15"/>
        <w:tblW w:w="856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00"/>
        <w:gridCol w:w="1561"/>
        <w:gridCol w:w="3748"/>
        <w:gridCol w:w="2552"/>
      </w:tblGrid>
      <w:tr w14:paraId="305D58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5" w:hRule="atLeast"/>
        </w:trPr>
        <w:tc>
          <w:tcPr>
            <w:tcW w:w="700" w:type="dxa"/>
          </w:tcPr>
          <w:p w14:paraId="2EA4519C">
            <w:pPr>
              <w:spacing w:line="360" w:lineRule="auto"/>
              <w:rPr>
                <w:rFonts w:ascii="宋体" w:hAnsi="宋体" w:eastAsia="宋体" w:cs="宋体"/>
                <w:color w:val="000000"/>
                <w:kern w:val="2"/>
                <w:sz w:val="24"/>
                <w:szCs w:val="24"/>
              </w:rPr>
            </w:pPr>
            <w:r>
              <w:rPr>
                <w:rFonts w:hint="eastAsia" w:ascii="宋体" w:hAnsi="宋体" w:cs="宋体"/>
                <w:color w:val="000000"/>
                <w:kern w:val="2"/>
                <w:sz w:val="24"/>
                <w:szCs w:val="24"/>
              </w:rPr>
              <w:t>序号</w:t>
            </w:r>
          </w:p>
        </w:tc>
        <w:tc>
          <w:tcPr>
            <w:tcW w:w="1561" w:type="dxa"/>
          </w:tcPr>
          <w:p w14:paraId="67040323">
            <w:pPr>
              <w:spacing w:line="360" w:lineRule="auto"/>
              <w:jc w:val="center"/>
              <w:rPr>
                <w:rFonts w:ascii="宋体" w:hAnsi="宋体" w:eastAsia="宋体" w:cs="宋体"/>
                <w:color w:val="000000"/>
                <w:kern w:val="2"/>
                <w:sz w:val="24"/>
                <w:szCs w:val="24"/>
              </w:rPr>
            </w:pPr>
            <w:r>
              <w:rPr>
                <w:rFonts w:hint="eastAsia" w:ascii="宋体" w:hAnsi="宋体" w:cs="宋体"/>
                <w:color w:val="000000"/>
                <w:kern w:val="2"/>
                <w:sz w:val="24"/>
                <w:szCs w:val="24"/>
              </w:rPr>
              <w:t>安装位置</w:t>
            </w:r>
          </w:p>
        </w:tc>
        <w:tc>
          <w:tcPr>
            <w:tcW w:w="3748" w:type="dxa"/>
          </w:tcPr>
          <w:p w14:paraId="57A201CC">
            <w:pPr>
              <w:spacing w:line="360" w:lineRule="auto"/>
              <w:jc w:val="center"/>
              <w:rPr>
                <w:rFonts w:ascii="宋体" w:hAnsi="宋体" w:cs="宋体"/>
                <w:color w:val="000000"/>
                <w:kern w:val="2"/>
                <w:sz w:val="24"/>
                <w:szCs w:val="24"/>
              </w:rPr>
            </w:pPr>
            <w:r>
              <w:rPr>
                <w:rFonts w:hint="eastAsia" w:ascii="宋体" w:hAnsi="宋体" w:cs="宋体"/>
                <w:color w:val="000000"/>
                <w:kern w:val="2"/>
                <w:sz w:val="24"/>
                <w:szCs w:val="24"/>
              </w:rPr>
              <w:t>建设内容</w:t>
            </w:r>
          </w:p>
        </w:tc>
        <w:tc>
          <w:tcPr>
            <w:tcW w:w="2552" w:type="dxa"/>
          </w:tcPr>
          <w:p w14:paraId="6CDFEB2C">
            <w:pPr>
              <w:spacing w:line="360" w:lineRule="auto"/>
              <w:jc w:val="center"/>
              <w:rPr>
                <w:rFonts w:ascii="宋体" w:hAnsi="宋体" w:cs="宋体"/>
                <w:color w:val="000000"/>
                <w:kern w:val="2"/>
                <w:sz w:val="24"/>
                <w:szCs w:val="24"/>
              </w:rPr>
            </w:pPr>
            <w:r>
              <w:rPr>
                <w:rFonts w:hint="eastAsia" w:ascii="宋体" w:hAnsi="宋体" w:cs="宋体"/>
                <w:color w:val="000000"/>
                <w:kern w:val="2"/>
                <w:sz w:val="24"/>
                <w:szCs w:val="24"/>
              </w:rPr>
              <w:t>图示</w:t>
            </w:r>
          </w:p>
        </w:tc>
      </w:tr>
      <w:tr w14:paraId="4F151E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00" w:hRule="atLeast"/>
        </w:trPr>
        <w:tc>
          <w:tcPr>
            <w:tcW w:w="700" w:type="dxa"/>
            <w:vAlign w:val="center"/>
          </w:tcPr>
          <w:p w14:paraId="6077D397">
            <w:pPr>
              <w:spacing w:line="360" w:lineRule="auto"/>
              <w:jc w:val="center"/>
              <w:rPr>
                <w:rFonts w:ascii="宋体" w:hAnsi="宋体" w:eastAsia="宋体" w:cs="宋体"/>
                <w:color w:val="000000"/>
                <w:kern w:val="2"/>
                <w:sz w:val="24"/>
                <w:szCs w:val="24"/>
              </w:rPr>
            </w:pPr>
            <w:r>
              <w:rPr>
                <w:rFonts w:ascii="宋体" w:hAnsi="宋体" w:cs="宋体"/>
                <w:color w:val="000000"/>
                <w:kern w:val="2"/>
                <w:sz w:val="24"/>
                <w:szCs w:val="24"/>
              </w:rPr>
              <w:t>1</w:t>
            </w:r>
          </w:p>
        </w:tc>
        <w:tc>
          <w:tcPr>
            <w:tcW w:w="1561" w:type="dxa"/>
            <w:vAlign w:val="center"/>
          </w:tcPr>
          <w:p w14:paraId="5C62FB0F">
            <w:pPr>
              <w:spacing w:line="360" w:lineRule="auto"/>
              <w:jc w:val="center"/>
              <w:rPr>
                <w:rFonts w:ascii="宋体" w:hAnsi="宋体" w:cs="宋体"/>
                <w:color w:val="000000"/>
                <w:kern w:val="2"/>
                <w:sz w:val="24"/>
                <w:szCs w:val="24"/>
              </w:rPr>
            </w:pPr>
            <w:r>
              <w:rPr>
                <w:rFonts w:hint="eastAsia" w:ascii="宋体" w:hAnsi="宋体" w:cs="宋体"/>
                <w:kern w:val="2"/>
                <w:sz w:val="24"/>
                <w:szCs w:val="24"/>
              </w:rPr>
              <w:t>西南拐角围墙处</w:t>
            </w:r>
          </w:p>
        </w:tc>
        <w:tc>
          <w:tcPr>
            <w:tcW w:w="3748" w:type="dxa"/>
            <w:vAlign w:val="center"/>
          </w:tcPr>
          <w:p w14:paraId="43836F26">
            <w:pPr>
              <w:spacing w:line="360" w:lineRule="auto"/>
              <w:jc w:val="center"/>
              <w:rPr>
                <w:rFonts w:ascii="宋体" w:hAnsi="宋体" w:cs="宋体"/>
                <w:kern w:val="2"/>
                <w:sz w:val="24"/>
                <w:szCs w:val="24"/>
              </w:rPr>
            </w:pPr>
            <w:r>
              <w:rPr>
                <w:rFonts w:hint="eastAsia" w:ascii="宋体" w:hAnsi="宋体" w:cs="宋体"/>
                <w:kern w:val="2"/>
                <w:sz w:val="24"/>
                <w:szCs w:val="24"/>
              </w:rPr>
              <w:t>建设22米钢结构膜结构背靠背双向车棚，配套布设背靠背双向充电桩总长44米</w:t>
            </w:r>
          </w:p>
        </w:tc>
        <w:tc>
          <w:tcPr>
            <w:tcW w:w="2552" w:type="dxa"/>
            <w:vAlign w:val="center"/>
          </w:tcPr>
          <w:p w14:paraId="530D32EC">
            <w:pPr>
              <w:spacing w:line="360" w:lineRule="auto"/>
              <w:jc w:val="center"/>
              <w:rPr>
                <w:rFonts w:ascii="宋体" w:hAnsi="宋体" w:cs="宋体"/>
                <w:kern w:val="2"/>
                <w:sz w:val="24"/>
                <w:szCs w:val="24"/>
              </w:rPr>
            </w:pPr>
            <w:r>
              <w:rPr>
                <w:rFonts w:ascii="宋体" w:hAnsi="宋体" w:cs="宋体"/>
                <w:kern w:val="2"/>
                <w:sz w:val="24"/>
                <w:szCs w:val="24"/>
              </w:rPr>
              <w:drawing>
                <wp:inline distT="0" distB="0" distL="114300" distR="114300">
                  <wp:extent cx="1440180" cy="899795"/>
                  <wp:effectExtent l="0" t="0" r="7620" b="14605"/>
                  <wp:docPr id="5" name="图片 5" descr="af34a39938c4af6a069ea31fc071da01"/>
                  <wp:cNvGraphicFramePr/>
                  <a:graphic xmlns:a="http://schemas.openxmlformats.org/drawingml/2006/main">
                    <a:graphicData uri="http://schemas.openxmlformats.org/drawingml/2006/picture">
                      <pic:pic xmlns:pic="http://schemas.openxmlformats.org/drawingml/2006/picture">
                        <pic:nvPicPr>
                          <pic:cNvPr id="5" name="图片 5" descr="af34a39938c4af6a069ea31fc071da01"/>
                          <pic:cNvPicPr/>
                        </pic:nvPicPr>
                        <pic:blipFill>
                          <a:blip r:embed="rId6"/>
                          <a:stretch>
                            <a:fillRect/>
                          </a:stretch>
                        </pic:blipFill>
                        <pic:spPr>
                          <a:xfrm>
                            <a:off x="0" y="0"/>
                            <a:ext cx="1440180" cy="899795"/>
                          </a:xfrm>
                          <a:prstGeom prst="rect">
                            <a:avLst/>
                          </a:prstGeom>
                        </pic:spPr>
                      </pic:pic>
                    </a:graphicData>
                  </a:graphic>
                </wp:inline>
              </w:drawing>
            </w:r>
          </w:p>
        </w:tc>
      </w:tr>
      <w:tr w14:paraId="555ABC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00" w:hRule="atLeast"/>
        </w:trPr>
        <w:tc>
          <w:tcPr>
            <w:tcW w:w="700" w:type="dxa"/>
            <w:vAlign w:val="center"/>
          </w:tcPr>
          <w:p w14:paraId="7DE6AA0C">
            <w:pPr>
              <w:spacing w:line="360" w:lineRule="auto"/>
              <w:jc w:val="center"/>
              <w:rPr>
                <w:rFonts w:ascii="宋体" w:hAnsi="宋体" w:cs="宋体"/>
                <w:color w:val="000000"/>
                <w:kern w:val="2"/>
                <w:sz w:val="24"/>
                <w:szCs w:val="24"/>
              </w:rPr>
            </w:pPr>
            <w:r>
              <w:rPr>
                <w:rFonts w:ascii="宋体" w:hAnsi="宋体" w:cs="宋体"/>
                <w:color w:val="000000"/>
                <w:kern w:val="2"/>
                <w:sz w:val="24"/>
                <w:szCs w:val="24"/>
              </w:rPr>
              <w:t>2</w:t>
            </w:r>
          </w:p>
        </w:tc>
        <w:tc>
          <w:tcPr>
            <w:tcW w:w="1561" w:type="dxa"/>
            <w:vAlign w:val="center"/>
          </w:tcPr>
          <w:p w14:paraId="10DC96B1">
            <w:pPr>
              <w:spacing w:line="360" w:lineRule="auto"/>
              <w:jc w:val="center"/>
              <w:rPr>
                <w:rFonts w:ascii="宋体" w:hAnsi="宋体" w:cs="宋体"/>
                <w:kern w:val="2"/>
                <w:sz w:val="24"/>
                <w:szCs w:val="24"/>
              </w:rPr>
            </w:pPr>
            <w:r>
              <w:rPr>
                <w:rFonts w:hint="eastAsia" w:ascii="宋体" w:hAnsi="宋体" w:cs="宋体"/>
                <w:kern w:val="2"/>
                <w:sz w:val="24"/>
                <w:szCs w:val="24"/>
              </w:rPr>
              <w:t>二号楼南门口围墙处</w:t>
            </w:r>
          </w:p>
        </w:tc>
        <w:tc>
          <w:tcPr>
            <w:tcW w:w="3748" w:type="dxa"/>
            <w:vAlign w:val="center"/>
          </w:tcPr>
          <w:p w14:paraId="6E1E1487">
            <w:pPr>
              <w:spacing w:line="360" w:lineRule="auto"/>
              <w:jc w:val="center"/>
              <w:rPr>
                <w:rFonts w:ascii="宋体" w:hAnsi="宋体" w:cs="宋体"/>
                <w:kern w:val="2"/>
                <w:sz w:val="24"/>
                <w:szCs w:val="24"/>
              </w:rPr>
            </w:pPr>
            <w:r>
              <w:rPr>
                <w:rFonts w:hint="eastAsia" w:ascii="宋体" w:hAnsi="宋体" w:cs="宋体"/>
                <w:kern w:val="2"/>
                <w:sz w:val="24"/>
                <w:szCs w:val="24"/>
              </w:rPr>
              <w:t>建设单排钢结构膜结构车棚，配套单排充电桩布设总长52米</w:t>
            </w:r>
          </w:p>
        </w:tc>
        <w:tc>
          <w:tcPr>
            <w:tcW w:w="2552" w:type="dxa"/>
            <w:vAlign w:val="center"/>
          </w:tcPr>
          <w:p w14:paraId="21A49EBF">
            <w:pPr>
              <w:spacing w:line="360" w:lineRule="auto"/>
              <w:jc w:val="center"/>
              <w:rPr>
                <w:rFonts w:ascii="宋体" w:hAnsi="宋体" w:cs="宋体"/>
                <w:kern w:val="2"/>
                <w:sz w:val="24"/>
                <w:szCs w:val="24"/>
              </w:rPr>
            </w:pPr>
            <w:r>
              <w:rPr>
                <w:rFonts w:ascii="宋体" w:hAnsi="宋体" w:cs="宋体"/>
                <w:kern w:val="2"/>
                <w:sz w:val="24"/>
                <w:szCs w:val="24"/>
              </w:rPr>
              <w:drawing>
                <wp:inline distT="0" distB="0" distL="114300" distR="114300">
                  <wp:extent cx="1440180" cy="899795"/>
                  <wp:effectExtent l="0" t="0" r="7620" b="14605"/>
                  <wp:docPr id="6" name="图片 6" descr="954ccbfb8dce182c592a3c45d1156cc4"/>
                  <wp:cNvGraphicFramePr/>
                  <a:graphic xmlns:a="http://schemas.openxmlformats.org/drawingml/2006/main">
                    <a:graphicData uri="http://schemas.openxmlformats.org/drawingml/2006/picture">
                      <pic:pic xmlns:pic="http://schemas.openxmlformats.org/drawingml/2006/picture">
                        <pic:nvPicPr>
                          <pic:cNvPr id="6" name="图片 6" descr="954ccbfb8dce182c592a3c45d1156cc4"/>
                          <pic:cNvPicPr/>
                        </pic:nvPicPr>
                        <pic:blipFill>
                          <a:blip r:embed="rId7"/>
                          <a:stretch>
                            <a:fillRect/>
                          </a:stretch>
                        </pic:blipFill>
                        <pic:spPr>
                          <a:xfrm>
                            <a:off x="0" y="0"/>
                            <a:ext cx="1440180" cy="899795"/>
                          </a:xfrm>
                          <a:prstGeom prst="rect">
                            <a:avLst/>
                          </a:prstGeom>
                        </pic:spPr>
                      </pic:pic>
                    </a:graphicData>
                  </a:graphic>
                </wp:inline>
              </w:drawing>
            </w:r>
          </w:p>
        </w:tc>
      </w:tr>
      <w:tr w14:paraId="64D257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36" w:hRule="atLeast"/>
        </w:trPr>
        <w:tc>
          <w:tcPr>
            <w:tcW w:w="700" w:type="dxa"/>
            <w:vAlign w:val="center"/>
          </w:tcPr>
          <w:p w14:paraId="214F352F">
            <w:pPr>
              <w:spacing w:line="360" w:lineRule="auto"/>
              <w:jc w:val="center"/>
              <w:rPr>
                <w:rFonts w:ascii="宋体" w:hAnsi="宋体" w:cs="宋体"/>
                <w:color w:val="000000"/>
                <w:kern w:val="2"/>
                <w:sz w:val="24"/>
                <w:szCs w:val="24"/>
              </w:rPr>
            </w:pPr>
            <w:r>
              <w:rPr>
                <w:rFonts w:ascii="宋体" w:hAnsi="宋体" w:cs="宋体"/>
                <w:color w:val="000000"/>
                <w:kern w:val="2"/>
                <w:sz w:val="24"/>
                <w:szCs w:val="24"/>
              </w:rPr>
              <w:t>3</w:t>
            </w:r>
          </w:p>
        </w:tc>
        <w:tc>
          <w:tcPr>
            <w:tcW w:w="1561" w:type="dxa"/>
            <w:vAlign w:val="center"/>
          </w:tcPr>
          <w:p w14:paraId="62E673CB">
            <w:pPr>
              <w:spacing w:line="360" w:lineRule="auto"/>
              <w:jc w:val="center"/>
              <w:rPr>
                <w:rFonts w:ascii="宋体" w:hAnsi="宋体" w:cs="宋体"/>
                <w:kern w:val="2"/>
                <w:sz w:val="24"/>
                <w:szCs w:val="24"/>
              </w:rPr>
            </w:pPr>
            <w:r>
              <w:rPr>
                <w:rFonts w:hint="eastAsia" w:ascii="宋体" w:hAnsi="宋体" w:cs="宋体"/>
                <w:kern w:val="2"/>
                <w:sz w:val="24"/>
                <w:szCs w:val="24"/>
              </w:rPr>
              <w:t>三号楼东侧坡道下洞口</w:t>
            </w:r>
          </w:p>
        </w:tc>
        <w:tc>
          <w:tcPr>
            <w:tcW w:w="3748" w:type="dxa"/>
            <w:vAlign w:val="center"/>
          </w:tcPr>
          <w:p w14:paraId="5E51601B">
            <w:pPr>
              <w:spacing w:after="120" w:line="360" w:lineRule="auto"/>
              <w:jc w:val="center"/>
              <w:rPr>
                <w:rFonts w:ascii="宋体" w:hAnsi="宋体" w:cs="宋体"/>
                <w:kern w:val="2"/>
                <w:sz w:val="24"/>
                <w:szCs w:val="24"/>
              </w:rPr>
            </w:pPr>
            <w:r>
              <w:rPr>
                <w:rFonts w:hint="eastAsia" w:ascii="宋体" w:hAnsi="宋体" w:cs="宋体"/>
                <w:kern w:val="2"/>
                <w:sz w:val="24"/>
                <w:szCs w:val="24"/>
              </w:rPr>
              <w:t>布设单排充电桩总长24米，不建设车棚</w:t>
            </w:r>
          </w:p>
        </w:tc>
        <w:tc>
          <w:tcPr>
            <w:tcW w:w="2552" w:type="dxa"/>
            <w:vAlign w:val="center"/>
          </w:tcPr>
          <w:p w14:paraId="38F337EC">
            <w:pPr>
              <w:spacing w:after="120" w:line="360" w:lineRule="auto"/>
              <w:jc w:val="center"/>
              <w:rPr>
                <w:rFonts w:ascii="宋体" w:hAnsi="宋体" w:cs="宋体"/>
                <w:kern w:val="2"/>
                <w:sz w:val="24"/>
                <w:szCs w:val="24"/>
              </w:rPr>
            </w:pPr>
            <w:r>
              <w:rPr>
                <w:rFonts w:ascii="宋体" w:hAnsi="宋体" w:cs="宋体"/>
                <w:kern w:val="2"/>
                <w:sz w:val="24"/>
                <w:szCs w:val="24"/>
              </w:rPr>
              <w:drawing>
                <wp:inline distT="0" distB="0" distL="114300" distR="114300">
                  <wp:extent cx="1440180" cy="899795"/>
                  <wp:effectExtent l="0" t="0" r="7620" b="14605"/>
                  <wp:docPr id="7" name="图片 7" descr="8c296bcf190778a58e76ad5573f1600e"/>
                  <wp:cNvGraphicFramePr/>
                  <a:graphic xmlns:a="http://schemas.openxmlformats.org/drawingml/2006/main">
                    <a:graphicData uri="http://schemas.openxmlformats.org/drawingml/2006/picture">
                      <pic:pic xmlns:pic="http://schemas.openxmlformats.org/drawingml/2006/picture">
                        <pic:nvPicPr>
                          <pic:cNvPr id="7" name="图片 7" descr="8c296bcf190778a58e76ad5573f1600e"/>
                          <pic:cNvPicPr/>
                        </pic:nvPicPr>
                        <pic:blipFill>
                          <a:blip r:embed="rId8"/>
                          <a:stretch>
                            <a:fillRect/>
                          </a:stretch>
                        </pic:blipFill>
                        <pic:spPr>
                          <a:xfrm>
                            <a:off x="0" y="0"/>
                            <a:ext cx="1440180" cy="899795"/>
                          </a:xfrm>
                          <a:prstGeom prst="rect">
                            <a:avLst/>
                          </a:prstGeom>
                        </pic:spPr>
                      </pic:pic>
                    </a:graphicData>
                  </a:graphic>
                </wp:inline>
              </w:drawing>
            </w:r>
          </w:p>
        </w:tc>
      </w:tr>
      <w:tr w14:paraId="572C08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46" w:hRule="atLeast"/>
        </w:trPr>
        <w:tc>
          <w:tcPr>
            <w:tcW w:w="700" w:type="dxa"/>
            <w:vAlign w:val="center"/>
          </w:tcPr>
          <w:p w14:paraId="6555C24E">
            <w:pPr>
              <w:spacing w:line="360" w:lineRule="auto"/>
              <w:jc w:val="center"/>
              <w:rPr>
                <w:rFonts w:ascii="宋体" w:hAnsi="宋体" w:cs="宋体"/>
                <w:color w:val="000000"/>
                <w:kern w:val="2"/>
                <w:sz w:val="24"/>
                <w:szCs w:val="24"/>
              </w:rPr>
            </w:pPr>
            <w:r>
              <w:rPr>
                <w:rFonts w:ascii="宋体" w:hAnsi="宋体" w:cs="宋体"/>
                <w:color w:val="000000"/>
                <w:kern w:val="2"/>
                <w:sz w:val="24"/>
                <w:szCs w:val="24"/>
              </w:rPr>
              <w:t>4</w:t>
            </w:r>
          </w:p>
        </w:tc>
        <w:tc>
          <w:tcPr>
            <w:tcW w:w="1561" w:type="dxa"/>
            <w:vAlign w:val="center"/>
          </w:tcPr>
          <w:p w14:paraId="2BFAFF3E">
            <w:pPr>
              <w:spacing w:line="360" w:lineRule="auto"/>
              <w:jc w:val="center"/>
              <w:rPr>
                <w:rFonts w:ascii="宋体" w:hAnsi="宋体" w:cs="宋体"/>
                <w:kern w:val="2"/>
                <w:sz w:val="24"/>
                <w:szCs w:val="24"/>
              </w:rPr>
            </w:pPr>
            <w:r>
              <w:rPr>
                <w:rFonts w:hint="eastAsia" w:ascii="宋体" w:hAnsi="宋体" w:cs="宋体"/>
                <w:kern w:val="2"/>
                <w:sz w:val="24"/>
                <w:szCs w:val="24"/>
              </w:rPr>
              <w:t>一号楼西侧围墙处</w:t>
            </w:r>
          </w:p>
        </w:tc>
        <w:tc>
          <w:tcPr>
            <w:tcW w:w="3748" w:type="dxa"/>
            <w:vAlign w:val="center"/>
          </w:tcPr>
          <w:p w14:paraId="0A514AF0">
            <w:pPr>
              <w:spacing w:line="360" w:lineRule="auto"/>
              <w:jc w:val="center"/>
              <w:rPr>
                <w:rFonts w:ascii="宋体" w:hAnsi="宋体" w:cs="宋体"/>
                <w:kern w:val="2"/>
                <w:sz w:val="24"/>
                <w:szCs w:val="24"/>
              </w:rPr>
            </w:pPr>
            <w:r>
              <w:rPr>
                <w:rFonts w:hint="eastAsia" w:ascii="宋体" w:hAnsi="宋体" w:cs="宋体"/>
                <w:kern w:val="2"/>
                <w:sz w:val="24"/>
                <w:szCs w:val="24"/>
              </w:rPr>
              <w:t>布设单排充电桩总长30米，不建设车棚</w:t>
            </w:r>
          </w:p>
        </w:tc>
        <w:tc>
          <w:tcPr>
            <w:tcW w:w="2552" w:type="dxa"/>
            <w:vAlign w:val="center"/>
          </w:tcPr>
          <w:p w14:paraId="46F08F4F">
            <w:pPr>
              <w:spacing w:line="360" w:lineRule="auto"/>
              <w:jc w:val="center"/>
              <w:rPr>
                <w:rFonts w:ascii="宋体" w:hAnsi="宋体" w:cs="宋体"/>
                <w:kern w:val="2"/>
                <w:sz w:val="24"/>
                <w:szCs w:val="24"/>
              </w:rPr>
            </w:pPr>
            <w:r>
              <w:rPr>
                <w:rFonts w:ascii="宋体" w:hAnsi="宋体" w:cs="宋体"/>
                <w:kern w:val="2"/>
                <w:sz w:val="24"/>
                <w:szCs w:val="24"/>
              </w:rPr>
              <w:drawing>
                <wp:inline distT="0" distB="0" distL="114300" distR="114300">
                  <wp:extent cx="1440180" cy="899795"/>
                  <wp:effectExtent l="0" t="0" r="7620" b="14605"/>
                  <wp:docPr id="8" name="图片 8" descr="fd803a1b8357a7a0103fe7f048dd9af5"/>
                  <wp:cNvGraphicFramePr/>
                  <a:graphic xmlns:a="http://schemas.openxmlformats.org/drawingml/2006/main">
                    <a:graphicData uri="http://schemas.openxmlformats.org/drawingml/2006/picture">
                      <pic:pic xmlns:pic="http://schemas.openxmlformats.org/drawingml/2006/picture">
                        <pic:nvPicPr>
                          <pic:cNvPr id="8" name="图片 8" descr="fd803a1b8357a7a0103fe7f048dd9af5"/>
                          <pic:cNvPicPr/>
                        </pic:nvPicPr>
                        <pic:blipFill>
                          <a:blip r:embed="rId9"/>
                          <a:stretch>
                            <a:fillRect/>
                          </a:stretch>
                        </pic:blipFill>
                        <pic:spPr>
                          <a:xfrm>
                            <a:off x="0" y="0"/>
                            <a:ext cx="1440180" cy="899795"/>
                          </a:xfrm>
                          <a:prstGeom prst="rect">
                            <a:avLst/>
                          </a:prstGeom>
                        </pic:spPr>
                      </pic:pic>
                    </a:graphicData>
                  </a:graphic>
                </wp:inline>
              </w:drawing>
            </w:r>
          </w:p>
        </w:tc>
      </w:tr>
    </w:tbl>
    <w:p w14:paraId="521DDE03">
      <w:pPr>
        <w:spacing w:line="320" w:lineRule="exact"/>
        <w:rPr>
          <w:rFonts w:hint="eastAsia" w:ascii="仿宋" w:hAnsi="仿宋" w:eastAsia="仿宋"/>
          <w:b/>
          <w:szCs w:val="21"/>
        </w:rPr>
      </w:pPr>
    </w:p>
    <w:p w14:paraId="3042EC6D">
      <w:pPr>
        <w:spacing w:line="320" w:lineRule="exact"/>
        <w:rPr>
          <w:rFonts w:ascii="仿宋" w:hAnsi="仿宋" w:eastAsia="仿宋"/>
          <w:b/>
          <w:szCs w:val="21"/>
        </w:rPr>
      </w:pPr>
      <w:r>
        <w:rPr>
          <w:rFonts w:hint="eastAsia" w:ascii="仿宋" w:hAnsi="仿宋" w:eastAsia="仿宋"/>
          <w:b/>
          <w:szCs w:val="21"/>
        </w:rPr>
        <w:t>第一部分：拟购项目初步参数结构</w:t>
      </w:r>
    </w:p>
    <w:tbl>
      <w:tblPr>
        <w:tblStyle w:val="15"/>
        <w:tblW w:w="9497" w:type="dxa"/>
        <w:tblInd w:w="-43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85"/>
        <w:gridCol w:w="1575"/>
        <w:gridCol w:w="2760"/>
        <w:gridCol w:w="930"/>
        <w:gridCol w:w="975"/>
        <w:gridCol w:w="1440"/>
        <w:gridCol w:w="1232"/>
      </w:tblGrid>
      <w:tr w14:paraId="531290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0" w:type="dxa"/>
            <w:gridSpan w:val="4"/>
          </w:tcPr>
          <w:p w14:paraId="1211D412">
            <w:pPr>
              <w:spacing w:line="320" w:lineRule="exact"/>
              <w:jc w:val="center"/>
              <w:rPr>
                <w:rFonts w:ascii="仿宋" w:hAnsi="仿宋" w:eastAsia="仿宋"/>
                <w:bCs/>
                <w:kern w:val="2"/>
                <w:szCs w:val="21"/>
              </w:rPr>
            </w:pPr>
            <w:r>
              <w:rPr>
                <w:rFonts w:hint="eastAsia" w:ascii="仿宋" w:hAnsi="仿宋" w:eastAsia="仿宋"/>
                <w:bCs/>
                <w:kern w:val="2"/>
                <w:szCs w:val="21"/>
              </w:rPr>
              <w:t>本项目初步参数拟设置情况</w:t>
            </w:r>
          </w:p>
        </w:tc>
        <w:tc>
          <w:tcPr>
            <w:tcW w:w="975" w:type="dxa"/>
            <w:vMerge w:val="restart"/>
          </w:tcPr>
          <w:p w14:paraId="248A199B">
            <w:pPr>
              <w:spacing w:line="320" w:lineRule="exact"/>
              <w:jc w:val="center"/>
              <w:rPr>
                <w:rFonts w:ascii="仿宋" w:hAnsi="仿宋"/>
                <w:bCs/>
                <w:kern w:val="2"/>
                <w:szCs w:val="21"/>
              </w:rPr>
            </w:pPr>
            <w:r>
              <w:rPr>
                <w:rFonts w:hint="eastAsia" w:ascii="仿宋" w:hAnsi="仿宋" w:eastAsia="仿宋"/>
                <w:bCs/>
                <w:kern w:val="2"/>
                <w:szCs w:val="21"/>
              </w:rPr>
              <w:t>响应情况</w:t>
            </w:r>
          </w:p>
        </w:tc>
        <w:tc>
          <w:tcPr>
            <w:tcW w:w="1440" w:type="dxa"/>
            <w:vMerge w:val="restart"/>
          </w:tcPr>
          <w:p w14:paraId="6476811C">
            <w:pPr>
              <w:spacing w:line="320" w:lineRule="exact"/>
              <w:jc w:val="center"/>
              <w:rPr>
                <w:rFonts w:ascii="仿宋" w:hAnsi="仿宋" w:eastAsia="仿宋"/>
                <w:bCs/>
                <w:kern w:val="2"/>
                <w:szCs w:val="21"/>
              </w:rPr>
            </w:pPr>
            <w:r>
              <w:rPr>
                <w:rFonts w:hint="eastAsia" w:ascii="仿宋" w:hAnsi="仿宋" w:eastAsia="仿宋"/>
                <w:bCs/>
                <w:kern w:val="2"/>
                <w:szCs w:val="21"/>
              </w:rPr>
              <w:t>建议修改指标</w:t>
            </w:r>
          </w:p>
        </w:tc>
        <w:tc>
          <w:tcPr>
            <w:tcW w:w="1232" w:type="dxa"/>
            <w:vMerge w:val="restart"/>
          </w:tcPr>
          <w:p w14:paraId="70F0AAA7">
            <w:pPr>
              <w:spacing w:line="320" w:lineRule="exact"/>
              <w:jc w:val="center"/>
              <w:rPr>
                <w:rFonts w:ascii="仿宋" w:hAnsi="仿宋" w:eastAsia="仿宋"/>
                <w:bCs/>
                <w:kern w:val="2"/>
                <w:szCs w:val="21"/>
              </w:rPr>
            </w:pPr>
            <w:r>
              <w:rPr>
                <w:rFonts w:hint="eastAsia" w:ascii="仿宋" w:hAnsi="仿宋" w:eastAsia="仿宋"/>
                <w:bCs/>
                <w:kern w:val="2"/>
                <w:szCs w:val="21"/>
              </w:rPr>
              <w:t>备注（真实指标、是否独家、是否提供有效检测报告）</w:t>
            </w:r>
          </w:p>
        </w:tc>
      </w:tr>
      <w:tr w14:paraId="12EBFC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014EBD8D">
            <w:pPr>
              <w:spacing w:line="320" w:lineRule="exact"/>
              <w:jc w:val="center"/>
              <w:rPr>
                <w:rFonts w:ascii="仿宋" w:hAnsi="仿宋" w:eastAsia="仿宋"/>
                <w:bCs/>
                <w:kern w:val="2"/>
                <w:szCs w:val="21"/>
              </w:rPr>
            </w:pPr>
            <w:r>
              <w:rPr>
                <w:rFonts w:hint="eastAsia" w:ascii="仿宋" w:hAnsi="仿宋" w:eastAsia="仿宋"/>
                <w:bCs/>
                <w:kern w:val="2"/>
                <w:szCs w:val="21"/>
              </w:rPr>
              <w:t>序号</w:t>
            </w:r>
          </w:p>
        </w:tc>
        <w:tc>
          <w:tcPr>
            <w:tcW w:w="1575" w:type="dxa"/>
          </w:tcPr>
          <w:p w14:paraId="3030CDB9">
            <w:pPr>
              <w:spacing w:line="320" w:lineRule="exact"/>
              <w:jc w:val="center"/>
              <w:rPr>
                <w:rFonts w:ascii="仿宋" w:hAnsi="仿宋" w:eastAsia="仿宋"/>
                <w:bCs/>
                <w:kern w:val="2"/>
                <w:szCs w:val="21"/>
              </w:rPr>
            </w:pPr>
            <w:r>
              <w:rPr>
                <w:rFonts w:hint="eastAsia" w:ascii="仿宋" w:hAnsi="仿宋" w:eastAsia="仿宋"/>
                <w:bCs/>
                <w:kern w:val="2"/>
                <w:szCs w:val="21"/>
              </w:rPr>
              <w:t>参数名称</w:t>
            </w:r>
          </w:p>
        </w:tc>
        <w:tc>
          <w:tcPr>
            <w:tcW w:w="2760" w:type="dxa"/>
          </w:tcPr>
          <w:p w14:paraId="5996DF1F">
            <w:pPr>
              <w:spacing w:line="320" w:lineRule="exact"/>
              <w:jc w:val="center"/>
              <w:rPr>
                <w:rFonts w:ascii="仿宋" w:hAnsi="仿宋" w:eastAsia="仿宋"/>
                <w:bCs/>
                <w:kern w:val="2"/>
                <w:szCs w:val="21"/>
              </w:rPr>
            </w:pPr>
            <w:r>
              <w:rPr>
                <w:rFonts w:hint="eastAsia" w:ascii="仿宋" w:hAnsi="仿宋" w:eastAsia="仿宋"/>
                <w:bCs/>
                <w:kern w:val="2"/>
                <w:szCs w:val="21"/>
              </w:rPr>
              <w:t>初步参数设置情况</w:t>
            </w:r>
          </w:p>
        </w:tc>
        <w:tc>
          <w:tcPr>
            <w:tcW w:w="930" w:type="dxa"/>
          </w:tcPr>
          <w:p w14:paraId="51D44460">
            <w:pPr>
              <w:spacing w:line="320" w:lineRule="exact"/>
              <w:jc w:val="center"/>
              <w:rPr>
                <w:rFonts w:ascii="仿宋" w:hAnsi="仿宋" w:eastAsia="仿宋"/>
                <w:bCs/>
                <w:kern w:val="2"/>
                <w:szCs w:val="21"/>
              </w:rPr>
            </w:pPr>
            <w:r>
              <w:rPr>
                <w:rFonts w:hint="eastAsia" w:ascii="仿宋" w:hAnsi="仿宋" w:eastAsia="仿宋"/>
                <w:bCs/>
                <w:kern w:val="2"/>
                <w:szCs w:val="21"/>
              </w:rPr>
              <w:t>是否设置为为★</w:t>
            </w:r>
          </w:p>
        </w:tc>
        <w:tc>
          <w:tcPr>
            <w:tcW w:w="975" w:type="dxa"/>
            <w:vMerge w:val="continue"/>
          </w:tcPr>
          <w:p w14:paraId="46D3D804">
            <w:pPr>
              <w:spacing w:line="320" w:lineRule="exact"/>
              <w:rPr>
                <w:rFonts w:ascii="仿宋" w:hAnsi="仿宋" w:eastAsia="仿宋"/>
                <w:bCs/>
                <w:kern w:val="2"/>
                <w:szCs w:val="21"/>
              </w:rPr>
            </w:pPr>
          </w:p>
        </w:tc>
        <w:tc>
          <w:tcPr>
            <w:tcW w:w="1440" w:type="dxa"/>
            <w:vMerge w:val="continue"/>
          </w:tcPr>
          <w:p w14:paraId="7994F032">
            <w:pPr>
              <w:spacing w:line="320" w:lineRule="exact"/>
              <w:rPr>
                <w:rFonts w:ascii="仿宋" w:hAnsi="仿宋" w:eastAsia="仿宋"/>
                <w:bCs/>
                <w:kern w:val="2"/>
                <w:szCs w:val="21"/>
              </w:rPr>
            </w:pPr>
          </w:p>
        </w:tc>
        <w:tc>
          <w:tcPr>
            <w:tcW w:w="1232" w:type="dxa"/>
            <w:vMerge w:val="continue"/>
          </w:tcPr>
          <w:p w14:paraId="0A14D393">
            <w:pPr>
              <w:spacing w:line="320" w:lineRule="exact"/>
              <w:rPr>
                <w:rFonts w:ascii="仿宋" w:hAnsi="仿宋" w:eastAsia="仿宋"/>
                <w:bCs/>
                <w:kern w:val="2"/>
                <w:szCs w:val="21"/>
              </w:rPr>
            </w:pPr>
          </w:p>
        </w:tc>
      </w:tr>
      <w:tr w14:paraId="19B5A1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43" w:hRule="atLeast"/>
        </w:trPr>
        <w:tc>
          <w:tcPr>
            <w:tcW w:w="585" w:type="dxa"/>
          </w:tcPr>
          <w:p w14:paraId="38C03708">
            <w:pPr>
              <w:spacing w:line="320" w:lineRule="exact"/>
              <w:rPr>
                <w:rFonts w:ascii="仿宋" w:hAnsi="仿宋" w:eastAsia="仿宋"/>
                <w:bCs/>
                <w:kern w:val="2"/>
                <w:szCs w:val="21"/>
              </w:rPr>
            </w:pPr>
            <w:r>
              <w:rPr>
                <w:rFonts w:hint="eastAsia" w:ascii="仿宋" w:hAnsi="仿宋" w:eastAsia="仿宋"/>
                <w:bCs/>
                <w:kern w:val="2"/>
                <w:szCs w:val="21"/>
              </w:rPr>
              <w:t>1</w:t>
            </w:r>
          </w:p>
        </w:tc>
        <w:tc>
          <w:tcPr>
            <w:tcW w:w="1575" w:type="dxa"/>
          </w:tcPr>
          <w:p w14:paraId="70970B65">
            <w:pPr>
              <w:spacing w:line="320" w:lineRule="exact"/>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建设内容</w:t>
            </w:r>
          </w:p>
        </w:tc>
        <w:tc>
          <w:tcPr>
            <w:tcW w:w="2760" w:type="dxa"/>
          </w:tcPr>
          <w:p w14:paraId="2E78430B">
            <w:pPr>
              <w:spacing w:line="320" w:lineRule="exact"/>
              <w:rPr>
                <w:rFonts w:ascii="仿宋" w:hAnsi="仿宋" w:eastAsia="仿宋"/>
                <w:bCs/>
                <w:kern w:val="2"/>
                <w:szCs w:val="21"/>
              </w:rPr>
            </w:pPr>
            <w:r>
              <w:rPr>
                <w:rFonts w:hint="eastAsia" w:ascii="仿宋" w:hAnsi="仿宋" w:eastAsia="仿宋"/>
                <w:bCs/>
                <w:kern w:val="2"/>
                <w:szCs w:val="21"/>
              </w:rPr>
              <w:t>充电桩配套电缆敷设总长150米，钢结构膜结构电动自行车车棚总长96米；采购人后期结合院区整体规划、现场使用需求、供应商年度服务考核结果，可要求供应商在本次采购需求之外是否再新增充电桩点位或新增车棚（≤200平方），供应商5年服务期内须全程积极配合采购人所有扩容、改造、移位、增设配套设施等服务需求，不得设置额外门槛、加价推诿。</w:t>
            </w:r>
          </w:p>
        </w:tc>
        <w:tc>
          <w:tcPr>
            <w:tcW w:w="930" w:type="dxa"/>
          </w:tcPr>
          <w:p w14:paraId="6DDA0EE7">
            <w:pPr>
              <w:spacing w:line="320" w:lineRule="exact"/>
              <w:rPr>
                <w:rFonts w:ascii="仿宋" w:hAnsi="仿宋" w:eastAsia="仿宋"/>
                <w:bCs/>
                <w:kern w:val="2"/>
                <w:szCs w:val="21"/>
              </w:rPr>
            </w:pPr>
          </w:p>
        </w:tc>
        <w:tc>
          <w:tcPr>
            <w:tcW w:w="975" w:type="dxa"/>
          </w:tcPr>
          <w:p w14:paraId="46120491">
            <w:pPr>
              <w:spacing w:line="320" w:lineRule="exact"/>
              <w:rPr>
                <w:rFonts w:ascii="仿宋" w:hAnsi="仿宋" w:eastAsia="仿宋"/>
                <w:bCs/>
                <w:kern w:val="2"/>
                <w:szCs w:val="21"/>
              </w:rPr>
            </w:pPr>
          </w:p>
        </w:tc>
        <w:tc>
          <w:tcPr>
            <w:tcW w:w="1440" w:type="dxa"/>
          </w:tcPr>
          <w:p w14:paraId="6EFDF7B2">
            <w:pPr>
              <w:spacing w:line="320" w:lineRule="exact"/>
              <w:rPr>
                <w:rFonts w:ascii="仿宋" w:hAnsi="仿宋" w:eastAsia="仿宋"/>
                <w:bCs/>
                <w:kern w:val="2"/>
                <w:szCs w:val="21"/>
              </w:rPr>
            </w:pPr>
          </w:p>
        </w:tc>
        <w:tc>
          <w:tcPr>
            <w:tcW w:w="1232" w:type="dxa"/>
          </w:tcPr>
          <w:p w14:paraId="4FB3BD43">
            <w:pPr>
              <w:spacing w:line="320" w:lineRule="exact"/>
              <w:rPr>
                <w:rFonts w:ascii="仿宋" w:hAnsi="仿宋" w:eastAsia="仿宋"/>
                <w:bCs/>
                <w:kern w:val="2"/>
                <w:szCs w:val="21"/>
              </w:rPr>
            </w:pPr>
          </w:p>
        </w:tc>
      </w:tr>
      <w:tr w14:paraId="6C7F4B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90" w:hRule="atLeast"/>
        </w:trPr>
        <w:tc>
          <w:tcPr>
            <w:tcW w:w="585" w:type="dxa"/>
          </w:tcPr>
          <w:p w14:paraId="47C4C730">
            <w:pPr>
              <w:spacing w:line="320" w:lineRule="exact"/>
              <w:rPr>
                <w:rFonts w:ascii="仿宋" w:hAnsi="仿宋" w:eastAsia="仿宋"/>
                <w:bCs/>
                <w:kern w:val="2"/>
                <w:szCs w:val="21"/>
              </w:rPr>
            </w:pPr>
            <w:r>
              <w:rPr>
                <w:rFonts w:hint="eastAsia" w:ascii="仿宋" w:hAnsi="仿宋" w:eastAsia="仿宋"/>
                <w:bCs/>
                <w:kern w:val="2"/>
                <w:szCs w:val="21"/>
              </w:rPr>
              <w:t>2</w:t>
            </w:r>
          </w:p>
        </w:tc>
        <w:tc>
          <w:tcPr>
            <w:tcW w:w="1575" w:type="dxa"/>
          </w:tcPr>
          <w:p w14:paraId="156DCC94">
            <w:pPr>
              <w:spacing w:line="320" w:lineRule="exact"/>
              <w:rPr>
                <w:rFonts w:ascii="仿宋_GB2312" w:hAnsi="仿宋_GB2312" w:eastAsia="仿宋_GB2312" w:cs="仿宋_GB2312"/>
                <w:bCs/>
                <w:kern w:val="2"/>
                <w:sz w:val="28"/>
                <w:szCs w:val="28"/>
              </w:rPr>
            </w:pPr>
            <w:r>
              <w:rPr>
                <w:rFonts w:hint="eastAsia" w:ascii="仿宋_GB2312" w:hAnsi="仿宋_GB2312" w:eastAsia="仿宋_GB2312" w:cs="仿宋_GB2312"/>
                <w:color w:val="000000"/>
                <w:kern w:val="2"/>
                <w:sz w:val="28"/>
                <w:szCs w:val="28"/>
              </w:rPr>
              <w:t>合作模式</w:t>
            </w:r>
          </w:p>
        </w:tc>
        <w:tc>
          <w:tcPr>
            <w:tcW w:w="2760" w:type="dxa"/>
          </w:tcPr>
          <w:p w14:paraId="7BAEFA08">
            <w:pPr>
              <w:spacing w:line="320" w:lineRule="exact"/>
              <w:rPr>
                <w:rFonts w:ascii="仿宋" w:hAnsi="仿宋" w:eastAsia="仿宋"/>
                <w:bCs/>
                <w:kern w:val="2"/>
                <w:szCs w:val="21"/>
              </w:rPr>
            </w:pPr>
            <w:r>
              <w:rPr>
                <w:rFonts w:hint="eastAsia" w:ascii="仿宋" w:hAnsi="仿宋" w:eastAsia="仿宋"/>
                <w:bCs/>
                <w:kern w:val="2"/>
                <w:szCs w:val="21"/>
              </w:rPr>
              <w:t>中标供应商全额承担项目软硬件建设、施工、运维全部投入，自主运营充电服务；服务期满后按约定完成资产交割、场地复原。</w:t>
            </w:r>
          </w:p>
        </w:tc>
        <w:tc>
          <w:tcPr>
            <w:tcW w:w="930" w:type="dxa"/>
          </w:tcPr>
          <w:p w14:paraId="2093A59F">
            <w:pPr>
              <w:spacing w:line="320" w:lineRule="exact"/>
              <w:rPr>
                <w:rFonts w:ascii="仿宋" w:hAnsi="仿宋" w:eastAsia="仿宋"/>
                <w:bCs/>
                <w:kern w:val="2"/>
                <w:szCs w:val="21"/>
              </w:rPr>
            </w:pPr>
          </w:p>
          <w:p w14:paraId="514DF3C9">
            <w:pPr>
              <w:spacing w:line="320" w:lineRule="exact"/>
              <w:rPr>
                <w:rFonts w:ascii="仿宋" w:hAnsi="仿宋" w:eastAsia="仿宋"/>
                <w:bCs/>
                <w:kern w:val="2"/>
                <w:szCs w:val="21"/>
              </w:rPr>
            </w:pPr>
          </w:p>
          <w:p w14:paraId="5A7A2E8A">
            <w:pPr>
              <w:spacing w:line="320" w:lineRule="exact"/>
              <w:rPr>
                <w:rFonts w:ascii="仿宋" w:hAnsi="仿宋" w:eastAsia="仿宋"/>
                <w:bCs/>
                <w:kern w:val="2"/>
                <w:szCs w:val="21"/>
              </w:rPr>
            </w:pPr>
          </w:p>
          <w:p w14:paraId="25E4A897">
            <w:pPr>
              <w:spacing w:line="320" w:lineRule="exact"/>
              <w:ind w:firstLine="220" w:firstLineChars="100"/>
              <w:rPr>
                <w:rFonts w:ascii="仿宋" w:hAnsi="仿宋" w:eastAsia="仿宋"/>
                <w:bCs/>
                <w:kern w:val="2"/>
                <w:szCs w:val="21"/>
              </w:rPr>
            </w:pPr>
          </w:p>
        </w:tc>
        <w:tc>
          <w:tcPr>
            <w:tcW w:w="975" w:type="dxa"/>
          </w:tcPr>
          <w:p w14:paraId="5AD62DAD">
            <w:pPr>
              <w:spacing w:line="320" w:lineRule="exact"/>
              <w:rPr>
                <w:rFonts w:ascii="仿宋" w:hAnsi="仿宋" w:eastAsia="仿宋"/>
                <w:bCs/>
                <w:kern w:val="2"/>
                <w:szCs w:val="21"/>
              </w:rPr>
            </w:pPr>
          </w:p>
        </w:tc>
        <w:tc>
          <w:tcPr>
            <w:tcW w:w="1440" w:type="dxa"/>
          </w:tcPr>
          <w:p w14:paraId="4BC9DF84">
            <w:pPr>
              <w:spacing w:line="320" w:lineRule="exact"/>
              <w:rPr>
                <w:rFonts w:ascii="仿宋" w:hAnsi="仿宋" w:eastAsia="仿宋"/>
                <w:bCs/>
                <w:kern w:val="2"/>
                <w:szCs w:val="21"/>
              </w:rPr>
            </w:pPr>
          </w:p>
        </w:tc>
        <w:tc>
          <w:tcPr>
            <w:tcW w:w="1232" w:type="dxa"/>
          </w:tcPr>
          <w:p w14:paraId="4F862A57">
            <w:pPr>
              <w:spacing w:line="320" w:lineRule="exact"/>
              <w:rPr>
                <w:rFonts w:ascii="仿宋" w:hAnsi="仿宋" w:eastAsia="仿宋"/>
                <w:bCs/>
                <w:kern w:val="2"/>
                <w:szCs w:val="21"/>
              </w:rPr>
            </w:pPr>
          </w:p>
        </w:tc>
      </w:tr>
      <w:tr w14:paraId="56A916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41D727FC">
            <w:pPr>
              <w:spacing w:line="320" w:lineRule="exact"/>
              <w:rPr>
                <w:rFonts w:ascii="仿宋" w:hAnsi="仿宋" w:eastAsia="仿宋"/>
                <w:bCs/>
                <w:kern w:val="2"/>
                <w:szCs w:val="21"/>
              </w:rPr>
            </w:pPr>
            <w:r>
              <w:rPr>
                <w:rFonts w:hint="eastAsia" w:ascii="仿宋" w:hAnsi="仿宋" w:eastAsia="仿宋"/>
                <w:bCs/>
                <w:kern w:val="2"/>
                <w:szCs w:val="21"/>
              </w:rPr>
              <w:t>3</w:t>
            </w:r>
          </w:p>
        </w:tc>
        <w:tc>
          <w:tcPr>
            <w:tcW w:w="1575" w:type="dxa"/>
          </w:tcPr>
          <w:p w14:paraId="2F80A6BC">
            <w:pPr>
              <w:spacing w:line="320" w:lineRule="exact"/>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服务合作期限</w:t>
            </w:r>
          </w:p>
        </w:tc>
        <w:tc>
          <w:tcPr>
            <w:tcW w:w="2760" w:type="dxa"/>
          </w:tcPr>
          <w:p w14:paraId="05E416D0">
            <w:pPr>
              <w:spacing w:line="320" w:lineRule="exact"/>
              <w:rPr>
                <w:rFonts w:ascii="仿宋" w:hAnsi="仿宋" w:eastAsia="仿宋"/>
                <w:bCs/>
                <w:kern w:val="2"/>
                <w:szCs w:val="21"/>
              </w:rPr>
            </w:pPr>
            <w:r>
              <w:rPr>
                <w:rFonts w:hint="eastAsia" w:ascii="仿宋" w:hAnsi="仿宋" w:eastAsia="仿宋"/>
                <w:bCs/>
                <w:kern w:val="2"/>
                <w:szCs w:val="21"/>
              </w:rPr>
              <w:t>服务合作期限5年。服务期满，钢结构膜结构车棚、配套消防设施产权无偿归采购人所有；供应商须自行拆除自有充电桩、电缆管线、配套辅材，清运所有建筑垃圾，恢复场地原有面貌，产生全部费用由供应商自行承担。</w:t>
            </w:r>
          </w:p>
          <w:p w14:paraId="0F114AD5">
            <w:pPr>
              <w:spacing w:line="320" w:lineRule="exact"/>
              <w:rPr>
                <w:rFonts w:ascii="仿宋" w:hAnsi="仿宋" w:eastAsia="仿宋"/>
                <w:bCs/>
                <w:kern w:val="2"/>
                <w:szCs w:val="21"/>
              </w:rPr>
            </w:pPr>
            <w:r>
              <w:rPr>
                <w:rFonts w:hint="eastAsia" w:ascii="仿宋" w:hAnsi="仿宋" w:eastAsia="仿宋"/>
                <w:bCs/>
                <w:kern w:val="2"/>
                <w:szCs w:val="21"/>
              </w:rPr>
              <w:t>服务期间，因成交供应商充电设施及充电服务引起的人身及财产安全事故的，由成交供应商负全部责任。</w:t>
            </w:r>
          </w:p>
          <w:p w14:paraId="3C6EBF58">
            <w:pPr>
              <w:spacing w:line="320" w:lineRule="exact"/>
              <w:rPr>
                <w:rFonts w:ascii="仿宋" w:hAnsi="仿宋" w:eastAsia="仿宋"/>
                <w:bCs/>
                <w:kern w:val="2"/>
                <w:szCs w:val="21"/>
              </w:rPr>
            </w:pPr>
          </w:p>
        </w:tc>
        <w:tc>
          <w:tcPr>
            <w:tcW w:w="930" w:type="dxa"/>
          </w:tcPr>
          <w:p w14:paraId="31B4D01F">
            <w:pPr>
              <w:spacing w:line="320" w:lineRule="exact"/>
              <w:rPr>
                <w:rFonts w:ascii="仿宋" w:hAnsi="仿宋" w:eastAsia="仿宋"/>
                <w:bCs/>
                <w:kern w:val="2"/>
                <w:szCs w:val="21"/>
              </w:rPr>
            </w:pPr>
          </w:p>
        </w:tc>
        <w:tc>
          <w:tcPr>
            <w:tcW w:w="975" w:type="dxa"/>
          </w:tcPr>
          <w:p w14:paraId="79C80A63">
            <w:pPr>
              <w:spacing w:line="320" w:lineRule="exact"/>
              <w:rPr>
                <w:rFonts w:ascii="仿宋" w:hAnsi="仿宋" w:eastAsia="仿宋"/>
                <w:bCs/>
                <w:kern w:val="2"/>
                <w:szCs w:val="21"/>
              </w:rPr>
            </w:pPr>
          </w:p>
        </w:tc>
        <w:tc>
          <w:tcPr>
            <w:tcW w:w="1440" w:type="dxa"/>
          </w:tcPr>
          <w:p w14:paraId="17DB2564">
            <w:pPr>
              <w:spacing w:line="320" w:lineRule="exact"/>
              <w:rPr>
                <w:rFonts w:ascii="仿宋" w:hAnsi="仿宋" w:eastAsia="仿宋"/>
                <w:bCs/>
                <w:kern w:val="2"/>
                <w:szCs w:val="21"/>
              </w:rPr>
            </w:pPr>
          </w:p>
        </w:tc>
        <w:tc>
          <w:tcPr>
            <w:tcW w:w="1232" w:type="dxa"/>
          </w:tcPr>
          <w:p w14:paraId="6BF9C527">
            <w:pPr>
              <w:spacing w:line="320" w:lineRule="exact"/>
              <w:rPr>
                <w:rFonts w:ascii="仿宋" w:hAnsi="仿宋" w:eastAsia="仿宋"/>
                <w:bCs/>
                <w:kern w:val="2"/>
                <w:szCs w:val="21"/>
              </w:rPr>
            </w:pPr>
          </w:p>
        </w:tc>
      </w:tr>
      <w:tr w14:paraId="33B911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28E67DE6">
            <w:pPr>
              <w:spacing w:line="320" w:lineRule="exact"/>
              <w:rPr>
                <w:rFonts w:ascii="仿宋" w:hAnsi="仿宋" w:eastAsia="仿宋"/>
                <w:bCs/>
                <w:kern w:val="2"/>
                <w:szCs w:val="21"/>
              </w:rPr>
            </w:pPr>
            <w:r>
              <w:rPr>
                <w:rFonts w:hint="eastAsia" w:ascii="仿宋" w:hAnsi="仿宋" w:eastAsia="仿宋"/>
                <w:bCs/>
                <w:kern w:val="2"/>
                <w:szCs w:val="21"/>
              </w:rPr>
              <w:t>4</w:t>
            </w:r>
          </w:p>
        </w:tc>
        <w:tc>
          <w:tcPr>
            <w:tcW w:w="1575" w:type="dxa"/>
          </w:tcPr>
          <w:p w14:paraId="17625578">
            <w:pPr>
              <w:spacing w:line="320" w:lineRule="exact"/>
              <w:rPr>
                <w:rFonts w:ascii="仿宋_GB2312" w:hAnsi="仿宋_GB2312" w:eastAsia="仿宋_GB2312" w:cs="仿宋_GB2312"/>
                <w:color w:val="000000"/>
                <w:kern w:val="2"/>
                <w:sz w:val="28"/>
                <w:szCs w:val="28"/>
                <w:u w:val="single"/>
              </w:rPr>
            </w:pPr>
            <w:r>
              <w:rPr>
                <w:rFonts w:hint="eastAsia" w:ascii="仿宋_GB2312" w:hAnsi="仿宋_GB2312" w:eastAsia="仿宋_GB2312" w:cs="仿宋_GB2312"/>
                <w:color w:val="000000"/>
                <w:kern w:val="2"/>
                <w:sz w:val="28"/>
                <w:szCs w:val="28"/>
              </w:rPr>
              <w:t>配电、线缆、计量设备技术标准</w:t>
            </w:r>
          </w:p>
        </w:tc>
        <w:tc>
          <w:tcPr>
            <w:tcW w:w="2760" w:type="dxa"/>
          </w:tcPr>
          <w:p w14:paraId="310B656C">
            <w:pPr>
              <w:spacing w:line="320" w:lineRule="exact"/>
              <w:rPr>
                <w:rFonts w:ascii="仿宋" w:hAnsi="仿宋" w:eastAsia="仿宋"/>
                <w:bCs/>
                <w:kern w:val="2"/>
                <w:szCs w:val="21"/>
              </w:rPr>
            </w:pPr>
            <w:r>
              <w:rPr>
                <w:rFonts w:hint="eastAsia" w:ascii="仿宋" w:hAnsi="仿宋" w:eastAsia="仿宋"/>
                <w:bCs/>
                <w:kern w:val="2"/>
                <w:szCs w:val="21"/>
              </w:rPr>
              <w:t>1、电力电缆全部采用国标纯铜芯电缆，敷设、接地、防护施工严格执行国家现行低压配电相关规范。</w:t>
            </w:r>
          </w:p>
          <w:p w14:paraId="15E25E56">
            <w:pPr>
              <w:spacing w:line="320" w:lineRule="exact"/>
              <w:rPr>
                <w:rFonts w:ascii="仿宋" w:hAnsi="仿宋" w:eastAsia="仿宋"/>
                <w:bCs/>
                <w:kern w:val="2"/>
                <w:szCs w:val="21"/>
              </w:rPr>
            </w:pPr>
            <w:r>
              <w:rPr>
                <w:rFonts w:hint="eastAsia" w:ascii="仿宋" w:hAnsi="仿宋" w:eastAsia="仿宋"/>
                <w:bCs/>
                <w:kern w:val="2"/>
                <w:szCs w:val="21"/>
              </w:rPr>
              <w:t>2、配套专用室外防雨配电箱，箱体防腐防晒防锈，具备总路漏电保护、分路独立分断功能，防护等级满足户外长期使用要求。</w:t>
            </w:r>
          </w:p>
          <w:p w14:paraId="1870B132">
            <w:pPr>
              <w:spacing w:line="320" w:lineRule="exact"/>
              <w:rPr>
                <w:rFonts w:ascii="仿宋" w:hAnsi="仿宋" w:eastAsia="仿宋"/>
                <w:bCs/>
                <w:kern w:val="2"/>
                <w:szCs w:val="21"/>
              </w:rPr>
            </w:pPr>
            <w:r>
              <w:rPr>
                <w:rFonts w:hint="eastAsia" w:ascii="仿宋" w:hAnsi="仿宋" w:eastAsia="仿宋"/>
                <w:bCs/>
                <w:kern w:val="2"/>
                <w:szCs w:val="21"/>
              </w:rPr>
              <w:t>3、配置数字化智能分时电表，支持工业峰谷平分时计量；充电用电数据实时云端同步，数据支持随时在线查询、自动统计、批量导出，采购人享有管理后台完整操作权限。</w:t>
            </w:r>
          </w:p>
        </w:tc>
        <w:tc>
          <w:tcPr>
            <w:tcW w:w="930" w:type="dxa"/>
          </w:tcPr>
          <w:p w14:paraId="5D45355C">
            <w:pPr>
              <w:spacing w:line="320" w:lineRule="exact"/>
              <w:rPr>
                <w:rFonts w:ascii="仿宋" w:hAnsi="仿宋" w:eastAsia="仿宋"/>
                <w:bCs/>
                <w:kern w:val="2"/>
                <w:szCs w:val="21"/>
              </w:rPr>
            </w:pPr>
          </w:p>
        </w:tc>
        <w:tc>
          <w:tcPr>
            <w:tcW w:w="975" w:type="dxa"/>
          </w:tcPr>
          <w:p w14:paraId="257973A2">
            <w:pPr>
              <w:spacing w:line="320" w:lineRule="exact"/>
              <w:rPr>
                <w:rFonts w:ascii="仿宋" w:hAnsi="仿宋" w:eastAsia="仿宋"/>
                <w:bCs/>
                <w:kern w:val="2"/>
                <w:szCs w:val="21"/>
              </w:rPr>
            </w:pPr>
          </w:p>
        </w:tc>
        <w:tc>
          <w:tcPr>
            <w:tcW w:w="1440" w:type="dxa"/>
          </w:tcPr>
          <w:p w14:paraId="3EE6F53C">
            <w:pPr>
              <w:spacing w:line="320" w:lineRule="exact"/>
              <w:rPr>
                <w:rFonts w:ascii="仿宋" w:hAnsi="仿宋" w:eastAsia="仿宋"/>
                <w:bCs/>
                <w:kern w:val="2"/>
                <w:szCs w:val="21"/>
              </w:rPr>
            </w:pPr>
          </w:p>
        </w:tc>
        <w:tc>
          <w:tcPr>
            <w:tcW w:w="1232" w:type="dxa"/>
          </w:tcPr>
          <w:p w14:paraId="52B89E9F">
            <w:pPr>
              <w:spacing w:line="320" w:lineRule="exact"/>
              <w:rPr>
                <w:rFonts w:ascii="仿宋" w:hAnsi="仿宋" w:eastAsia="仿宋"/>
                <w:bCs/>
                <w:kern w:val="2"/>
                <w:szCs w:val="21"/>
              </w:rPr>
            </w:pPr>
          </w:p>
        </w:tc>
      </w:tr>
      <w:tr w14:paraId="13E30E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0A3A8572">
            <w:pPr>
              <w:spacing w:line="320" w:lineRule="exact"/>
              <w:rPr>
                <w:rFonts w:ascii="仿宋" w:hAnsi="仿宋" w:eastAsia="仿宋"/>
                <w:bCs/>
                <w:kern w:val="2"/>
                <w:szCs w:val="21"/>
              </w:rPr>
            </w:pPr>
          </w:p>
        </w:tc>
        <w:tc>
          <w:tcPr>
            <w:tcW w:w="1575" w:type="dxa"/>
          </w:tcPr>
          <w:p w14:paraId="013EAD26">
            <w:pPr>
              <w:pStyle w:val="2"/>
              <w:keepNext w:val="0"/>
              <w:keepLines w:val="0"/>
              <w:widowControl/>
              <w:adjustRightInd/>
              <w:spacing w:before="0" w:after="0" w:line="360" w:lineRule="auto"/>
              <w:textAlignment w:val="auto"/>
              <w:outlineLvl w:val="1"/>
              <w:rPr>
                <w:rFonts w:ascii="仿宋_GB2312" w:hAnsi="仿宋_GB2312" w:eastAsia="仿宋_GB2312" w:cs="仿宋_GB2312"/>
                <w:b w:val="0"/>
                <w:color w:val="000000"/>
                <w:kern w:val="2"/>
                <w:sz w:val="28"/>
                <w:szCs w:val="28"/>
              </w:rPr>
            </w:pPr>
            <w:r>
              <w:rPr>
                <w:rFonts w:hint="eastAsia" w:ascii="仿宋_GB2312" w:hAnsi="仿宋_GB2312" w:eastAsia="仿宋_GB2312" w:cs="仿宋_GB2312"/>
                <w:b w:val="0"/>
                <w:color w:val="000000"/>
                <w:kern w:val="2"/>
                <w:sz w:val="28"/>
                <w:szCs w:val="28"/>
              </w:rPr>
              <w:t>充电桩安全性能强制要求</w:t>
            </w:r>
          </w:p>
          <w:p w14:paraId="4E0A4EC5">
            <w:pPr>
              <w:spacing w:line="320" w:lineRule="exact"/>
              <w:rPr>
                <w:rFonts w:ascii="仿宋_GB2312" w:hAnsi="仿宋_GB2312" w:eastAsia="仿宋_GB2312" w:cs="仿宋_GB2312"/>
                <w:color w:val="000000"/>
                <w:kern w:val="2"/>
                <w:sz w:val="28"/>
                <w:szCs w:val="28"/>
                <w:u w:val="single"/>
              </w:rPr>
            </w:pPr>
          </w:p>
        </w:tc>
        <w:tc>
          <w:tcPr>
            <w:tcW w:w="2760" w:type="dxa"/>
          </w:tcPr>
          <w:p w14:paraId="462009B9">
            <w:pPr>
              <w:spacing w:line="320" w:lineRule="exact"/>
              <w:rPr>
                <w:rFonts w:ascii="仿宋" w:hAnsi="仿宋" w:eastAsia="仿宋"/>
                <w:bCs/>
                <w:kern w:val="2"/>
                <w:szCs w:val="21"/>
              </w:rPr>
            </w:pPr>
            <w:r>
              <w:rPr>
                <w:rFonts w:hint="eastAsia" w:ascii="仿宋" w:hAnsi="仿宋" w:eastAsia="仿宋"/>
                <w:bCs/>
                <w:kern w:val="2"/>
                <w:szCs w:val="21"/>
              </w:rPr>
              <w:t>充电桩整机及配套控制系统必须符合强制性国家标准GB47371-2026，并具备以下全套安全防护功能：</w:t>
            </w:r>
          </w:p>
          <w:p w14:paraId="1674FDF5">
            <w:pPr>
              <w:spacing w:line="320" w:lineRule="exact"/>
              <w:rPr>
                <w:rFonts w:ascii="仿宋" w:hAnsi="仿宋" w:eastAsia="仿宋"/>
                <w:bCs/>
                <w:kern w:val="2"/>
                <w:szCs w:val="21"/>
              </w:rPr>
            </w:pPr>
            <w:r>
              <w:rPr>
                <w:rFonts w:hint="eastAsia" w:ascii="仿宋" w:hAnsi="仿宋" w:eastAsia="仿宋"/>
                <w:bCs/>
                <w:kern w:val="2"/>
                <w:szCs w:val="21"/>
              </w:rPr>
              <w:t>1、基础保护：短路保护、过流保护、空载保护；</w:t>
            </w:r>
          </w:p>
          <w:p w14:paraId="2D1EAC74">
            <w:pPr>
              <w:spacing w:line="320" w:lineRule="exact"/>
              <w:rPr>
                <w:rFonts w:ascii="仿宋" w:hAnsi="仿宋" w:eastAsia="仿宋"/>
                <w:bCs/>
                <w:kern w:val="2"/>
                <w:szCs w:val="21"/>
              </w:rPr>
            </w:pPr>
            <w:r>
              <w:rPr>
                <w:rFonts w:hint="eastAsia" w:ascii="仿宋" w:hAnsi="仿宋" w:eastAsia="仿宋"/>
                <w:bCs/>
                <w:kern w:val="2"/>
                <w:szCs w:val="21"/>
              </w:rPr>
              <w:t>2、插拔防护：插头脱落、未连接负载时立即自动断电；</w:t>
            </w:r>
          </w:p>
          <w:p w14:paraId="69254D23">
            <w:pPr>
              <w:spacing w:line="320" w:lineRule="exact"/>
              <w:rPr>
                <w:rFonts w:ascii="仿宋" w:hAnsi="仿宋" w:eastAsia="仿宋"/>
                <w:bCs/>
                <w:kern w:val="2"/>
                <w:szCs w:val="21"/>
              </w:rPr>
            </w:pPr>
            <w:r>
              <w:rPr>
                <w:rFonts w:hint="eastAsia" w:ascii="仿宋" w:hAnsi="仿宋" w:eastAsia="仿宋"/>
                <w:bCs/>
                <w:kern w:val="2"/>
                <w:szCs w:val="21"/>
              </w:rPr>
              <w:t>3、充满断电：电池充满自动切断充电输出；</w:t>
            </w:r>
          </w:p>
          <w:p w14:paraId="2FD30528">
            <w:pPr>
              <w:spacing w:line="320" w:lineRule="exact"/>
              <w:rPr>
                <w:rFonts w:ascii="仿宋" w:hAnsi="仿宋" w:eastAsia="仿宋"/>
                <w:bCs/>
                <w:kern w:val="2"/>
                <w:szCs w:val="21"/>
              </w:rPr>
            </w:pPr>
            <w:r>
              <w:rPr>
                <w:rFonts w:hint="eastAsia" w:ascii="仿宋" w:hAnsi="仿宋" w:eastAsia="仿宋"/>
                <w:bCs/>
                <w:kern w:val="2"/>
                <w:szCs w:val="21"/>
              </w:rPr>
              <w:t>4、时长管控：系统默认单次最长充电时限10小时，超时强制断电；</w:t>
            </w:r>
          </w:p>
          <w:p w14:paraId="3E4F3054">
            <w:pPr>
              <w:spacing w:line="320" w:lineRule="exact"/>
              <w:rPr>
                <w:rFonts w:ascii="仿宋" w:hAnsi="仿宋" w:eastAsia="仿宋"/>
                <w:bCs/>
                <w:kern w:val="2"/>
                <w:szCs w:val="21"/>
              </w:rPr>
            </w:pPr>
            <w:r>
              <w:rPr>
                <w:rFonts w:hint="eastAsia" w:ascii="仿宋" w:hAnsi="仿宋" w:eastAsia="仿宋"/>
                <w:bCs/>
                <w:kern w:val="2"/>
                <w:szCs w:val="21"/>
              </w:rPr>
              <w:t>5、温控保护：设备、电池超温自动断电，杜绝起火风险。</w:t>
            </w:r>
          </w:p>
        </w:tc>
        <w:tc>
          <w:tcPr>
            <w:tcW w:w="930" w:type="dxa"/>
          </w:tcPr>
          <w:p w14:paraId="73C551D5">
            <w:pPr>
              <w:spacing w:line="320" w:lineRule="exact"/>
              <w:rPr>
                <w:rFonts w:ascii="仿宋" w:hAnsi="仿宋" w:eastAsia="仿宋"/>
                <w:bCs/>
                <w:kern w:val="2"/>
                <w:szCs w:val="21"/>
              </w:rPr>
            </w:pPr>
          </w:p>
        </w:tc>
        <w:tc>
          <w:tcPr>
            <w:tcW w:w="975" w:type="dxa"/>
          </w:tcPr>
          <w:p w14:paraId="417F2165">
            <w:pPr>
              <w:spacing w:line="320" w:lineRule="exact"/>
              <w:rPr>
                <w:rFonts w:ascii="仿宋" w:hAnsi="仿宋" w:eastAsia="仿宋"/>
                <w:bCs/>
                <w:kern w:val="2"/>
                <w:szCs w:val="21"/>
              </w:rPr>
            </w:pPr>
          </w:p>
        </w:tc>
        <w:tc>
          <w:tcPr>
            <w:tcW w:w="1440" w:type="dxa"/>
          </w:tcPr>
          <w:p w14:paraId="06FCB223">
            <w:pPr>
              <w:spacing w:line="320" w:lineRule="exact"/>
              <w:rPr>
                <w:rFonts w:ascii="仿宋" w:hAnsi="仿宋" w:eastAsia="仿宋"/>
                <w:bCs/>
                <w:kern w:val="2"/>
                <w:szCs w:val="21"/>
              </w:rPr>
            </w:pPr>
          </w:p>
        </w:tc>
        <w:tc>
          <w:tcPr>
            <w:tcW w:w="1232" w:type="dxa"/>
          </w:tcPr>
          <w:p w14:paraId="1187FBCE">
            <w:pPr>
              <w:spacing w:line="320" w:lineRule="exact"/>
              <w:rPr>
                <w:rFonts w:ascii="仿宋" w:hAnsi="仿宋" w:eastAsia="仿宋"/>
                <w:bCs/>
                <w:kern w:val="2"/>
                <w:szCs w:val="21"/>
              </w:rPr>
            </w:pPr>
          </w:p>
        </w:tc>
      </w:tr>
      <w:tr w14:paraId="732772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5F5A1D5D">
            <w:pPr>
              <w:spacing w:line="320" w:lineRule="exact"/>
              <w:rPr>
                <w:rFonts w:ascii="仿宋" w:hAnsi="仿宋" w:eastAsia="仿宋"/>
                <w:bCs/>
                <w:kern w:val="2"/>
                <w:szCs w:val="21"/>
              </w:rPr>
            </w:pPr>
          </w:p>
        </w:tc>
        <w:tc>
          <w:tcPr>
            <w:tcW w:w="1575" w:type="dxa"/>
          </w:tcPr>
          <w:p w14:paraId="67156366">
            <w:pPr>
              <w:pStyle w:val="2"/>
              <w:keepNext w:val="0"/>
              <w:keepLines w:val="0"/>
              <w:widowControl/>
              <w:adjustRightInd/>
              <w:spacing w:before="0" w:after="0" w:line="360" w:lineRule="auto"/>
              <w:textAlignment w:val="auto"/>
              <w:outlineLvl w:val="1"/>
              <w:rPr>
                <w:rFonts w:ascii="仿宋_GB2312" w:hAnsi="仿宋_GB2312" w:eastAsia="仿宋_GB2312" w:cs="仿宋_GB2312"/>
                <w:b w:val="0"/>
                <w:bCs/>
                <w:color w:val="000000"/>
                <w:kern w:val="2"/>
                <w:sz w:val="28"/>
                <w:szCs w:val="28"/>
              </w:rPr>
            </w:pPr>
            <w:r>
              <w:rPr>
                <w:rFonts w:hint="eastAsia" w:ascii="仿宋_GB2312" w:hAnsi="仿宋_GB2312" w:eastAsia="仿宋_GB2312" w:cs="仿宋_GB2312"/>
                <w:b w:val="0"/>
                <w:bCs/>
                <w:color w:val="000000"/>
                <w:kern w:val="2"/>
                <w:sz w:val="28"/>
                <w:szCs w:val="28"/>
              </w:rPr>
              <w:t>收费系统与使用管理要求</w:t>
            </w:r>
          </w:p>
          <w:p w14:paraId="0848A749">
            <w:pPr>
              <w:spacing w:line="320" w:lineRule="exact"/>
              <w:rPr>
                <w:rFonts w:ascii="仿宋_GB2312" w:hAnsi="仿宋_GB2312" w:eastAsia="仿宋_GB2312" w:cs="仿宋_GB2312"/>
                <w:bCs/>
                <w:color w:val="000000"/>
                <w:kern w:val="2"/>
                <w:sz w:val="28"/>
                <w:szCs w:val="28"/>
                <w:u w:val="single"/>
              </w:rPr>
            </w:pPr>
          </w:p>
        </w:tc>
        <w:tc>
          <w:tcPr>
            <w:tcW w:w="2760" w:type="dxa"/>
          </w:tcPr>
          <w:p w14:paraId="5C9B539B">
            <w:pPr>
              <w:spacing w:line="320" w:lineRule="exact"/>
              <w:rPr>
                <w:rFonts w:ascii="仿宋" w:hAnsi="仿宋" w:eastAsia="仿宋"/>
                <w:bCs/>
                <w:kern w:val="2"/>
                <w:szCs w:val="21"/>
              </w:rPr>
            </w:pPr>
            <w:r>
              <w:rPr>
                <w:rFonts w:hint="eastAsia" w:ascii="仿宋" w:hAnsi="仿宋" w:eastAsia="仿宋"/>
                <w:bCs/>
                <w:kern w:val="2"/>
                <w:szCs w:val="21"/>
              </w:rPr>
              <w:t>1、支付方式：支持微信/支付宝扫码充电付费；</w:t>
            </w:r>
          </w:p>
          <w:p w14:paraId="7D4D6819">
            <w:pPr>
              <w:spacing w:line="320" w:lineRule="exact"/>
              <w:rPr>
                <w:rFonts w:ascii="仿宋" w:hAnsi="仿宋" w:eastAsia="仿宋"/>
                <w:bCs/>
                <w:kern w:val="2"/>
                <w:szCs w:val="21"/>
              </w:rPr>
            </w:pPr>
            <w:r>
              <w:rPr>
                <w:rFonts w:hint="eastAsia" w:ascii="仿宋" w:hAnsi="仿宋" w:eastAsia="仿宋"/>
                <w:bCs/>
                <w:kern w:val="2"/>
                <w:szCs w:val="21"/>
              </w:rPr>
              <w:t>2、退费规则：充电完成、电池充满后，未消耗的剩余充电费用由系统原路自动退还至用户原支付渠道，不得截留资金、设置退费门槛。</w:t>
            </w:r>
          </w:p>
          <w:p w14:paraId="00A11932">
            <w:pPr>
              <w:spacing w:line="320" w:lineRule="exact"/>
              <w:rPr>
                <w:rFonts w:ascii="仿宋" w:hAnsi="仿宋" w:eastAsia="仿宋"/>
                <w:bCs/>
                <w:kern w:val="2"/>
                <w:szCs w:val="21"/>
              </w:rPr>
            </w:pPr>
            <w:r>
              <w:rPr>
                <w:rFonts w:hint="eastAsia" w:ascii="仿宋" w:hAnsi="仿宋" w:eastAsia="仿宋"/>
                <w:bCs/>
                <w:kern w:val="2"/>
                <w:szCs w:val="21"/>
              </w:rPr>
              <w:t>3、供应商应具备成熟的项目运营信息云平台，能够实时监控运营情况，记录充电信息，安全报警提示。用户可以通过移动端平台或第三方应用实时查看充电桩可用信息和充电状态。所有终端充电交易流水、扣费明细、设备运行数据均同步上传供应商专属管理后台，采购人享有后台查询、核对等权限。</w:t>
            </w:r>
          </w:p>
        </w:tc>
        <w:tc>
          <w:tcPr>
            <w:tcW w:w="930" w:type="dxa"/>
          </w:tcPr>
          <w:p w14:paraId="386717B9">
            <w:pPr>
              <w:spacing w:line="320" w:lineRule="exact"/>
              <w:rPr>
                <w:rFonts w:ascii="仿宋" w:hAnsi="仿宋" w:eastAsia="仿宋"/>
                <w:bCs/>
                <w:kern w:val="2"/>
                <w:szCs w:val="21"/>
              </w:rPr>
            </w:pPr>
          </w:p>
        </w:tc>
        <w:tc>
          <w:tcPr>
            <w:tcW w:w="975" w:type="dxa"/>
          </w:tcPr>
          <w:p w14:paraId="0C29F18A">
            <w:pPr>
              <w:spacing w:line="320" w:lineRule="exact"/>
              <w:rPr>
                <w:rFonts w:ascii="仿宋" w:hAnsi="仿宋" w:eastAsia="仿宋"/>
                <w:bCs/>
                <w:kern w:val="2"/>
                <w:szCs w:val="21"/>
              </w:rPr>
            </w:pPr>
          </w:p>
        </w:tc>
        <w:tc>
          <w:tcPr>
            <w:tcW w:w="1440" w:type="dxa"/>
          </w:tcPr>
          <w:p w14:paraId="43CC42C6">
            <w:pPr>
              <w:spacing w:line="320" w:lineRule="exact"/>
              <w:rPr>
                <w:rFonts w:ascii="仿宋" w:hAnsi="仿宋" w:eastAsia="仿宋"/>
                <w:bCs/>
                <w:kern w:val="2"/>
                <w:szCs w:val="21"/>
              </w:rPr>
            </w:pPr>
          </w:p>
        </w:tc>
        <w:tc>
          <w:tcPr>
            <w:tcW w:w="1232" w:type="dxa"/>
          </w:tcPr>
          <w:p w14:paraId="409F137D">
            <w:pPr>
              <w:spacing w:line="320" w:lineRule="exact"/>
              <w:rPr>
                <w:rFonts w:ascii="仿宋" w:hAnsi="仿宋" w:eastAsia="仿宋"/>
                <w:bCs/>
                <w:kern w:val="2"/>
                <w:szCs w:val="21"/>
              </w:rPr>
            </w:pPr>
          </w:p>
        </w:tc>
      </w:tr>
      <w:tr w14:paraId="076074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63326A72">
            <w:pPr>
              <w:spacing w:line="320" w:lineRule="exact"/>
              <w:rPr>
                <w:rFonts w:ascii="仿宋" w:hAnsi="仿宋" w:eastAsia="仿宋"/>
                <w:bCs/>
                <w:kern w:val="2"/>
                <w:szCs w:val="21"/>
              </w:rPr>
            </w:pPr>
          </w:p>
        </w:tc>
        <w:tc>
          <w:tcPr>
            <w:tcW w:w="1575" w:type="dxa"/>
          </w:tcPr>
          <w:p w14:paraId="59A05443">
            <w:pPr>
              <w:pStyle w:val="2"/>
              <w:keepNext w:val="0"/>
              <w:keepLines w:val="0"/>
              <w:widowControl/>
              <w:adjustRightInd/>
              <w:spacing w:before="0" w:after="0" w:line="360" w:lineRule="auto"/>
              <w:textAlignment w:val="auto"/>
              <w:outlineLvl w:val="1"/>
              <w:rPr>
                <w:rFonts w:ascii="仿宋_GB2312" w:hAnsi="仿宋_GB2312" w:eastAsia="仿宋_GB2312" w:cs="仿宋_GB2312"/>
                <w:b w:val="0"/>
                <w:bCs/>
                <w:color w:val="000000"/>
                <w:kern w:val="2"/>
                <w:sz w:val="28"/>
                <w:szCs w:val="28"/>
              </w:rPr>
            </w:pPr>
            <w:r>
              <w:rPr>
                <w:rFonts w:hint="eastAsia" w:ascii="仿宋_GB2312" w:hAnsi="仿宋_GB2312" w:eastAsia="仿宋_GB2312" w:cs="仿宋_GB2312"/>
                <w:b w:val="0"/>
                <w:bCs/>
                <w:color w:val="000000"/>
                <w:kern w:val="2"/>
                <w:sz w:val="28"/>
                <w:szCs w:val="28"/>
              </w:rPr>
              <w:t>车棚建设要求</w:t>
            </w:r>
          </w:p>
          <w:p w14:paraId="5F675DC7">
            <w:pPr>
              <w:spacing w:line="320" w:lineRule="exact"/>
              <w:rPr>
                <w:rFonts w:ascii="仿宋_GB2312" w:hAnsi="仿宋_GB2312" w:eastAsia="仿宋_GB2312" w:cs="仿宋_GB2312"/>
                <w:bCs/>
                <w:color w:val="000000"/>
                <w:kern w:val="2"/>
                <w:sz w:val="28"/>
                <w:szCs w:val="28"/>
                <w:u w:val="single"/>
              </w:rPr>
            </w:pPr>
          </w:p>
        </w:tc>
        <w:tc>
          <w:tcPr>
            <w:tcW w:w="2760" w:type="dxa"/>
          </w:tcPr>
          <w:p w14:paraId="2BE0957B">
            <w:pPr>
              <w:spacing w:line="320" w:lineRule="exact"/>
              <w:rPr>
                <w:rFonts w:ascii="仿宋" w:hAnsi="仿宋" w:eastAsia="仿宋"/>
                <w:bCs/>
                <w:kern w:val="2"/>
                <w:szCs w:val="21"/>
              </w:rPr>
            </w:pPr>
            <w:r>
              <w:rPr>
                <w:rFonts w:hint="eastAsia" w:ascii="仿宋" w:hAnsi="仿宋" w:eastAsia="仿宋"/>
                <w:bCs/>
                <w:kern w:val="2"/>
                <w:szCs w:val="21"/>
              </w:rPr>
              <w:t>1、结构款式：采用钢结构膜结构车棚；</w:t>
            </w:r>
          </w:p>
          <w:p w14:paraId="1D78F165">
            <w:pPr>
              <w:spacing w:line="320" w:lineRule="exact"/>
              <w:rPr>
                <w:rFonts w:ascii="仿宋" w:hAnsi="仿宋" w:eastAsia="仿宋"/>
                <w:bCs/>
                <w:kern w:val="2"/>
                <w:szCs w:val="21"/>
              </w:rPr>
            </w:pPr>
            <w:r>
              <w:rPr>
                <w:rFonts w:hint="eastAsia" w:ascii="仿宋" w:hAnsi="仿宋" w:eastAsia="仿宋"/>
                <w:bCs/>
                <w:kern w:val="2"/>
                <w:szCs w:val="21"/>
              </w:rPr>
              <w:t>2、外观管控：车棚整体款式、膜材、钢结构颜色、尺寸、安装点位须提前提交方案，经采购人现场审核书面同意后方可施工，整体建设满足建筑、消防、户外构筑物相关规范标准。</w:t>
            </w:r>
          </w:p>
          <w:p w14:paraId="30F69157">
            <w:pPr>
              <w:spacing w:line="320" w:lineRule="exact"/>
              <w:rPr>
                <w:rFonts w:ascii="仿宋" w:hAnsi="仿宋" w:eastAsia="仿宋"/>
                <w:bCs/>
                <w:kern w:val="2"/>
                <w:szCs w:val="21"/>
              </w:rPr>
            </w:pPr>
            <w:r>
              <w:rPr>
                <w:rFonts w:hint="eastAsia" w:ascii="仿宋" w:hAnsi="仿宋" w:eastAsia="仿宋"/>
                <w:bCs/>
                <w:kern w:val="2"/>
                <w:szCs w:val="21"/>
              </w:rPr>
              <w:t>3、安装车棚位置均需安装监控设施，如需，可调取监控影像资料。</w:t>
            </w:r>
          </w:p>
        </w:tc>
        <w:tc>
          <w:tcPr>
            <w:tcW w:w="930" w:type="dxa"/>
          </w:tcPr>
          <w:p w14:paraId="15B323CB">
            <w:pPr>
              <w:spacing w:line="320" w:lineRule="exact"/>
              <w:rPr>
                <w:rFonts w:ascii="仿宋" w:hAnsi="仿宋" w:eastAsia="仿宋"/>
                <w:bCs/>
                <w:kern w:val="2"/>
                <w:szCs w:val="21"/>
              </w:rPr>
            </w:pPr>
          </w:p>
        </w:tc>
        <w:tc>
          <w:tcPr>
            <w:tcW w:w="975" w:type="dxa"/>
          </w:tcPr>
          <w:p w14:paraId="1AE97B32">
            <w:pPr>
              <w:spacing w:line="320" w:lineRule="exact"/>
              <w:rPr>
                <w:rFonts w:ascii="仿宋" w:hAnsi="仿宋" w:eastAsia="仿宋"/>
                <w:bCs/>
                <w:kern w:val="2"/>
                <w:szCs w:val="21"/>
              </w:rPr>
            </w:pPr>
          </w:p>
        </w:tc>
        <w:tc>
          <w:tcPr>
            <w:tcW w:w="1440" w:type="dxa"/>
          </w:tcPr>
          <w:p w14:paraId="77658D1A">
            <w:pPr>
              <w:spacing w:line="320" w:lineRule="exact"/>
              <w:rPr>
                <w:rFonts w:ascii="仿宋" w:hAnsi="仿宋" w:eastAsia="仿宋"/>
                <w:bCs/>
                <w:kern w:val="2"/>
                <w:szCs w:val="21"/>
              </w:rPr>
            </w:pPr>
          </w:p>
        </w:tc>
        <w:tc>
          <w:tcPr>
            <w:tcW w:w="1232" w:type="dxa"/>
          </w:tcPr>
          <w:p w14:paraId="26B33BCB">
            <w:pPr>
              <w:spacing w:line="320" w:lineRule="exact"/>
              <w:rPr>
                <w:rFonts w:ascii="仿宋" w:hAnsi="仿宋" w:eastAsia="仿宋"/>
                <w:bCs/>
                <w:kern w:val="2"/>
                <w:szCs w:val="21"/>
              </w:rPr>
            </w:pPr>
          </w:p>
        </w:tc>
      </w:tr>
      <w:tr w14:paraId="30D09A4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316B2B6E">
            <w:pPr>
              <w:spacing w:line="320" w:lineRule="exact"/>
              <w:rPr>
                <w:rFonts w:ascii="仿宋" w:hAnsi="仿宋" w:eastAsia="仿宋"/>
                <w:bCs/>
                <w:kern w:val="2"/>
                <w:szCs w:val="21"/>
              </w:rPr>
            </w:pPr>
          </w:p>
        </w:tc>
        <w:tc>
          <w:tcPr>
            <w:tcW w:w="1575" w:type="dxa"/>
          </w:tcPr>
          <w:p w14:paraId="3B323822">
            <w:pPr>
              <w:pStyle w:val="2"/>
              <w:keepNext w:val="0"/>
              <w:keepLines w:val="0"/>
              <w:widowControl/>
              <w:adjustRightInd/>
              <w:spacing w:before="0" w:after="0" w:line="360" w:lineRule="auto"/>
              <w:textAlignment w:val="auto"/>
              <w:outlineLvl w:val="1"/>
              <w:rPr>
                <w:rFonts w:ascii="仿宋_GB2312" w:hAnsi="仿宋_GB2312" w:eastAsia="仿宋_GB2312" w:cs="仿宋_GB2312"/>
                <w:b w:val="0"/>
                <w:bCs/>
                <w:color w:val="000000"/>
                <w:kern w:val="2"/>
                <w:sz w:val="28"/>
                <w:szCs w:val="28"/>
              </w:rPr>
            </w:pPr>
            <w:r>
              <w:rPr>
                <w:rFonts w:hint="eastAsia" w:ascii="仿宋_GB2312" w:hAnsi="仿宋_GB2312" w:eastAsia="仿宋_GB2312" w:cs="仿宋_GB2312"/>
                <w:b w:val="0"/>
                <w:bCs/>
                <w:color w:val="000000"/>
                <w:kern w:val="2"/>
                <w:sz w:val="28"/>
                <w:szCs w:val="28"/>
              </w:rPr>
              <w:t>广告管理规定</w:t>
            </w:r>
          </w:p>
          <w:p w14:paraId="665E64EC">
            <w:pPr>
              <w:spacing w:line="320" w:lineRule="exact"/>
              <w:rPr>
                <w:rFonts w:ascii="仿宋_GB2312" w:hAnsi="仿宋_GB2312" w:eastAsia="仿宋_GB2312" w:cs="仿宋_GB2312"/>
                <w:bCs/>
                <w:color w:val="000000"/>
                <w:kern w:val="2"/>
                <w:sz w:val="28"/>
                <w:szCs w:val="28"/>
                <w:u w:val="single"/>
              </w:rPr>
            </w:pPr>
          </w:p>
        </w:tc>
        <w:tc>
          <w:tcPr>
            <w:tcW w:w="2760" w:type="dxa"/>
          </w:tcPr>
          <w:p w14:paraId="16ECD712">
            <w:pPr>
              <w:spacing w:line="320" w:lineRule="exact"/>
              <w:rPr>
                <w:rFonts w:ascii="仿宋" w:hAnsi="仿宋" w:eastAsia="仿宋"/>
                <w:bCs/>
                <w:kern w:val="2"/>
                <w:szCs w:val="21"/>
              </w:rPr>
            </w:pPr>
            <w:r>
              <w:rPr>
                <w:rFonts w:hint="eastAsia" w:ascii="仿宋" w:hAnsi="仿宋" w:eastAsia="仿宋"/>
                <w:bCs/>
                <w:kern w:val="2"/>
                <w:szCs w:val="21"/>
              </w:rPr>
              <w:t>充电桩、车棚整体外立面、箱体、立柱等所有区域，未经采购人书面同意，供应商不得张贴、喷涂、投放任何商业广告、宣传物料；若出现私自投放、恶意广告，供应商须在采购人通知时限内无条件全部清除，由此产生的清理、修复费用由供应商承担。</w:t>
            </w:r>
          </w:p>
        </w:tc>
        <w:tc>
          <w:tcPr>
            <w:tcW w:w="930" w:type="dxa"/>
          </w:tcPr>
          <w:p w14:paraId="649AAEED">
            <w:pPr>
              <w:spacing w:line="320" w:lineRule="exact"/>
              <w:rPr>
                <w:rFonts w:ascii="仿宋" w:hAnsi="仿宋" w:eastAsia="仿宋"/>
                <w:bCs/>
                <w:kern w:val="2"/>
                <w:szCs w:val="21"/>
              </w:rPr>
            </w:pPr>
          </w:p>
        </w:tc>
        <w:tc>
          <w:tcPr>
            <w:tcW w:w="975" w:type="dxa"/>
          </w:tcPr>
          <w:p w14:paraId="5081AC59">
            <w:pPr>
              <w:spacing w:line="320" w:lineRule="exact"/>
              <w:rPr>
                <w:rFonts w:ascii="仿宋" w:hAnsi="仿宋" w:eastAsia="仿宋"/>
                <w:bCs/>
                <w:kern w:val="2"/>
                <w:szCs w:val="21"/>
              </w:rPr>
            </w:pPr>
          </w:p>
        </w:tc>
        <w:tc>
          <w:tcPr>
            <w:tcW w:w="1440" w:type="dxa"/>
          </w:tcPr>
          <w:p w14:paraId="4811BB79">
            <w:pPr>
              <w:spacing w:line="320" w:lineRule="exact"/>
              <w:rPr>
                <w:rFonts w:ascii="仿宋" w:hAnsi="仿宋" w:eastAsia="仿宋"/>
                <w:bCs/>
                <w:kern w:val="2"/>
                <w:szCs w:val="21"/>
              </w:rPr>
            </w:pPr>
          </w:p>
        </w:tc>
        <w:tc>
          <w:tcPr>
            <w:tcW w:w="1232" w:type="dxa"/>
          </w:tcPr>
          <w:p w14:paraId="01D8B4BA">
            <w:pPr>
              <w:spacing w:line="320" w:lineRule="exact"/>
              <w:rPr>
                <w:rFonts w:ascii="仿宋" w:hAnsi="仿宋" w:eastAsia="仿宋"/>
                <w:bCs/>
                <w:kern w:val="2"/>
                <w:szCs w:val="21"/>
              </w:rPr>
            </w:pPr>
          </w:p>
        </w:tc>
      </w:tr>
      <w:tr w14:paraId="69CF81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5C0A85D0">
            <w:pPr>
              <w:spacing w:line="320" w:lineRule="exact"/>
              <w:rPr>
                <w:rFonts w:ascii="仿宋" w:hAnsi="仿宋" w:eastAsia="仿宋"/>
                <w:bCs/>
                <w:kern w:val="2"/>
                <w:szCs w:val="21"/>
              </w:rPr>
            </w:pPr>
          </w:p>
        </w:tc>
        <w:tc>
          <w:tcPr>
            <w:tcW w:w="1575" w:type="dxa"/>
          </w:tcPr>
          <w:p w14:paraId="0369D45F">
            <w:pPr>
              <w:pStyle w:val="2"/>
              <w:keepNext w:val="0"/>
              <w:keepLines w:val="0"/>
              <w:widowControl/>
              <w:adjustRightInd/>
              <w:spacing w:before="0" w:after="0" w:line="360" w:lineRule="auto"/>
              <w:textAlignment w:val="auto"/>
              <w:outlineLvl w:val="1"/>
              <w:rPr>
                <w:rFonts w:ascii="仿宋_GB2312" w:hAnsi="仿宋_GB2312" w:eastAsia="仿宋_GB2312" w:cs="仿宋_GB2312"/>
                <w:b w:val="0"/>
                <w:bCs/>
                <w:color w:val="000000"/>
                <w:kern w:val="2"/>
                <w:sz w:val="28"/>
                <w:szCs w:val="28"/>
              </w:rPr>
            </w:pPr>
            <w:r>
              <w:rPr>
                <w:rFonts w:hint="eastAsia" w:ascii="仿宋_GB2312" w:hAnsi="仿宋_GB2312" w:eastAsia="仿宋_GB2312" w:cs="仿宋_GB2312"/>
                <w:b w:val="0"/>
                <w:bCs/>
                <w:color w:val="000000"/>
                <w:kern w:val="2"/>
                <w:sz w:val="28"/>
                <w:szCs w:val="28"/>
              </w:rPr>
              <w:t>电费、服务费收费限价约定</w:t>
            </w:r>
          </w:p>
          <w:p w14:paraId="51A98DAC">
            <w:pPr>
              <w:spacing w:line="320" w:lineRule="exact"/>
              <w:rPr>
                <w:rFonts w:ascii="仿宋_GB2312" w:hAnsi="仿宋_GB2312" w:eastAsia="仿宋_GB2312" w:cs="仿宋_GB2312"/>
                <w:bCs/>
                <w:color w:val="000000"/>
                <w:kern w:val="2"/>
                <w:sz w:val="28"/>
                <w:szCs w:val="28"/>
                <w:u w:val="single"/>
              </w:rPr>
            </w:pPr>
          </w:p>
        </w:tc>
        <w:tc>
          <w:tcPr>
            <w:tcW w:w="2760" w:type="dxa"/>
          </w:tcPr>
          <w:p w14:paraId="49109FCA">
            <w:pPr>
              <w:spacing w:line="320" w:lineRule="exact"/>
              <w:rPr>
                <w:rFonts w:ascii="仿宋" w:hAnsi="仿宋" w:eastAsia="仿宋"/>
                <w:bCs/>
                <w:kern w:val="2"/>
                <w:szCs w:val="21"/>
              </w:rPr>
            </w:pPr>
            <w:r>
              <w:rPr>
                <w:rFonts w:hint="eastAsia" w:ascii="仿宋" w:hAnsi="仿宋" w:eastAsia="仿宋"/>
                <w:bCs/>
                <w:kern w:val="2"/>
                <w:szCs w:val="21"/>
              </w:rPr>
              <w:t>1、电费结算规则,需满足六安市发改委、六安市城管局、六安市市场监管局2026年2月13日联合下发的【六安市发改委六安市城管局六安市市场监管局关于进一步规范电动自行车充电服务收费行为的工作提示】要求</w:t>
            </w:r>
          </w:p>
          <w:p w14:paraId="2E046723">
            <w:pPr>
              <w:spacing w:line="320" w:lineRule="exact"/>
              <w:rPr>
                <w:rFonts w:ascii="仿宋" w:hAnsi="仿宋" w:eastAsia="仿宋"/>
                <w:bCs/>
                <w:kern w:val="2"/>
                <w:szCs w:val="21"/>
              </w:rPr>
            </w:pPr>
            <w:r>
              <w:rPr>
                <w:rFonts w:hint="eastAsia" w:ascii="仿宋" w:hAnsi="仿宋" w:eastAsia="仿宋"/>
                <w:bCs/>
                <w:kern w:val="2"/>
                <w:szCs w:val="21"/>
              </w:rPr>
              <w:t>（1）若充电桩电源从采购人院内配电房取电，供应商须按照工业用电峰谷平电价标准（或双方协商一个合适的均价），按时足额向采购人缴纳实际产生的电费；</w:t>
            </w:r>
          </w:p>
          <w:p w14:paraId="4304AF7C">
            <w:pPr>
              <w:spacing w:line="320" w:lineRule="exact"/>
              <w:rPr>
                <w:rFonts w:ascii="仿宋" w:hAnsi="仿宋" w:eastAsia="仿宋"/>
                <w:bCs/>
                <w:kern w:val="2"/>
                <w:szCs w:val="21"/>
              </w:rPr>
            </w:pPr>
            <w:r>
              <w:rPr>
                <w:rFonts w:hint="eastAsia" w:ascii="仿宋" w:hAnsi="仿宋" w:eastAsia="仿宋"/>
                <w:bCs/>
                <w:kern w:val="2"/>
                <w:szCs w:val="21"/>
              </w:rPr>
              <w:t>（2）若供应商独立从市政电网单独接引电源，无需向采购人缴纳电费，收费满足民用电标准。</w:t>
            </w:r>
          </w:p>
          <w:p w14:paraId="659F4AE0">
            <w:pPr>
              <w:spacing w:line="320" w:lineRule="exact"/>
              <w:rPr>
                <w:rFonts w:ascii="仿宋" w:hAnsi="仿宋" w:eastAsia="仿宋"/>
                <w:bCs/>
                <w:kern w:val="2"/>
                <w:szCs w:val="21"/>
              </w:rPr>
            </w:pPr>
            <w:r>
              <w:rPr>
                <w:rFonts w:hint="eastAsia" w:ascii="仿宋" w:hAnsi="仿宋" w:eastAsia="仿宋"/>
                <w:bCs/>
                <w:kern w:val="2"/>
                <w:szCs w:val="21"/>
              </w:rPr>
              <w:t>2、服务费管控</w:t>
            </w:r>
          </w:p>
          <w:p w14:paraId="437A6D57">
            <w:pPr>
              <w:spacing w:line="320" w:lineRule="exact"/>
              <w:rPr>
                <w:rFonts w:ascii="仿宋" w:hAnsi="仿宋" w:eastAsia="仿宋"/>
                <w:bCs/>
                <w:kern w:val="2"/>
                <w:szCs w:val="21"/>
              </w:rPr>
            </w:pPr>
            <w:r>
              <w:rPr>
                <w:rFonts w:hint="eastAsia" w:ascii="仿宋" w:hAnsi="仿宋" w:eastAsia="仿宋"/>
                <w:bCs/>
                <w:kern w:val="2"/>
                <w:szCs w:val="21"/>
              </w:rPr>
              <w:t>采购人不收取任何场地管理费、运营服务分成。供应商综合硬件投入、施工、运维、人工、税费等全部成本自主核定充电服务费，需最大限度让利院内充电用户；充电服务费最高限价0.70元/度，投标不得高于最高限价 。</w:t>
            </w:r>
          </w:p>
        </w:tc>
        <w:tc>
          <w:tcPr>
            <w:tcW w:w="930" w:type="dxa"/>
          </w:tcPr>
          <w:p w14:paraId="69ADB06A">
            <w:pPr>
              <w:spacing w:line="320" w:lineRule="exact"/>
              <w:rPr>
                <w:rFonts w:ascii="仿宋" w:hAnsi="仿宋" w:eastAsia="仿宋"/>
                <w:bCs/>
                <w:kern w:val="2"/>
                <w:szCs w:val="21"/>
              </w:rPr>
            </w:pPr>
          </w:p>
        </w:tc>
        <w:tc>
          <w:tcPr>
            <w:tcW w:w="975" w:type="dxa"/>
          </w:tcPr>
          <w:p w14:paraId="0A0CF6CD">
            <w:pPr>
              <w:spacing w:line="320" w:lineRule="exact"/>
              <w:rPr>
                <w:rFonts w:ascii="仿宋" w:hAnsi="仿宋" w:eastAsia="仿宋"/>
                <w:bCs/>
                <w:kern w:val="2"/>
                <w:szCs w:val="21"/>
              </w:rPr>
            </w:pPr>
          </w:p>
        </w:tc>
        <w:tc>
          <w:tcPr>
            <w:tcW w:w="1440" w:type="dxa"/>
          </w:tcPr>
          <w:p w14:paraId="0ADF0CF6">
            <w:pPr>
              <w:spacing w:line="320" w:lineRule="exact"/>
              <w:rPr>
                <w:rFonts w:ascii="仿宋" w:hAnsi="仿宋" w:eastAsia="仿宋"/>
                <w:bCs/>
                <w:kern w:val="2"/>
                <w:szCs w:val="21"/>
              </w:rPr>
            </w:pPr>
          </w:p>
        </w:tc>
        <w:tc>
          <w:tcPr>
            <w:tcW w:w="1232" w:type="dxa"/>
          </w:tcPr>
          <w:p w14:paraId="12884FB0">
            <w:pPr>
              <w:spacing w:line="320" w:lineRule="exact"/>
              <w:rPr>
                <w:rFonts w:ascii="仿宋" w:hAnsi="仿宋" w:eastAsia="仿宋"/>
                <w:bCs/>
                <w:kern w:val="2"/>
                <w:szCs w:val="21"/>
              </w:rPr>
            </w:pPr>
          </w:p>
        </w:tc>
      </w:tr>
      <w:tr w14:paraId="1E7AA8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4834E480">
            <w:pPr>
              <w:spacing w:line="320" w:lineRule="exact"/>
              <w:rPr>
                <w:rFonts w:ascii="仿宋" w:hAnsi="仿宋" w:eastAsia="仿宋"/>
                <w:bCs/>
                <w:kern w:val="2"/>
                <w:szCs w:val="21"/>
              </w:rPr>
            </w:pPr>
          </w:p>
        </w:tc>
        <w:tc>
          <w:tcPr>
            <w:tcW w:w="1575" w:type="dxa"/>
          </w:tcPr>
          <w:p w14:paraId="4148FB30">
            <w:pPr>
              <w:pStyle w:val="2"/>
              <w:keepNext w:val="0"/>
              <w:keepLines w:val="0"/>
              <w:widowControl/>
              <w:adjustRightInd/>
              <w:spacing w:before="0" w:after="0" w:line="360" w:lineRule="auto"/>
              <w:textAlignment w:val="auto"/>
              <w:outlineLvl w:val="1"/>
              <w:rPr>
                <w:rFonts w:ascii="仿宋_GB2312" w:hAnsi="仿宋_GB2312" w:eastAsia="仿宋_GB2312" w:cs="仿宋_GB2312"/>
                <w:b w:val="0"/>
                <w:bCs/>
                <w:color w:val="000000"/>
                <w:kern w:val="2"/>
                <w:sz w:val="28"/>
                <w:szCs w:val="28"/>
              </w:rPr>
            </w:pPr>
            <w:r>
              <w:rPr>
                <w:rFonts w:hint="eastAsia" w:ascii="仿宋_GB2312" w:hAnsi="仿宋_GB2312" w:eastAsia="仿宋_GB2312" w:cs="仿宋_GB2312"/>
                <w:b w:val="0"/>
                <w:bCs/>
                <w:color w:val="000000"/>
                <w:kern w:val="2"/>
                <w:sz w:val="28"/>
                <w:szCs w:val="28"/>
              </w:rPr>
              <w:t>用户信息保密要求</w:t>
            </w:r>
          </w:p>
          <w:p w14:paraId="768F43A2">
            <w:pPr>
              <w:spacing w:line="320" w:lineRule="exact"/>
              <w:rPr>
                <w:rFonts w:ascii="仿宋_GB2312" w:hAnsi="仿宋_GB2312" w:eastAsia="仿宋_GB2312" w:cs="仿宋_GB2312"/>
                <w:color w:val="000000"/>
                <w:kern w:val="2"/>
                <w:sz w:val="28"/>
                <w:szCs w:val="28"/>
                <w:u w:val="single"/>
              </w:rPr>
            </w:pPr>
          </w:p>
        </w:tc>
        <w:tc>
          <w:tcPr>
            <w:tcW w:w="2760" w:type="dxa"/>
          </w:tcPr>
          <w:p w14:paraId="0E288016">
            <w:pPr>
              <w:spacing w:line="320" w:lineRule="exact"/>
              <w:rPr>
                <w:rFonts w:ascii="仿宋" w:hAnsi="仿宋" w:eastAsia="仿宋"/>
                <w:bCs/>
                <w:kern w:val="2"/>
                <w:szCs w:val="21"/>
              </w:rPr>
            </w:pPr>
            <w:r>
              <w:rPr>
                <w:rFonts w:hint="eastAsia" w:ascii="仿宋" w:hAnsi="仿宋" w:eastAsia="仿宋"/>
                <w:bCs/>
                <w:kern w:val="2"/>
                <w:szCs w:val="21"/>
              </w:rPr>
              <w:t>供应商须建立完整用户信息安全管理制度，严格保密院内充电用户身份、手机号、充电记录、支付信息等全部数据，严禁以任何形式向第三方泄露、出售、非法提供用户信息。一经查实存在信息泄露行为，采购人有权单方面无条件解除服务合同，同时依法追究供应商全部经济及法律责任。</w:t>
            </w:r>
          </w:p>
        </w:tc>
        <w:tc>
          <w:tcPr>
            <w:tcW w:w="930" w:type="dxa"/>
          </w:tcPr>
          <w:p w14:paraId="238CD477">
            <w:pPr>
              <w:spacing w:line="320" w:lineRule="exact"/>
              <w:rPr>
                <w:rFonts w:ascii="仿宋" w:hAnsi="仿宋" w:eastAsia="仿宋"/>
                <w:bCs/>
                <w:kern w:val="2"/>
                <w:szCs w:val="21"/>
              </w:rPr>
            </w:pPr>
          </w:p>
        </w:tc>
        <w:tc>
          <w:tcPr>
            <w:tcW w:w="975" w:type="dxa"/>
          </w:tcPr>
          <w:p w14:paraId="3352A247">
            <w:pPr>
              <w:spacing w:line="320" w:lineRule="exact"/>
              <w:rPr>
                <w:rFonts w:ascii="仿宋" w:hAnsi="仿宋" w:eastAsia="仿宋"/>
                <w:bCs/>
                <w:kern w:val="2"/>
                <w:szCs w:val="21"/>
              </w:rPr>
            </w:pPr>
          </w:p>
        </w:tc>
        <w:tc>
          <w:tcPr>
            <w:tcW w:w="1440" w:type="dxa"/>
          </w:tcPr>
          <w:p w14:paraId="5A41954A">
            <w:pPr>
              <w:spacing w:line="320" w:lineRule="exact"/>
              <w:rPr>
                <w:rFonts w:ascii="仿宋" w:hAnsi="仿宋" w:eastAsia="仿宋"/>
                <w:bCs/>
                <w:kern w:val="2"/>
                <w:szCs w:val="21"/>
              </w:rPr>
            </w:pPr>
          </w:p>
        </w:tc>
        <w:tc>
          <w:tcPr>
            <w:tcW w:w="1232" w:type="dxa"/>
          </w:tcPr>
          <w:p w14:paraId="1E278312">
            <w:pPr>
              <w:spacing w:line="320" w:lineRule="exact"/>
              <w:rPr>
                <w:rFonts w:ascii="仿宋" w:hAnsi="仿宋" w:eastAsia="仿宋"/>
                <w:bCs/>
                <w:kern w:val="2"/>
                <w:szCs w:val="21"/>
              </w:rPr>
            </w:pPr>
          </w:p>
        </w:tc>
      </w:tr>
      <w:tr w14:paraId="50FD66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4AACB40B">
            <w:pPr>
              <w:spacing w:line="320" w:lineRule="exact"/>
              <w:rPr>
                <w:rFonts w:ascii="仿宋" w:hAnsi="仿宋" w:eastAsia="仿宋"/>
                <w:bCs/>
                <w:kern w:val="2"/>
                <w:szCs w:val="21"/>
              </w:rPr>
            </w:pPr>
          </w:p>
        </w:tc>
        <w:tc>
          <w:tcPr>
            <w:tcW w:w="1575" w:type="dxa"/>
          </w:tcPr>
          <w:p w14:paraId="7E023C2B">
            <w:pPr>
              <w:spacing w:line="320" w:lineRule="exact"/>
              <w:rPr>
                <w:rFonts w:ascii="仿宋_GB2312" w:hAnsi="仿宋_GB2312" w:eastAsia="仿宋_GB2312" w:cs="仿宋_GB2312"/>
                <w:color w:val="000000"/>
                <w:kern w:val="2"/>
                <w:sz w:val="28"/>
                <w:szCs w:val="28"/>
                <w:u w:val="single"/>
              </w:rPr>
            </w:pPr>
            <w:r>
              <w:rPr>
                <w:rFonts w:hint="eastAsia" w:ascii="仿宋_GB2312" w:hAnsi="仿宋_GB2312" w:eastAsia="仿宋_GB2312" w:cs="仿宋_GB2312"/>
                <w:color w:val="000000"/>
                <w:kern w:val="2"/>
                <w:sz w:val="28"/>
                <w:szCs w:val="28"/>
              </w:rPr>
              <w:t>费用包干范围</w:t>
            </w:r>
          </w:p>
        </w:tc>
        <w:tc>
          <w:tcPr>
            <w:tcW w:w="2760" w:type="dxa"/>
          </w:tcPr>
          <w:p w14:paraId="79A1A46A">
            <w:pPr>
              <w:spacing w:line="320" w:lineRule="exact"/>
              <w:rPr>
                <w:rFonts w:ascii="仿宋" w:hAnsi="仿宋" w:eastAsia="仿宋"/>
                <w:bCs/>
                <w:kern w:val="2"/>
                <w:szCs w:val="21"/>
              </w:rPr>
            </w:pPr>
            <w:r>
              <w:rPr>
                <w:rFonts w:hint="eastAsia" w:ascii="仿宋" w:hAnsi="仿宋" w:eastAsia="仿宋"/>
                <w:bCs/>
                <w:kern w:val="2"/>
                <w:szCs w:val="21"/>
              </w:rPr>
              <w:t>本项目为全费用包干模式，供应商报价须综合包含但不限于：充电桩、控制系统、智能电表、电缆、配电箱、钢结构膜车棚、消防配套设施等软硬件采购费；运输、装卸、现场基础开挖、敷设、安装、调试费；5年服务期内全部设备检修、更换、日常运维、系统升级、后台服务器使用费；人工费、安全文明施工费、垃圾清运费、场地复原费、检测验收费、税金、保险费、扩容改造费等项目全过程所有费用，采购人无需额外支付任何款项。</w:t>
            </w:r>
          </w:p>
        </w:tc>
        <w:tc>
          <w:tcPr>
            <w:tcW w:w="930" w:type="dxa"/>
          </w:tcPr>
          <w:p w14:paraId="660F9BA2">
            <w:pPr>
              <w:spacing w:line="320" w:lineRule="exact"/>
              <w:rPr>
                <w:rFonts w:ascii="仿宋" w:hAnsi="仿宋" w:eastAsia="仿宋"/>
                <w:bCs/>
                <w:kern w:val="2"/>
                <w:szCs w:val="21"/>
              </w:rPr>
            </w:pPr>
          </w:p>
        </w:tc>
        <w:tc>
          <w:tcPr>
            <w:tcW w:w="975" w:type="dxa"/>
          </w:tcPr>
          <w:p w14:paraId="53FD04F8">
            <w:pPr>
              <w:spacing w:line="320" w:lineRule="exact"/>
              <w:rPr>
                <w:rFonts w:ascii="仿宋" w:hAnsi="仿宋" w:eastAsia="仿宋"/>
                <w:bCs/>
                <w:kern w:val="2"/>
                <w:szCs w:val="21"/>
              </w:rPr>
            </w:pPr>
          </w:p>
        </w:tc>
        <w:tc>
          <w:tcPr>
            <w:tcW w:w="1440" w:type="dxa"/>
          </w:tcPr>
          <w:p w14:paraId="20E94B58">
            <w:pPr>
              <w:spacing w:line="320" w:lineRule="exact"/>
              <w:rPr>
                <w:rFonts w:ascii="仿宋" w:hAnsi="仿宋" w:eastAsia="仿宋"/>
                <w:bCs/>
                <w:kern w:val="2"/>
                <w:szCs w:val="21"/>
              </w:rPr>
            </w:pPr>
          </w:p>
        </w:tc>
        <w:tc>
          <w:tcPr>
            <w:tcW w:w="1232" w:type="dxa"/>
          </w:tcPr>
          <w:p w14:paraId="0D58D639">
            <w:pPr>
              <w:spacing w:line="320" w:lineRule="exact"/>
              <w:rPr>
                <w:rFonts w:ascii="仿宋" w:hAnsi="仿宋" w:eastAsia="仿宋"/>
                <w:bCs/>
                <w:kern w:val="2"/>
                <w:szCs w:val="21"/>
              </w:rPr>
            </w:pPr>
          </w:p>
        </w:tc>
      </w:tr>
      <w:tr w14:paraId="259845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7E0C6725">
            <w:pPr>
              <w:spacing w:line="320" w:lineRule="exact"/>
              <w:rPr>
                <w:rFonts w:ascii="仿宋" w:hAnsi="仿宋" w:eastAsia="仿宋"/>
                <w:bCs/>
                <w:kern w:val="2"/>
                <w:szCs w:val="21"/>
              </w:rPr>
            </w:pPr>
          </w:p>
        </w:tc>
        <w:tc>
          <w:tcPr>
            <w:tcW w:w="1575" w:type="dxa"/>
          </w:tcPr>
          <w:p w14:paraId="56934BEE">
            <w:pPr>
              <w:pStyle w:val="2"/>
              <w:keepNext w:val="0"/>
              <w:keepLines w:val="0"/>
              <w:widowControl/>
              <w:adjustRightInd/>
              <w:spacing w:before="0" w:after="0" w:line="360" w:lineRule="auto"/>
              <w:textAlignment w:val="auto"/>
              <w:outlineLvl w:val="1"/>
              <w:rPr>
                <w:rFonts w:ascii="仿宋_GB2312" w:hAnsi="仿宋_GB2312" w:eastAsia="仿宋_GB2312" w:cs="仿宋_GB2312"/>
                <w:b w:val="0"/>
                <w:bCs/>
                <w:color w:val="000000"/>
                <w:kern w:val="2"/>
                <w:sz w:val="28"/>
                <w:szCs w:val="28"/>
              </w:rPr>
            </w:pPr>
            <w:r>
              <w:rPr>
                <w:rFonts w:hint="eastAsia" w:ascii="仿宋_GB2312" w:hAnsi="仿宋_GB2312" w:eastAsia="仿宋_GB2312" w:cs="仿宋_GB2312"/>
                <w:b w:val="0"/>
                <w:bCs/>
                <w:color w:val="000000"/>
                <w:kern w:val="2"/>
                <w:sz w:val="28"/>
                <w:szCs w:val="28"/>
              </w:rPr>
              <w:t>扩容及续建约定</w:t>
            </w:r>
          </w:p>
          <w:p w14:paraId="0AF22501">
            <w:pPr>
              <w:spacing w:line="320" w:lineRule="exact"/>
              <w:rPr>
                <w:rFonts w:ascii="仿宋_GB2312" w:hAnsi="仿宋_GB2312" w:eastAsia="仿宋_GB2312" w:cs="仿宋_GB2312"/>
                <w:color w:val="000000"/>
                <w:kern w:val="2"/>
                <w:sz w:val="28"/>
                <w:szCs w:val="28"/>
              </w:rPr>
            </w:pPr>
          </w:p>
        </w:tc>
        <w:tc>
          <w:tcPr>
            <w:tcW w:w="2760" w:type="dxa"/>
          </w:tcPr>
          <w:p w14:paraId="7D22BE64">
            <w:pPr>
              <w:spacing w:line="320" w:lineRule="exact"/>
              <w:rPr>
                <w:rFonts w:ascii="仿宋" w:hAnsi="仿宋" w:eastAsia="仿宋"/>
                <w:bCs/>
                <w:kern w:val="2"/>
                <w:szCs w:val="21"/>
              </w:rPr>
            </w:pPr>
            <w:r>
              <w:rPr>
                <w:rFonts w:hint="eastAsia" w:ascii="仿宋" w:hAnsi="仿宋" w:eastAsia="仿宋"/>
                <w:bCs/>
                <w:kern w:val="2"/>
                <w:szCs w:val="21"/>
              </w:rPr>
              <w:t>采购人将依据5年服务期内每年度现场安全管理、运维响应、用户满意度综合考核结果，自主决定本次采购需求之外是否再新增充电桩点位或新增车棚（≤200平方），是否交由本成交供应商实施，供应商须无条件配合完成方案设计、施工落地。</w:t>
            </w:r>
          </w:p>
        </w:tc>
        <w:tc>
          <w:tcPr>
            <w:tcW w:w="930" w:type="dxa"/>
          </w:tcPr>
          <w:p w14:paraId="1A637A0D">
            <w:pPr>
              <w:spacing w:line="320" w:lineRule="exact"/>
              <w:rPr>
                <w:rFonts w:ascii="仿宋" w:hAnsi="仿宋" w:eastAsia="仿宋"/>
                <w:bCs/>
                <w:kern w:val="2"/>
                <w:szCs w:val="21"/>
              </w:rPr>
            </w:pPr>
          </w:p>
        </w:tc>
        <w:tc>
          <w:tcPr>
            <w:tcW w:w="975" w:type="dxa"/>
          </w:tcPr>
          <w:p w14:paraId="58BFCE5E">
            <w:pPr>
              <w:spacing w:line="320" w:lineRule="exact"/>
              <w:rPr>
                <w:rFonts w:ascii="仿宋" w:hAnsi="仿宋" w:eastAsia="仿宋"/>
                <w:bCs/>
                <w:kern w:val="2"/>
                <w:szCs w:val="21"/>
              </w:rPr>
            </w:pPr>
          </w:p>
        </w:tc>
        <w:tc>
          <w:tcPr>
            <w:tcW w:w="1440" w:type="dxa"/>
          </w:tcPr>
          <w:p w14:paraId="73608B30">
            <w:pPr>
              <w:spacing w:line="320" w:lineRule="exact"/>
              <w:rPr>
                <w:rFonts w:ascii="仿宋" w:hAnsi="仿宋" w:eastAsia="仿宋"/>
                <w:bCs/>
                <w:kern w:val="2"/>
                <w:szCs w:val="21"/>
              </w:rPr>
            </w:pPr>
          </w:p>
        </w:tc>
        <w:tc>
          <w:tcPr>
            <w:tcW w:w="1232" w:type="dxa"/>
          </w:tcPr>
          <w:p w14:paraId="2C7EA3A3">
            <w:pPr>
              <w:spacing w:line="320" w:lineRule="exact"/>
              <w:rPr>
                <w:rFonts w:ascii="仿宋" w:hAnsi="仿宋" w:eastAsia="仿宋"/>
                <w:bCs/>
                <w:kern w:val="2"/>
                <w:szCs w:val="21"/>
              </w:rPr>
            </w:pPr>
          </w:p>
        </w:tc>
      </w:tr>
      <w:tr w14:paraId="7335AE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85" w:type="dxa"/>
          </w:tcPr>
          <w:p w14:paraId="067515F0">
            <w:pPr>
              <w:spacing w:line="320" w:lineRule="exact"/>
              <w:rPr>
                <w:rFonts w:ascii="仿宋" w:hAnsi="仿宋" w:eastAsia="仿宋"/>
                <w:bCs/>
                <w:kern w:val="2"/>
                <w:szCs w:val="21"/>
              </w:rPr>
            </w:pPr>
          </w:p>
        </w:tc>
        <w:tc>
          <w:tcPr>
            <w:tcW w:w="1575" w:type="dxa"/>
          </w:tcPr>
          <w:p w14:paraId="3E55829E">
            <w:pPr>
              <w:spacing w:line="320" w:lineRule="exact"/>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其他管理要求</w:t>
            </w:r>
          </w:p>
        </w:tc>
        <w:tc>
          <w:tcPr>
            <w:tcW w:w="2760" w:type="dxa"/>
          </w:tcPr>
          <w:p w14:paraId="46CF3787">
            <w:pPr>
              <w:spacing w:line="320" w:lineRule="exact"/>
              <w:rPr>
                <w:rFonts w:ascii="仿宋" w:hAnsi="仿宋" w:eastAsia="仿宋"/>
                <w:bCs/>
                <w:kern w:val="2"/>
                <w:szCs w:val="21"/>
              </w:rPr>
            </w:pPr>
            <w:r>
              <w:rPr>
                <w:rFonts w:hint="eastAsia" w:ascii="仿宋" w:hAnsi="仿宋" w:eastAsia="仿宋"/>
                <w:bCs/>
                <w:kern w:val="2"/>
                <w:szCs w:val="21"/>
              </w:rPr>
              <w:t>1、供应商须建立起完善的收费公示，如标识牌公示、线上公示，并建立价格举报反馈机制，适时动态调整价格制定措施。</w:t>
            </w:r>
          </w:p>
          <w:p w14:paraId="76ED0A15">
            <w:pPr>
              <w:spacing w:line="320" w:lineRule="exact"/>
              <w:rPr>
                <w:rFonts w:ascii="仿宋" w:hAnsi="仿宋" w:eastAsia="仿宋"/>
                <w:bCs/>
                <w:kern w:val="2"/>
                <w:szCs w:val="21"/>
              </w:rPr>
            </w:pPr>
            <w:r>
              <w:rPr>
                <w:rFonts w:hint="eastAsia" w:ascii="仿宋" w:hAnsi="仿宋" w:eastAsia="仿宋"/>
                <w:bCs/>
                <w:kern w:val="2"/>
                <w:szCs w:val="21"/>
              </w:rPr>
              <w:t>2、施工全过程遵守医院消防安全、院内交通、施工管理规定，做好现场围挡、警示防护，规避就医人流安全风险；</w:t>
            </w:r>
          </w:p>
          <w:p w14:paraId="0B22413C">
            <w:pPr>
              <w:spacing w:line="320" w:lineRule="exact"/>
              <w:rPr>
                <w:rFonts w:ascii="仿宋" w:hAnsi="仿宋" w:eastAsia="仿宋"/>
                <w:bCs/>
                <w:kern w:val="2"/>
                <w:szCs w:val="21"/>
              </w:rPr>
            </w:pPr>
            <w:r>
              <w:rPr>
                <w:rFonts w:hint="eastAsia" w:ascii="仿宋" w:hAnsi="仿宋" w:eastAsia="仿宋"/>
                <w:bCs/>
                <w:kern w:val="2"/>
                <w:szCs w:val="21"/>
              </w:rPr>
              <w:t>3、5年服务期内设备故障、线路损坏须在采购人报修后限时到场处置，保障充电设施稳定运行；</w:t>
            </w:r>
          </w:p>
          <w:p w14:paraId="1730FD75">
            <w:pPr>
              <w:spacing w:line="320" w:lineRule="exact"/>
              <w:rPr>
                <w:rFonts w:ascii="仿宋" w:hAnsi="仿宋" w:eastAsia="仿宋"/>
                <w:bCs/>
                <w:kern w:val="2"/>
                <w:szCs w:val="21"/>
              </w:rPr>
            </w:pPr>
            <w:r>
              <w:rPr>
                <w:rFonts w:hint="eastAsia" w:ascii="仿宋" w:hAnsi="仿宋" w:eastAsia="仿宋"/>
                <w:bCs/>
                <w:kern w:val="2"/>
                <w:szCs w:val="21"/>
              </w:rPr>
              <w:t>4、除电动自行车自身质量问题，由车棚自身及安装质量、线路、充电桩质量等问题引起的所有火灾或人生财产安全事故，均由供应商负责。</w:t>
            </w:r>
          </w:p>
        </w:tc>
        <w:tc>
          <w:tcPr>
            <w:tcW w:w="930" w:type="dxa"/>
          </w:tcPr>
          <w:p w14:paraId="3CABFD9D">
            <w:pPr>
              <w:spacing w:line="320" w:lineRule="exact"/>
              <w:rPr>
                <w:rFonts w:ascii="仿宋" w:hAnsi="仿宋" w:eastAsia="仿宋"/>
                <w:bCs/>
                <w:kern w:val="2"/>
                <w:szCs w:val="21"/>
              </w:rPr>
            </w:pPr>
          </w:p>
        </w:tc>
        <w:tc>
          <w:tcPr>
            <w:tcW w:w="975" w:type="dxa"/>
          </w:tcPr>
          <w:p w14:paraId="34852FE2">
            <w:pPr>
              <w:spacing w:line="320" w:lineRule="exact"/>
              <w:rPr>
                <w:rFonts w:ascii="仿宋" w:hAnsi="仿宋" w:eastAsia="仿宋"/>
                <w:bCs/>
                <w:kern w:val="2"/>
                <w:szCs w:val="21"/>
              </w:rPr>
            </w:pPr>
          </w:p>
        </w:tc>
        <w:tc>
          <w:tcPr>
            <w:tcW w:w="1440" w:type="dxa"/>
          </w:tcPr>
          <w:p w14:paraId="19DF6340">
            <w:pPr>
              <w:spacing w:line="320" w:lineRule="exact"/>
              <w:rPr>
                <w:rFonts w:ascii="仿宋" w:hAnsi="仿宋" w:eastAsia="仿宋"/>
                <w:bCs/>
                <w:kern w:val="2"/>
                <w:szCs w:val="21"/>
              </w:rPr>
            </w:pPr>
          </w:p>
        </w:tc>
        <w:tc>
          <w:tcPr>
            <w:tcW w:w="1232" w:type="dxa"/>
          </w:tcPr>
          <w:p w14:paraId="3C35EDCE">
            <w:pPr>
              <w:spacing w:line="320" w:lineRule="exact"/>
              <w:rPr>
                <w:rFonts w:ascii="仿宋" w:hAnsi="仿宋" w:eastAsia="仿宋"/>
                <w:bCs/>
                <w:kern w:val="2"/>
                <w:szCs w:val="21"/>
              </w:rPr>
            </w:pPr>
          </w:p>
        </w:tc>
      </w:tr>
    </w:tbl>
    <w:p w14:paraId="142371A7">
      <w:pPr>
        <w:spacing w:line="360" w:lineRule="auto"/>
        <w:ind w:left="-363" w:firstLine="363"/>
        <w:rPr>
          <w:rFonts w:ascii="宋体" w:hAnsi="宋体" w:cs="宋体"/>
          <w:color w:val="000000"/>
          <w:sz w:val="24"/>
          <w:szCs w:val="24"/>
        </w:rPr>
      </w:pPr>
    </w:p>
    <w:p w14:paraId="52629F0E">
      <w:pPr>
        <w:spacing w:line="360" w:lineRule="auto"/>
        <w:ind w:left="-363" w:firstLine="363"/>
        <w:jc w:val="center"/>
        <w:rPr>
          <w:rFonts w:ascii="宋体" w:hAnsi="宋体" w:cs="宋体"/>
          <w:color w:val="000000"/>
          <w:sz w:val="24"/>
          <w:szCs w:val="24"/>
        </w:rPr>
      </w:pPr>
      <w:r>
        <w:rPr>
          <w:rFonts w:hint="eastAsia" w:ascii="仿宋" w:hAnsi="仿宋" w:eastAsia="仿宋" w:cs="宋体"/>
          <w:b/>
          <w:bCs/>
          <w:color w:val="000000"/>
          <w:sz w:val="24"/>
        </w:rPr>
        <w:t>第二部分：  单项市场报价清单</w:t>
      </w:r>
      <w:bookmarkStart w:id="0" w:name="_Toc5601"/>
      <w:bookmarkStart w:id="1" w:name="_Toc4696"/>
      <w:bookmarkStart w:id="2" w:name="_Toc20594"/>
      <w:bookmarkStart w:id="3" w:name="_Toc10816"/>
      <w:bookmarkStart w:id="4" w:name="_Toc9181"/>
      <w:bookmarkStart w:id="5" w:name="_Toc15830"/>
      <w:r>
        <w:rPr>
          <w:rFonts w:hint="eastAsia" w:ascii="宋体" w:hAnsi="宋体" w:eastAsia="宋体" w:cs="宋体"/>
          <w:sz w:val="24"/>
          <w:szCs w:val="24"/>
        </w:rPr>
        <w:t>报价单</w:t>
      </w:r>
      <w:bookmarkEnd w:id="0"/>
      <w:bookmarkEnd w:id="1"/>
      <w:bookmarkEnd w:id="2"/>
      <w:bookmarkEnd w:id="3"/>
      <w:bookmarkEnd w:id="4"/>
      <w:bookmarkEnd w:id="5"/>
    </w:p>
    <w:p w14:paraId="357C580B">
      <w:pPr>
        <w:rPr>
          <w:rFonts w:ascii="宋体" w:hAnsi="宋体" w:cs="宋体"/>
        </w:rPr>
      </w:pPr>
    </w:p>
    <w:tbl>
      <w:tblPr>
        <w:tblStyle w:val="14"/>
        <w:tblW w:w="974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44"/>
        <w:gridCol w:w="2774"/>
        <w:gridCol w:w="6229"/>
      </w:tblGrid>
      <w:tr w14:paraId="73AFB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5" w:hRule="atLeast"/>
          <w:jc w:val="center"/>
        </w:trPr>
        <w:tc>
          <w:tcPr>
            <w:tcW w:w="744" w:type="dxa"/>
            <w:noWrap/>
            <w:vAlign w:val="center"/>
          </w:tcPr>
          <w:p w14:paraId="0CA2B7EC">
            <w:pPr>
              <w:jc w:val="center"/>
              <w:rPr>
                <w:rFonts w:ascii="宋体" w:hAnsi="宋体" w:cs="宋体"/>
                <w:b/>
                <w:szCs w:val="21"/>
              </w:rPr>
            </w:pPr>
            <w:r>
              <w:rPr>
                <w:rFonts w:hint="eastAsia" w:ascii="宋体" w:hAnsi="宋体" w:cs="宋体"/>
                <w:b/>
                <w:szCs w:val="21"/>
              </w:rPr>
              <w:t>序号</w:t>
            </w:r>
          </w:p>
        </w:tc>
        <w:tc>
          <w:tcPr>
            <w:tcW w:w="2774" w:type="dxa"/>
            <w:noWrap/>
            <w:vAlign w:val="center"/>
          </w:tcPr>
          <w:p w14:paraId="4BC1A914">
            <w:pPr>
              <w:jc w:val="center"/>
              <w:rPr>
                <w:rFonts w:ascii="宋体" w:hAnsi="宋体" w:cs="宋体"/>
                <w:b/>
                <w:szCs w:val="21"/>
              </w:rPr>
            </w:pPr>
            <w:r>
              <w:rPr>
                <w:rFonts w:hint="eastAsia" w:ascii="宋体" w:hAnsi="宋体" w:cs="宋体"/>
                <w:b/>
                <w:szCs w:val="21"/>
              </w:rPr>
              <w:t>项目</w:t>
            </w:r>
          </w:p>
        </w:tc>
        <w:tc>
          <w:tcPr>
            <w:tcW w:w="6229" w:type="dxa"/>
            <w:noWrap/>
            <w:vAlign w:val="center"/>
          </w:tcPr>
          <w:p w14:paraId="0A66765A">
            <w:pPr>
              <w:jc w:val="center"/>
              <w:rPr>
                <w:rFonts w:ascii="宋体" w:hAnsi="宋体" w:cs="宋体"/>
                <w:b/>
                <w:szCs w:val="21"/>
              </w:rPr>
            </w:pPr>
            <w:r>
              <w:rPr>
                <w:rFonts w:hint="eastAsia" w:ascii="宋体" w:hAnsi="宋体" w:cs="宋体"/>
                <w:b/>
                <w:szCs w:val="21"/>
              </w:rPr>
              <w:t>内容</w:t>
            </w:r>
          </w:p>
        </w:tc>
      </w:tr>
      <w:tr w14:paraId="54535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jc w:val="center"/>
        </w:trPr>
        <w:tc>
          <w:tcPr>
            <w:tcW w:w="744" w:type="dxa"/>
            <w:noWrap/>
            <w:vAlign w:val="center"/>
          </w:tcPr>
          <w:p w14:paraId="22E45365">
            <w:pPr>
              <w:jc w:val="center"/>
              <w:rPr>
                <w:rFonts w:ascii="宋体" w:hAnsi="宋体" w:cs="宋体"/>
                <w:szCs w:val="21"/>
              </w:rPr>
            </w:pPr>
            <w:r>
              <w:rPr>
                <w:rFonts w:hint="eastAsia" w:ascii="宋体" w:hAnsi="宋体" w:cs="宋体"/>
                <w:szCs w:val="21"/>
              </w:rPr>
              <w:t>1</w:t>
            </w:r>
          </w:p>
        </w:tc>
        <w:tc>
          <w:tcPr>
            <w:tcW w:w="2774" w:type="dxa"/>
            <w:noWrap/>
            <w:vAlign w:val="center"/>
          </w:tcPr>
          <w:p w14:paraId="118A123D">
            <w:pPr>
              <w:jc w:val="center"/>
              <w:rPr>
                <w:rFonts w:ascii="宋体" w:hAnsi="宋体" w:cs="宋体"/>
                <w:szCs w:val="21"/>
              </w:rPr>
            </w:pPr>
            <w:r>
              <w:rPr>
                <w:rFonts w:hint="eastAsia" w:ascii="宋体" w:hAnsi="宋体" w:cs="宋体"/>
                <w:szCs w:val="21"/>
              </w:rPr>
              <w:t>电动自行车充电桩服务费响应报价</w:t>
            </w:r>
          </w:p>
        </w:tc>
        <w:tc>
          <w:tcPr>
            <w:tcW w:w="6229" w:type="dxa"/>
            <w:noWrap/>
            <w:vAlign w:val="center"/>
          </w:tcPr>
          <w:p w14:paraId="5036BB5D">
            <w:pPr>
              <w:jc w:val="center"/>
              <w:rPr>
                <w:rFonts w:ascii="宋体" w:hAnsi="宋体" w:cs="宋体"/>
                <w:szCs w:val="21"/>
                <w:u w:val="single"/>
              </w:rPr>
            </w:pPr>
            <w:r>
              <w:rPr>
                <w:rFonts w:hint="eastAsia" w:ascii="宋体" w:hAnsi="宋体" w:cs="宋体"/>
                <w:szCs w:val="21"/>
                <w:u w:val="single"/>
              </w:rPr>
              <w:t>**.**</w:t>
            </w:r>
            <w:r>
              <w:rPr>
                <w:rFonts w:hint="eastAsia" w:ascii="宋体" w:hAnsi="宋体" w:cs="宋体"/>
                <w:szCs w:val="21"/>
              </w:rPr>
              <w:t>元/度</w:t>
            </w:r>
          </w:p>
        </w:tc>
      </w:tr>
      <w:tr w14:paraId="5C830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4" w:hRule="atLeast"/>
          <w:jc w:val="center"/>
        </w:trPr>
        <w:tc>
          <w:tcPr>
            <w:tcW w:w="9747" w:type="dxa"/>
            <w:gridSpan w:val="3"/>
            <w:noWrap/>
            <w:vAlign w:val="center"/>
          </w:tcPr>
          <w:p w14:paraId="24E17D5F">
            <w:pPr>
              <w:rPr>
                <w:rFonts w:ascii="宋体" w:hAnsi="宋体" w:cs="宋体"/>
                <w:szCs w:val="21"/>
                <w:u w:val="single"/>
              </w:rPr>
            </w:pPr>
            <w:r>
              <w:rPr>
                <w:rFonts w:hint="eastAsia" w:ascii="宋体" w:hAnsi="宋体" w:cs="宋体"/>
                <w:szCs w:val="21"/>
                <w:u w:val="single"/>
              </w:rPr>
              <w:t>注：报价最多保留小数点后两位，禁止出现三位及以上小数，否则视为报价不响应磋商文件要求。</w:t>
            </w:r>
          </w:p>
        </w:tc>
      </w:tr>
    </w:tbl>
    <w:p w14:paraId="35FBFB1D">
      <w:pPr>
        <w:pStyle w:val="6"/>
        <w:spacing w:line="360" w:lineRule="auto"/>
        <w:rPr>
          <w:rFonts w:ascii="宋体" w:hAnsi="宋体" w:eastAsia="宋体" w:cs="宋体"/>
          <w:b/>
          <w:bCs/>
          <w:sz w:val="24"/>
        </w:rPr>
      </w:pPr>
    </w:p>
    <w:p w14:paraId="71AD9F69">
      <w:pPr>
        <w:pStyle w:val="6"/>
        <w:spacing w:line="560" w:lineRule="exact"/>
        <w:rPr>
          <w:rFonts w:ascii="宋体" w:hAnsi="宋体" w:eastAsia="宋体" w:cs="宋体"/>
          <w:b/>
          <w:bCs/>
          <w:sz w:val="24"/>
          <w:szCs w:val="28"/>
        </w:rPr>
      </w:pPr>
      <w:r>
        <w:rPr>
          <w:rFonts w:hint="eastAsia" w:ascii="宋体" w:hAnsi="宋体" w:eastAsia="宋体" w:cs="宋体"/>
          <w:b/>
          <w:bCs/>
          <w:sz w:val="24"/>
        </w:rPr>
        <w:t>供应商盖章：</w:t>
      </w:r>
    </w:p>
    <w:p w14:paraId="36FDE953">
      <w:pPr>
        <w:spacing w:line="560" w:lineRule="exact"/>
        <w:rPr>
          <w:rFonts w:ascii="宋体" w:hAnsi="宋体" w:cs="宋体"/>
          <w:b/>
          <w:bCs/>
          <w:sz w:val="24"/>
          <w:szCs w:val="28"/>
        </w:rPr>
      </w:pPr>
      <w:r>
        <w:rPr>
          <w:rFonts w:hint="eastAsia" w:ascii="宋体" w:hAnsi="宋体" w:cs="宋体"/>
          <w:b/>
          <w:bCs/>
          <w:sz w:val="24"/>
          <w:szCs w:val="28"/>
        </w:rPr>
        <w:t>日  期：   年   月   日</w:t>
      </w:r>
    </w:p>
    <w:p w14:paraId="3FA1B99E">
      <w:pPr>
        <w:spacing w:line="360" w:lineRule="auto"/>
        <w:rPr>
          <w:rFonts w:ascii="仿宋" w:hAnsi="仿宋" w:eastAsia="仿宋" w:cs="宋体"/>
          <w:b/>
          <w:bCs/>
          <w:color w:val="000000"/>
          <w:sz w:val="24"/>
        </w:rPr>
      </w:pPr>
      <w:r>
        <w:rPr>
          <w:rFonts w:hint="eastAsia" w:ascii="宋体" w:hAnsi="宋体" w:cs="宋体"/>
          <w:bCs/>
          <w:sz w:val="24"/>
          <w:szCs w:val="24"/>
        </w:rPr>
        <w:t>注：</w:t>
      </w:r>
      <w:r>
        <w:rPr>
          <w:rFonts w:hint="eastAsia" w:ascii="仿宋" w:hAnsi="仿宋" w:eastAsia="仿宋"/>
          <w:bCs/>
          <w:color w:val="FF0000"/>
          <w:sz w:val="24"/>
          <w:szCs w:val="24"/>
        </w:rPr>
        <w:t>供应商所报价格为市场价格，且包含人工费、安装费、税费等完成本项目应有的全部费用。</w:t>
      </w:r>
      <w:r>
        <w:rPr>
          <w:rFonts w:hint="eastAsia" w:ascii="宋体" w:hAnsi="宋体" w:cs="宋体"/>
          <w:bCs/>
          <w:sz w:val="24"/>
          <w:szCs w:val="24"/>
        </w:rPr>
        <w:t>表中所列服务为对应本项目需求的全部服务内容。如有漏项或缺项，供应商承担全部责任。</w:t>
      </w:r>
      <w:bookmarkStart w:id="6" w:name="_GoBack"/>
      <w:bookmarkEnd w:id="6"/>
    </w:p>
    <w:sectPr>
      <w:footerReference r:id="rId4" w:type="default"/>
      <w:pgSz w:w="11906" w:h="16838"/>
      <w:pgMar w:top="1043" w:right="1800" w:bottom="1043"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0F0FB">
    <w:pPr>
      <w:pStyle w:val="8"/>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31EF55E4">
                <w:pPr>
                  <w:pStyle w:val="8"/>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M4ODE4ZTdhZWU4ODdhMzE3NDUwMjNjMWRmZTI1MGEifQ=="/>
  </w:docVars>
  <w:rsids>
    <w:rsidRoot w:val="00172A27"/>
    <w:rsid w:val="00172A27"/>
    <w:rsid w:val="002B4EF6"/>
    <w:rsid w:val="00320A00"/>
    <w:rsid w:val="00681A88"/>
    <w:rsid w:val="008A401C"/>
    <w:rsid w:val="00BA2C36"/>
    <w:rsid w:val="00E724B7"/>
    <w:rsid w:val="00E97125"/>
    <w:rsid w:val="00EC2268"/>
    <w:rsid w:val="072F5E9F"/>
    <w:rsid w:val="087F780C"/>
    <w:rsid w:val="08807264"/>
    <w:rsid w:val="08FB7FB8"/>
    <w:rsid w:val="090328D7"/>
    <w:rsid w:val="093E0AE4"/>
    <w:rsid w:val="0A1C72DC"/>
    <w:rsid w:val="0B344B68"/>
    <w:rsid w:val="0CE6545F"/>
    <w:rsid w:val="0D0500E0"/>
    <w:rsid w:val="0D4C4D52"/>
    <w:rsid w:val="1110083C"/>
    <w:rsid w:val="11330220"/>
    <w:rsid w:val="1312140E"/>
    <w:rsid w:val="17F2472A"/>
    <w:rsid w:val="1A2F0E9E"/>
    <w:rsid w:val="1BA97118"/>
    <w:rsid w:val="1BCD6688"/>
    <w:rsid w:val="1D422BC3"/>
    <w:rsid w:val="1E2A1B70"/>
    <w:rsid w:val="20776154"/>
    <w:rsid w:val="2C353990"/>
    <w:rsid w:val="2C5C2B8F"/>
    <w:rsid w:val="2EDC4A87"/>
    <w:rsid w:val="306E6410"/>
    <w:rsid w:val="33B82047"/>
    <w:rsid w:val="35B619D8"/>
    <w:rsid w:val="3787198A"/>
    <w:rsid w:val="39351F57"/>
    <w:rsid w:val="3BF77EAD"/>
    <w:rsid w:val="3DEA4734"/>
    <w:rsid w:val="3FF37CEE"/>
    <w:rsid w:val="42393597"/>
    <w:rsid w:val="43D73918"/>
    <w:rsid w:val="443A14A9"/>
    <w:rsid w:val="4BCE5B99"/>
    <w:rsid w:val="4EE5681A"/>
    <w:rsid w:val="505B486C"/>
    <w:rsid w:val="546C5149"/>
    <w:rsid w:val="5D626997"/>
    <w:rsid w:val="5DA10E46"/>
    <w:rsid w:val="60D45973"/>
    <w:rsid w:val="61C76A42"/>
    <w:rsid w:val="675820AE"/>
    <w:rsid w:val="67952EEF"/>
    <w:rsid w:val="684F3C7A"/>
    <w:rsid w:val="68D26669"/>
    <w:rsid w:val="6CD461C5"/>
    <w:rsid w:val="7174447F"/>
    <w:rsid w:val="74F73B54"/>
    <w:rsid w:val="7B6D2571"/>
    <w:rsid w:val="7BA449F9"/>
    <w:rsid w:val="7E057CDF"/>
    <w:rsid w:val="7FF23C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2"/>
    <w:basedOn w:val="1"/>
    <w:next w:val="1"/>
    <w:link w:val="27"/>
    <w:autoRedefine/>
    <w:qFormat/>
    <w:uiPriority w:val="0"/>
    <w:pPr>
      <w:keepNext/>
      <w:keepLines/>
      <w:widowControl w:val="0"/>
      <w:snapToGrid/>
      <w:spacing w:before="260" w:after="260" w:line="416" w:lineRule="atLeast"/>
      <w:textAlignment w:val="baseline"/>
      <w:outlineLvl w:val="1"/>
    </w:pPr>
    <w:rPr>
      <w:rFonts w:ascii="Arial" w:hAnsi="Arial" w:eastAsia="黑体" w:cs="Times New Roman"/>
      <w:b/>
      <w:sz w:val="32"/>
      <w:szCs w:val="20"/>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99"/>
    <w:pPr>
      <w:spacing w:after="120"/>
    </w:pPr>
  </w:style>
  <w:style w:type="paragraph" w:styleId="4">
    <w:name w:val="Body Text Indent"/>
    <w:basedOn w:val="1"/>
    <w:next w:val="5"/>
    <w:semiHidden/>
    <w:qFormat/>
    <w:uiPriority w:val="0"/>
    <w:pPr>
      <w:ind w:firstLine="560" w:firstLineChars="200"/>
    </w:pPr>
    <w:rPr>
      <w:sz w:val="28"/>
    </w:rPr>
  </w:style>
  <w:style w:type="paragraph" w:styleId="5">
    <w:name w:val="envelope return"/>
    <w:basedOn w:val="1"/>
    <w:qFormat/>
    <w:uiPriority w:val="0"/>
    <w:rPr>
      <w:rFonts w:ascii="Arial" w:hAnsi="Arial"/>
    </w:rPr>
  </w:style>
  <w:style w:type="paragraph" w:styleId="6">
    <w:name w:val="Date"/>
    <w:basedOn w:val="1"/>
    <w:next w:val="1"/>
    <w:link w:val="29"/>
    <w:autoRedefine/>
    <w:qFormat/>
    <w:uiPriority w:val="0"/>
    <w:pPr>
      <w:widowControl w:val="0"/>
      <w:adjustRightInd/>
      <w:snapToGrid/>
      <w:spacing w:after="0"/>
      <w:jc w:val="both"/>
    </w:pPr>
    <w:rPr>
      <w:rFonts w:ascii="Arial" w:hAnsi="Arial" w:eastAsia="楷体_GB2312" w:cs="Times New Roman"/>
      <w:kern w:val="2"/>
      <w:sz w:val="28"/>
      <w:szCs w:val="20"/>
    </w:rPr>
  </w:style>
  <w:style w:type="paragraph" w:styleId="7">
    <w:name w:val="Balloon Text"/>
    <w:basedOn w:val="1"/>
    <w:link w:val="28"/>
    <w:qFormat/>
    <w:uiPriority w:val="0"/>
    <w:pPr>
      <w:spacing w:after="0"/>
    </w:pPr>
    <w:rPr>
      <w:sz w:val="18"/>
      <w:szCs w:val="18"/>
    </w:rPr>
  </w:style>
  <w:style w:type="paragraph" w:styleId="8">
    <w:name w:val="footer"/>
    <w:basedOn w:val="1"/>
    <w:unhideWhenUsed/>
    <w:qFormat/>
    <w:uiPriority w:val="99"/>
    <w:pPr>
      <w:tabs>
        <w:tab w:val="center" w:pos="4153"/>
        <w:tab w:val="right" w:pos="8306"/>
      </w:tabs>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0">
    <w:name w:val="Normal (Web)"/>
    <w:basedOn w:val="1"/>
    <w:qFormat/>
    <w:uiPriority w:val="0"/>
    <w:rPr>
      <w:sz w:val="24"/>
    </w:rPr>
  </w:style>
  <w:style w:type="paragraph" w:styleId="11">
    <w:name w:val="Title"/>
    <w:basedOn w:val="1"/>
    <w:qFormat/>
    <w:uiPriority w:val="1"/>
    <w:pPr>
      <w:spacing w:before="22"/>
      <w:ind w:left="1499" w:right="1500"/>
      <w:jc w:val="center"/>
    </w:pPr>
    <w:rPr>
      <w:rFonts w:ascii="黑体" w:hAnsi="黑体" w:eastAsia="黑体" w:cs="黑体"/>
      <w:sz w:val="36"/>
      <w:szCs w:val="36"/>
    </w:rPr>
  </w:style>
  <w:style w:type="paragraph" w:styleId="12">
    <w:name w:val="Body Text First Indent"/>
    <w:basedOn w:val="3"/>
    <w:unhideWhenUsed/>
    <w:qFormat/>
    <w:uiPriority w:val="99"/>
    <w:pPr>
      <w:ind w:firstLine="420" w:firstLineChars="100"/>
    </w:pPr>
    <w:rPr>
      <w:rFonts w:ascii="Times New Roman" w:hAnsi="Times New Roman" w:eastAsia="宋体" w:cs="Times New Roman"/>
      <w:szCs w:val="20"/>
    </w:rPr>
  </w:style>
  <w:style w:type="paragraph" w:styleId="13">
    <w:name w:val="Body Text First Indent 2"/>
    <w:basedOn w:val="4"/>
    <w:qFormat/>
    <w:uiPriority w:val="0"/>
    <w:pPr>
      <w:spacing w:after="120" w:line="312" w:lineRule="atLeast"/>
      <w:ind w:left="420" w:firstLine="420"/>
    </w:pPr>
    <w:rPr>
      <w:rFonts w:ascii="Times New Roman" w:eastAsia="宋体"/>
      <w:sz w:val="24"/>
    </w:rPr>
  </w:style>
  <w:style w:type="table" w:styleId="15">
    <w:name w:val="Table Grid"/>
    <w:basedOn w:val="14"/>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paragraph" w:customStyle="1" w:styleId="19">
    <w:name w:val="style4"/>
    <w:basedOn w:val="1"/>
    <w:next w:val="20"/>
    <w:qFormat/>
    <w:uiPriority w:val="0"/>
    <w:pPr>
      <w:spacing w:before="280" w:after="280"/>
    </w:pPr>
    <w:rPr>
      <w:rFonts w:ascii="宋体" w:hAnsi="Times New Roman" w:eastAsia="宋体" w:cs="Times New Roman"/>
      <w:sz w:val="18"/>
    </w:rPr>
  </w:style>
  <w:style w:type="paragraph" w:customStyle="1" w:styleId="20">
    <w:name w:val="2"/>
    <w:next w:val="1"/>
    <w:qFormat/>
    <w:uiPriority w:val="0"/>
    <w:pPr>
      <w:widowControl w:val="0"/>
      <w:jc w:val="both"/>
    </w:pPr>
    <w:rPr>
      <w:rFonts w:ascii="Calibri" w:hAnsi="Calibri" w:eastAsia="宋体" w:cs="Times New Roman"/>
      <w:sz w:val="21"/>
      <w:szCs w:val="22"/>
      <w:lang w:val="en-US" w:eastAsia="zh-CN" w:bidi="ar-SA"/>
    </w:rPr>
  </w:style>
  <w:style w:type="paragraph" w:styleId="21">
    <w:name w:val="List Paragraph"/>
    <w:basedOn w:val="1"/>
    <w:qFormat/>
    <w:uiPriority w:val="34"/>
    <w:pPr>
      <w:ind w:firstLine="420" w:firstLineChars="200"/>
    </w:pPr>
  </w:style>
  <w:style w:type="character" w:customStyle="1" w:styleId="22">
    <w:name w:val="NormalCharacter"/>
    <w:qFormat/>
    <w:uiPriority w:val="0"/>
  </w:style>
  <w:style w:type="table" w:customStyle="1" w:styleId="23">
    <w:name w:val="Table Normal"/>
    <w:basedOn w:val="14"/>
    <w:semiHidden/>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Arial" w:hAnsi="Arial" w:eastAsia="Arial" w:cs="Arial"/>
      <w:sz w:val="21"/>
      <w:szCs w:val="21"/>
      <w:lang w:eastAsia="en-US"/>
    </w:rPr>
  </w:style>
  <w:style w:type="paragraph" w:customStyle="1" w:styleId="25">
    <w:name w:val="Table Paragraph"/>
    <w:basedOn w:val="1"/>
    <w:qFormat/>
    <w:uiPriority w:val="1"/>
    <w:pPr>
      <w:spacing w:before="47"/>
      <w:ind w:left="107"/>
    </w:pPr>
  </w:style>
  <w:style w:type="character" w:customStyle="1" w:styleId="26">
    <w:name w:val="标题 2 Char"/>
    <w:basedOn w:val="16"/>
    <w:link w:val="2"/>
    <w:semiHidden/>
    <w:qFormat/>
    <w:uiPriority w:val="0"/>
    <w:rPr>
      <w:rFonts w:asciiTheme="majorHAnsi" w:hAnsiTheme="majorHAnsi" w:eastAsiaTheme="majorEastAsia" w:cstheme="majorBidi"/>
      <w:b/>
      <w:bCs/>
      <w:sz w:val="32"/>
      <w:szCs w:val="32"/>
    </w:rPr>
  </w:style>
  <w:style w:type="character" w:customStyle="1" w:styleId="27">
    <w:name w:val="标题 2 Char1"/>
    <w:link w:val="2"/>
    <w:autoRedefine/>
    <w:qFormat/>
    <w:uiPriority w:val="0"/>
    <w:rPr>
      <w:rFonts w:ascii="Arial" w:hAnsi="Arial" w:eastAsia="黑体"/>
      <w:b/>
      <w:sz w:val="32"/>
    </w:rPr>
  </w:style>
  <w:style w:type="character" w:customStyle="1" w:styleId="28">
    <w:name w:val="批注框文本 Char"/>
    <w:basedOn w:val="16"/>
    <w:link w:val="7"/>
    <w:qFormat/>
    <w:uiPriority w:val="0"/>
    <w:rPr>
      <w:rFonts w:ascii="Tahoma" w:hAnsi="Tahoma" w:eastAsia="微软雅黑" w:cstheme="minorBidi"/>
      <w:sz w:val="18"/>
      <w:szCs w:val="18"/>
    </w:rPr>
  </w:style>
  <w:style w:type="character" w:customStyle="1" w:styleId="29">
    <w:name w:val="日期 Char"/>
    <w:basedOn w:val="16"/>
    <w:link w:val="6"/>
    <w:qFormat/>
    <w:uiPriority w:val="0"/>
    <w:rPr>
      <w:rFonts w:ascii="Arial" w:hAnsi="Arial" w:eastAsia="楷体_GB2312"/>
      <w:kern w:val="2"/>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818</Words>
  <Characters>853</Characters>
  <Lines>2</Lines>
  <Paragraphs>6</Paragraphs>
  <TotalTime>19</TotalTime>
  <ScaleCrop>false</ScaleCrop>
  <LinksUpToDate>false</LinksUpToDate>
  <CharactersWithSpaces>863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2024-09-24T10:07:00Z</dcterms:created>
  <dc:creator>Y</dc:creator>
  <cp:lastModifiedBy>朱云徽</cp:lastModifiedBy>
  <cp:lastPrinted>2024-09-26T06:51:00Z</cp:lastPrinted>
  <dcterms:modified xsi:type="dcterms:W3CDTF">2026-08-14T09:48:10Z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387BBD8A731B46C285308EBD4B4D08A4_13</vt:lpwstr>
  </property>
  <property fmtid="{D5CDD505-2E9C-101B-9397-08002B2CF9AE}" pid="4" name="KSOTemplateDocerSaveRecord">
    <vt:lpwstr>eyJoZGlkIjoiMmRkNTIyYTNiOGU4YzIwYWUyOTE5NDgyMGI5ODlmNTIiLCJ1c2VySWQiOiIzOTkxMzY3NjYifQ==</vt:lpwstr>
  </property>
</Properties>
</file>