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BCEB7">
      <w:pPr>
        <w:spacing w:line="320" w:lineRule="exact"/>
        <w:jc w:val="center"/>
        <w:rPr>
          <w:rFonts w:ascii="仿宋" w:hAnsi="仿宋" w:eastAsia="仿宋"/>
          <w:sz w:val="32"/>
          <w:szCs w:val="32"/>
        </w:rPr>
      </w:pPr>
      <w:r>
        <w:rPr>
          <w:rFonts w:hint="eastAsia" w:asciiTheme="majorEastAsia" w:hAnsiTheme="majorEastAsia" w:eastAsiaTheme="majorEastAsia"/>
          <w:b/>
          <w:sz w:val="32"/>
          <w:szCs w:val="32"/>
        </w:rPr>
        <w:t>附件：拟购</w:t>
      </w:r>
      <w:r>
        <w:rPr>
          <w:rFonts w:hint="eastAsia" w:asciiTheme="majorEastAsia" w:hAnsiTheme="majorEastAsia" w:eastAsiaTheme="majorEastAsia"/>
          <w:b/>
          <w:sz w:val="36"/>
          <w:szCs w:val="36"/>
        </w:rPr>
        <w:t>六安市数字影像服务项目</w:t>
      </w:r>
      <w:r>
        <w:rPr>
          <w:rFonts w:hint="eastAsia" w:asciiTheme="majorEastAsia" w:hAnsiTheme="majorEastAsia" w:eastAsiaTheme="majorEastAsia"/>
          <w:b/>
          <w:sz w:val="32"/>
          <w:szCs w:val="32"/>
        </w:rPr>
        <w:t>初步参数论证征集意见表</w:t>
      </w:r>
    </w:p>
    <w:p w14:paraId="7ADE7657">
      <w:pPr>
        <w:spacing w:line="320" w:lineRule="exact"/>
        <w:rPr>
          <w:rFonts w:ascii="仿宋" w:hAnsi="仿宋" w:eastAsia="仿宋"/>
          <w:sz w:val="24"/>
          <w:szCs w:val="24"/>
        </w:rPr>
      </w:pPr>
    </w:p>
    <w:p w14:paraId="0E9FF024">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10AB28BB">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p>
    <w:p w14:paraId="6821FC4C">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20482C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招标办</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w:t>
      </w:r>
      <w:r>
        <w:rPr>
          <w:rFonts w:hint="eastAsia" w:ascii="仿宋" w:hAnsi="仿宋" w:eastAsia="仿宋"/>
          <w:szCs w:val="21"/>
          <w:lang w:val="en-US" w:eastAsia="zh-CN"/>
        </w:rPr>
        <w:t>工程部</w:t>
      </w:r>
      <w:r>
        <w:rPr>
          <w:rFonts w:hint="eastAsia" w:ascii="仿宋" w:hAnsi="仿宋" w:eastAsia="仿宋"/>
          <w:szCs w:val="21"/>
        </w:rPr>
        <w:t>□、</w:t>
      </w:r>
      <w:r>
        <w:rPr>
          <w:rFonts w:hint="eastAsia" w:ascii="仿宋" w:hAnsi="仿宋" w:eastAsia="仿宋"/>
          <w:szCs w:val="21"/>
          <w:lang w:val="en-US" w:eastAsia="zh-CN"/>
        </w:rPr>
        <w:t>信息管理部</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szCs w:val="21"/>
          <w:lang w:val="en-US" w:eastAsia="zh-CN"/>
        </w:rPr>
        <w:t>后勤保障部</w:t>
      </w:r>
      <w:r>
        <w:rPr>
          <w:rFonts w:hint="eastAsia" w:ascii="仿宋" w:hAnsi="仿宋" w:eastAsia="仿宋"/>
          <w:szCs w:val="21"/>
        </w:rPr>
        <w:t>□及其他□</w:t>
      </w:r>
      <w:r>
        <w:rPr>
          <w:rFonts w:hint="eastAsia" w:ascii="仿宋" w:hAnsi="仿宋" w:eastAsia="仿宋"/>
          <w:szCs w:val="21"/>
          <w:u w:val="single"/>
        </w:rPr>
        <w:t xml:space="preserve">          </w:t>
      </w:r>
      <w:r>
        <w:rPr>
          <w:rFonts w:hint="eastAsia" w:ascii="仿宋" w:hAnsi="仿宋" w:eastAsia="仿宋"/>
          <w:szCs w:val="21"/>
        </w:rPr>
        <w:t>】：LASZYYXXK@163.com</w:t>
      </w:r>
      <w:r>
        <w:rPr>
          <w:rFonts w:hint="eastAsia" w:ascii="仿宋" w:hAnsi="仿宋" w:eastAsia="仿宋"/>
          <w:szCs w:val="21"/>
          <w:u w:val="single"/>
        </w:rPr>
        <w:t xml:space="preserve"> </w:t>
      </w:r>
      <w:r>
        <w:rPr>
          <w:rFonts w:hint="eastAsia" w:ascii="仿宋" w:hAnsi="仿宋" w:eastAsia="仿宋"/>
          <w:szCs w:val="21"/>
        </w:rPr>
        <w:t>）；</w:t>
      </w:r>
    </w:p>
    <w:p w14:paraId="2B8BF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Cs w:val="21"/>
        </w:rPr>
        <w:t>响应情况（是/否）若为否则</w:t>
      </w:r>
      <w:r>
        <w:rPr>
          <w:rFonts w:hint="eastAsia" w:ascii="仿宋" w:hAnsi="仿宋" w:eastAsia="仿宋"/>
          <w:szCs w:val="21"/>
          <w:lang w:eastAsia="zh-CN"/>
        </w:rPr>
        <w:t>须标注</w:t>
      </w:r>
      <w:r>
        <w:rPr>
          <w:rFonts w:hint="eastAsia" w:ascii="仿宋" w:hAnsi="仿宋" w:eastAsia="仿宋"/>
          <w:szCs w:val="21"/>
        </w:rPr>
        <w:t>具体建议修改</w:t>
      </w:r>
      <w:r>
        <w:rPr>
          <w:rFonts w:hint="eastAsia" w:ascii="仿宋" w:hAnsi="仿宋" w:eastAsia="仿宋"/>
          <w:szCs w:val="21"/>
          <w:lang w:eastAsia="zh-CN"/>
        </w:rPr>
        <w:t>指标（</w:t>
      </w:r>
      <w:r>
        <w:rPr>
          <w:rFonts w:hint="eastAsia" w:ascii="仿宋" w:hAnsi="仿宋" w:eastAsia="仿宋"/>
          <w:b/>
          <w:bCs/>
          <w:szCs w:val="21"/>
          <w:lang w:eastAsia="zh-CN"/>
        </w:rPr>
        <w:t>未标注则默认为响应初步参数</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b/>
          <w:bCs/>
          <w:szCs w:val="21"/>
        </w:rPr>
        <w:t>建议修改</w:t>
      </w:r>
      <w:r>
        <w:rPr>
          <w:rFonts w:hint="eastAsia" w:ascii="仿宋" w:hAnsi="仿宋" w:eastAsia="仿宋"/>
          <w:b/>
          <w:bCs/>
          <w:szCs w:val="21"/>
          <w:lang w:eastAsia="zh-CN"/>
        </w:rPr>
        <w:t>指标</w:t>
      </w:r>
      <w:r>
        <w:rPr>
          <w:rFonts w:hint="eastAsia" w:ascii="仿宋" w:hAnsi="仿宋" w:eastAsia="仿宋"/>
          <w:b/>
          <w:bCs/>
          <w:szCs w:val="21"/>
        </w:rPr>
        <w:t>须</w:t>
      </w:r>
      <w:r>
        <w:rPr>
          <w:rFonts w:hint="eastAsia" w:ascii="仿宋" w:hAnsi="仿宋" w:eastAsia="仿宋"/>
          <w:b/>
          <w:bCs/>
          <w:szCs w:val="21"/>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17"/>
          <w:rFonts w:hint="eastAsia" w:ascii="仿宋" w:hAnsi="仿宋" w:eastAsia="仿宋" w:cs="仿宋"/>
          <w:b w:val="0"/>
          <w:bCs/>
          <w:color w:val="auto"/>
          <w:sz w:val="21"/>
          <w:szCs w:val="21"/>
          <w:lang w:eastAsia="zh-CN"/>
        </w:rPr>
        <w:t>具备</w:t>
      </w:r>
      <w:r>
        <w:rPr>
          <w:rStyle w:val="17"/>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1FD8E2C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u w:val="none"/>
          <w:lang w:eastAsia="zh-CN"/>
        </w:rPr>
      </w:pPr>
      <w:r>
        <w:rPr>
          <w:rFonts w:hint="eastAsia" w:ascii="仿宋" w:hAnsi="仿宋" w:eastAsia="仿宋"/>
          <w:b w:val="0"/>
          <w:bCs/>
          <w:szCs w:val="21"/>
          <w:u w:val="none"/>
          <w:lang w:val="en-US" w:eastAsia="zh-CN"/>
        </w:rPr>
        <w:t>3、院方根据各</w:t>
      </w:r>
      <w:r>
        <w:rPr>
          <w:rFonts w:hint="eastAsia" w:ascii="仿宋" w:hAnsi="仿宋" w:eastAsia="仿宋"/>
          <w:b w:val="0"/>
          <w:bCs/>
          <w:szCs w:val="21"/>
          <w:u w:val="none"/>
          <w:lang w:eastAsia="zh-CN"/>
        </w:rPr>
        <w:t>潜在供应商提供的配套耗材和须定期更换零部件的报价清单</w:t>
      </w:r>
      <w:r>
        <w:rPr>
          <w:rFonts w:hint="eastAsia" w:ascii="仿宋" w:hAnsi="仿宋" w:eastAsia="仿宋"/>
          <w:b w:val="0"/>
          <w:bCs/>
          <w:szCs w:val="21"/>
          <w:u w:val="none"/>
          <w:lang w:val="en-US" w:eastAsia="zh-CN"/>
        </w:rPr>
        <w:t>(须同步提供近2年内至少3家二级及以上医院发票原件扫描件和入库清单【遮挡无效】)进行</w:t>
      </w:r>
      <w:r>
        <w:rPr>
          <w:rFonts w:hint="eastAsia" w:ascii="仿宋" w:hAnsi="仿宋" w:eastAsia="仿宋"/>
          <w:b w:val="0"/>
          <w:bCs/>
          <w:szCs w:val="21"/>
          <w:u w:val="none"/>
          <w:lang w:eastAsia="zh-CN"/>
        </w:rPr>
        <w:t>设置相关报价限价，若潜在供应商均未提供报价清单（含发票原件扫描件和入库清单）则视同本项目无耗材和须定期更换零部件。</w:t>
      </w:r>
    </w:p>
    <w:p w14:paraId="2266D2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ascii="仿宋" w:hAnsi="仿宋" w:eastAsia="仿宋"/>
          <w:szCs w:val="21"/>
        </w:rPr>
      </w:pPr>
      <w:r>
        <w:rPr>
          <w:rFonts w:hint="eastAsia" w:ascii="仿宋" w:hAnsi="仿宋" w:eastAsia="仿宋"/>
          <w:b/>
          <w:bCs w:val="0"/>
          <w:szCs w:val="21"/>
          <w:u w:val="none"/>
          <w:lang w:val="en-US" w:eastAsia="zh-CN"/>
        </w:rPr>
        <w:t>4、</w:t>
      </w:r>
      <w:r>
        <w:rPr>
          <w:rFonts w:hint="eastAsia" w:ascii="仿宋" w:hAnsi="仿宋" w:eastAsia="仿宋"/>
          <w:b/>
          <w:bCs w:val="0"/>
          <w:szCs w:val="21"/>
          <w:u w:val="none"/>
          <w:lang w:eastAsia="zh-CN"/>
        </w:rPr>
        <w:t>杜绝两现象：</w:t>
      </w:r>
      <w:r>
        <w:rPr>
          <w:rFonts w:hint="eastAsia" w:ascii="仿宋" w:hAnsi="仿宋" w:eastAsia="仿宋"/>
          <w:b w:val="0"/>
          <w:bCs/>
          <w:szCs w:val="21"/>
          <w:u w:val="none"/>
          <w:lang w:eastAsia="zh-CN"/>
        </w:rPr>
        <w:t>一是整机保修</w:t>
      </w:r>
      <w:r>
        <w:rPr>
          <w:rFonts w:hint="eastAsia" w:ascii="仿宋" w:hAnsi="仿宋" w:eastAsia="仿宋"/>
          <w:b w:val="0"/>
          <w:bCs/>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50C58F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Cs w:val="21"/>
          <w:lang w:eastAsia="zh-CN"/>
        </w:rPr>
      </w:pPr>
      <w:r>
        <w:rPr>
          <w:rFonts w:hint="eastAsia" w:ascii="仿宋" w:hAnsi="仿宋" w:eastAsia="仿宋"/>
          <w:b/>
          <w:bCs w:val="0"/>
          <w:szCs w:val="21"/>
        </w:rPr>
        <w:t>附件：配套耗材、试剂【单人次费用】及须定期更换零部件报价清单（样表【若无则标注“无”且不可删除】、可单列</w:t>
      </w:r>
      <w:r>
        <w:rPr>
          <w:rFonts w:hint="eastAsia" w:ascii="仿宋" w:hAnsi="仿宋" w:eastAsia="仿宋"/>
          <w:b/>
          <w:bCs w:val="0"/>
          <w:szCs w:val="21"/>
          <w:lang w:eastAsia="zh-CN"/>
        </w:rPr>
        <w:t>）。</w:t>
      </w:r>
    </w:p>
    <w:p w14:paraId="2FD3648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rPr>
      </w:pPr>
      <w:r>
        <w:rPr>
          <w:rFonts w:hint="eastAsia" w:ascii="仿宋" w:hAnsi="仿宋" w:eastAsia="仿宋" w:cs="仿宋"/>
          <w:b w:val="0"/>
          <w:bCs/>
          <w:szCs w:val="21"/>
          <w:lang w:val="en-US" w:eastAsia="zh-CN"/>
        </w:rPr>
        <w:t>5、</w:t>
      </w:r>
      <w:r>
        <w:rPr>
          <w:rFonts w:hint="eastAsia" w:ascii="仿宋" w:hAnsi="仿宋" w:eastAsia="仿宋" w:cs="仿宋"/>
          <w:b w:val="0"/>
          <w:bCs/>
          <w:color w:val="FF0000"/>
          <w:szCs w:val="21"/>
          <w:lang w:val="en-US" w:eastAsia="zh-CN"/>
        </w:rPr>
        <w:t>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Cs w:val="21"/>
          <w:lang w:eastAsia="zh-CN"/>
        </w:rPr>
        <w:t>★项标准：</w:t>
      </w:r>
      <w:r>
        <w:rPr>
          <w:rFonts w:hint="eastAsia" w:ascii="仿宋" w:hAnsi="仿宋" w:eastAsia="仿宋" w:cs="仿宋"/>
          <w:b w:val="0"/>
          <w:bCs/>
          <w:color w:val="FF0000"/>
          <w:szCs w:val="21"/>
          <w:lang w:val="en-US" w:eastAsia="zh-CN"/>
        </w:rPr>
        <w:t>拟购设备核心参数指标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17"/>
          <w:rFonts w:hint="eastAsia" w:ascii="仿宋" w:hAnsi="仿宋" w:eastAsia="仿宋" w:cs="仿宋"/>
          <w:b/>
          <w:bCs w:val="0"/>
          <w:color w:val="auto"/>
          <w:sz w:val="21"/>
          <w:szCs w:val="21"/>
          <w:lang w:eastAsia="zh-CN"/>
        </w:rPr>
        <w:t>或具备</w:t>
      </w:r>
      <w:r>
        <w:rPr>
          <w:rStyle w:val="17"/>
          <w:rFonts w:hint="eastAsia" w:ascii="仿宋" w:hAnsi="仿宋" w:eastAsia="仿宋" w:cs="仿宋"/>
          <w:b/>
          <w:bCs w:val="0"/>
          <w:color w:val="auto"/>
          <w:sz w:val="21"/>
          <w:szCs w:val="21"/>
          <w:lang w:val="en-US" w:eastAsia="zh-CN"/>
        </w:rPr>
        <w:t>CMA【或CNAS】资质检测机构）</w:t>
      </w:r>
      <w:r>
        <w:rPr>
          <w:rStyle w:val="17"/>
          <w:rFonts w:hint="eastAsia" w:ascii="仿宋" w:hAnsi="仿宋" w:eastAsia="仿宋" w:cs="仿宋"/>
          <w:b w:val="0"/>
          <w:bCs/>
          <w:color w:val="auto"/>
          <w:sz w:val="21"/>
          <w:szCs w:val="21"/>
          <w:lang w:val="en-US" w:eastAsia="zh-CN"/>
        </w:rPr>
        <w:t>出具的</w:t>
      </w:r>
      <w:r>
        <w:rPr>
          <w:rStyle w:val="17"/>
          <w:rFonts w:hint="eastAsia" w:ascii="仿宋" w:hAnsi="仿宋" w:eastAsia="仿宋" w:cs="仿宋"/>
          <w:b w:val="0"/>
          <w:bCs/>
          <w:color w:val="auto"/>
          <w:sz w:val="21"/>
          <w:szCs w:val="21"/>
        </w:rPr>
        <w:t>质检报告原件扫描件</w:t>
      </w:r>
      <w:r>
        <w:rPr>
          <w:rStyle w:val="17"/>
          <w:rFonts w:hint="eastAsia" w:ascii="仿宋" w:hAnsi="仿宋" w:eastAsia="仿宋" w:cs="仿宋"/>
          <w:b w:val="0"/>
          <w:bCs/>
          <w:color w:val="auto"/>
          <w:sz w:val="21"/>
          <w:szCs w:val="21"/>
          <w:lang w:eastAsia="zh-CN"/>
        </w:rPr>
        <w:t>（政府主管部门</w:t>
      </w:r>
      <w:r>
        <w:rPr>
          <w:rFonts w:hint="eastAsia" w:ascii="仿宋" w:hAnsi="仿宋" w:eastAsia="仿宋" w:cs="仿宋"/>
          <w:b w:val="0"/>
          <w:bCs/>
          <w:color w:val="auto"/>
          <w:sz w:val="21"/>
          <w:szCs w:val="21"/>
        </w:rPr>
        <w:t>如</w:t>
      </w:r>
      <w:r>
        <w:rPr>
          <w:rFonts w:hint="eastAsia" w:ascii="仿宋" w:hAnsi="仿宋" w:eastAsia="仿宋" w:cs="仿宋"/>
          <w:b w:val="0"/>
          <w:bCs/>
          <w:color w:val="auto"/>
          <w:sz w:val="21"/>
          <w:szCs w:val="21"/>
          <w:lang w:eastAsia="zh-CN"/>
        </w:rPr>
        <w:t>国家</w:t>
      </w:r>
      <w:r>
        <w:rPr>
          <w:rStyle w:val="17"/>
          <w:rFonts w:hint="eastAsia" w:ascii="仿宋" w:hAnsi="仿宋" w:eastAsia="仿宋" w:cs="仿宋"/>
          <w:b w:val="0"/>
          <w:bCs/>
          <w:color w:val="auto"/>
          <w:sz w:val="21"/>
          <w:szCs w:val="21"/>
        </w:rPr>
        <w:t>食药监局</w:t>
      </w:r>
      <w:r>
        <w:rPr>
          <w:rStyle w:val="17"/>
          <w:rFonts w:hint="eastAsia" w:ascii="仿宋" w:hAnsi="仿宋" w:eastAsia="仿宋" w:cs="仿宋"/>
          <w:b w:val="0"/>
          <w:bCs/>
          <w:color w:val="auto"/>
          <w:sz w:val="21"/>
          <w:szCs w:val="21"/>
          <w:lang w:eastAsia="zh-CN"/>
        </w:rPr>
        <w:t>或</w:t>
      </w:r>
      <w:r>
        <w:rPr>
          <w:rStyle w:val="17"/>
          <w:rFonts w:hint="eastAsia" w:ascii="仿宋" w:hAnsi="仿宋" w:eastAsia="仿宋" w:cs="仿宋"/>
          <w:b w:val="0"/>
          <w:bCs/>
          <w:color w:val="auto"/>
          <w:sz w:val="21"/>
          <w:szCs w:val="21"/>
        </w:rPr>
        <w:t>其下属单位</w:t>
      </w:r>
      <w:r>
        <w:rPr>
          <w:rStyle w:val="17"/>
          <w:rFonts w:hint="eastAsia" w:ascii="仿宋" w:hAnsi="仿宋" w:eastAsia="仿宋" w:cs="仿宋"/>
          <w:b w:val="0"/>
          <w:bCs/>
          <w:color w:val="auto"/>
          <w:sz w:val="21"/>
          <w:szCs w:val="21"/>
          <w:lang w:eastAsia="zh-CN"/>
        </w:rPr>
        <w:t>或省级医疗器械检验机构或省级食品药品检验机构等）。</w:t>
      </w:r>
    </w:p>
    <w:p w14:paraId="7F480D9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lang w:val="en-US" w:eastAsia="zh-CN"/>
        </w:rPr>
      </w:pPr>
      <w:r>
        <w:rPr>
          <w:rFonts w:hint="eastAsia" w:ascii="仿宋" w:hAnsi="仿宋" w:eastAsia="仿宋"/>
          <w:b w:val="0"/>
          <w:bCs/>
          <w:szCs w:val="21"/>
          <w:lang w:eastAsia="zh-CN"/>
        </w:rPr>
        <w:t>附件：表</w:t>
      </w:r>
      <w:r>
        <w:rPr>
          <w:rFonts w:hint="eastAsia" w:ascii="仿宋" w:hAnsi="仿宋" w:eastAsia="仿宋"/>
          <w:b w:val="0"/>
          <w:bCs/>
          <w:szCs w:val="21"/>
          <w:lang w:val="en-US" w:eastAsia="zh-CN"/>
        </w:rPr>
        <w:t>1-4</w:t>
      </w:r>
    </w:p>
    <w:p w14:paraId="2B28A5FB">
      <w:pPr>
        <w:spacing w:line="320" w:lineRule="exact"/>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建设目标：</w:t>
      </w:r>
    </w:p>
    <w:p w14:paraId="69E44DF1">
      <w:pPr>
        <w:pStyle w:val="5"/>
        <w:ind w:firstLine="420" w:firstLineChars="200"/>
        <w:rPr>
          <w:rFonts w:hint="eastAsia" w:ascii="仿宋" w:hAnsi="仿宋" w:eastAsia="仿宋"/>
          <w:b/>
          <w:szCs w:val="21"/>
          <w:lang w:val="en-US" w:eastAsia="zh-CN"/>
        </w:rPr>
      </w:pPr>
      <w:r>
        <w:rPr>
          <w:rFonts w:hint="eastAsia" w:ascii="仿宋" w:hAnsi="仿宋" w:eastAsia="仿宋" w:cstheme="minorBidi"/>
          <w:kern w:val="2"/>
          <w:sz w:val="21"/>
          <w:szCs w:val="21"/>
          <w:lang w:val="en-US" w:eastAsia="zh-CN" w:bidi="ar-SA"/>
        </w:rPr>
        <w:t>为进一步提升医疗服务品质，改善患者就医体验，推进智慧医院建设进程，我院计划对现有3栋楼宇的病区进行无线互联网覆盖，现面向社会公开征集无线互联网覆盖建设方案，邀请各潜在供应商对建设方案进行现场介绍。要求：医院无线外网建设需与院内在用无线内网互不干扰，并具备一定的网络安全防护能力，支持认证访问，入侵检测和防御、上网行为管理等功能，确保医院内网数据安全及用户上网合规。</w:t>
      </w:r>
    </w:p>
    <w:p w14:paraId="2C0E6202">
      <w:pPr>
        <w:spacing w:line="320" w:lineRule="exact"/>
        <w:rPr>
          <w:rFonts w:hint="eastAsia" w:ascii="仿宋" w:hAnsi="仿宋" w:eastAsia="仿宋"/>
          <w:b/>
          <w:szCs w:val="21"/>
        </w:rPr>
      </w:pPr>
      <w:r>
        <w:rPr>
          <w:rFonts w:hint="eastAsia" w:ascii="仿宋" w:hAnsi="仿宋" w:eastAsia="仿宋"/>
          <w:b/>
          <w:szCs w:val="21"/>
          <w:lang w:val="en-US" w:eastAsia="zh-CN"/>
        </w:rPr>
        <w:t>附件</w:t>
      </w:r>
      <w:r>
        <w:rPr>
          <w:rFonts w:hint="eastAsia" w:ascii="仿宋" w:hAnsi="仿宋" w:eastAsia="仿宋"/>
          <w:b/>
          <w:szCs w:val="21"/>
        </w:rPr>
        <w:t>：拟购项目初步参数结构</w:t>
      </w:r>
    </w:p>
    <w:p w14:paraId="08CCF85C">
      <w:pPr>
        <w:spacing w:line="320" w:lineRule="exact"/>
        <w:rPr>
          <w:rFonts w:hint="eastAsia" w:ascii="仿宋" w:hAnsi="仿宋" w:eastAsia="仿宋"/>
          <w:b/>
          <w:szCs w:val="21"/>
        </w:rPr>
      </w:pPr>
    </w:p>
    <w:p w14:paraId="0F946155">
      <w:pPr>
        <w:pStyle w:val="2"/>
        <w:widowControl/>
        <w:numPr>
          <w:ilvl w:val="0"/>
          <w:numId w:val="0"/>
        </w:numPr>
        <w:jc w:val="left"/>
        <w:outlineLvl w:val="0"/>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一、项目背景</w:t>
      </w:r>
    </w:p>
    <w:p w14:paraId="7BBBE056">
      <w:pPr>
        <w:pStyle w:val="2"/>
        <w:widowControl/>
        <w:numPr>
          <w:ilvl w:val="0"/>
          <w:numId w:val="0"/>
        </w:numPr>
        <w:ind w:firstLine="420" w:firstLineChars="200"/>
        <w:jc w:val="left"/>
        <w:outlineLvl w:val="0"/>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为贯彻落实《关于印发安徽省医疗卫生机构检查检验结果互认工作方案的通知》（皖卫医秘〔2021〕259号）《关于加快推进安徽医学影像互联互通的通知》（皖卫传〔2022〕65号）《关于印发安徽省数字医学影像服务质控标准（试行）的通知》（皖卫规划秘〔2024〕30号）《关于印发全省医疗卫生机构检查检验结果互联互通的通知》（皖卫函〔2024〕234号）《关于完善医学影像检查价格项目有关事项的通知》（皖医保秘〔2024〕16号）等文件精神，实现“各医疗机构要积极开展数字影像服务系统建设，实现影像服务电子化，简化取片环节，患者可直接获取影像检查结果。数字影像服务应严格遵守《医疗器械监督管理条例》，系统软件须具备医疗器械许可。数字影像服务系统的影像检查结果须与“智联网医院系统”检查检验共享监管子平台互联互通，并支持安徽省内各级医疗机构的医生工作站调阅，进而可提供长三角地区的各级各类医疗机构调阅”和“各医疗机构要按照医学影像互联互通标准规范，加快医院信息平台、HIS、PACS、电子病历等相关信息系统升级改造，实现院内医生工作站可经患者授权调阅下载全省符合标准规范的医学影像数据”等要求，拟开展六安市数字影像服务，简化取片环节、减轻患者负担、提升就医体验，为实现全省医疗机构影像检查数据互联互通和检查互认打好基础。</w:t>
      </w:r>
    </w:p>
    <w:p w14:paraId="4CCCCC2E">
      <w:pPr>
        <w:pStyle w:val="2"/>
        <w:widowControl/>
        <w:numPr>
          <w:ilvl w:val="0"/>
          <w:numId w:val="0"/>
        </w:numPr>
        <w:jc w:val="left"/>
        <w:outlineLvl w:val="0"/>
        <w:rPr>
          <w:rFonts w:hint="default"/>
          <w:lang w:val="en-US" w:eastAsia="zh-CN"/>
        </w:rPr>
      </w:pPr>
      <w:r>
        <w:rPr>
          <w:rFonts w:hint="eastAsia" w:asciiTheme="minorHAnsi" w:hAnsiTheme="minorHAnsi" w:eastAsiaTheme="minorEastAsia" w:cstheme="minorBidi"/>
          <w:kern w:val="2"/>
          <w:sz w:val="21"/>
          <w:szCs w:val="22"/>
          <w:lang w:val="en-US" w:eastAsia="zh-CN" w:bidi="ar-SA"/>
        </w:rPr>
        <w:t>二、</w:t>
      </w:r>
      <w:r>
        <w:rPr>
          <w:rFonts w:hint="eastAsia" w:ascii="仿宋" w:hAnsi="仿宋" w:eastAsia="仿宋" w:cs="Times New Roman"/>
          <w:bCs/>
          <w:kern w:val="2"/>
          <w:sz w:val="21"/>
          <w:szCs w:val="21"/>
          <w:lang w:val="en-US" w:eastAsia="zh-CN" w:bidi="ar-SA"/>
        </w:rPr>
        <w:t>服务单位数量：本市约15家二级以上公立医疗机构</w:t>
      </w:r>
    </w:p>
    <w:p w14:paraId="2BCC878E">
      <w:pPr>
        <w:rPr>
          <w:rFonts w:hint="default"/>
          <w:lang w:val="en-US" w:eastAsia="zh-CN"/>
        </w:rPr>
      </w:pPr>
      <w:r>
        <w:rPr>
          <w:rFonts w:hint="eastAsia" w:ascii="仿宋" w:hAnsi="仿宋" w:eastAsia="仿宋" w:cs="Times New Roman"/>
          <w:bCs/>
          <w:kern w:val="2"/>
          <w:sz w:val="21"/>
          <w:szCs w:val="21"/>
          <w:lang w:val="en-US" w:eastAsia="zh-CN" w:bidi="ar-SA"/>
        </w:rPr>
        <w:t>三、全市年度服务量：</w:t>
      </w:r>
      <w:bookmarkStart w:id="0" w:name="_GoBack"/>
      <w:bookmarkEnd w:id="0"/>
      <w:r>
        <w:rPr>
          <w:rFonts w:hint="eastAsia" w:ascii="仿宋" w:hAnsi="仿宋" w:eastAsia="仿宋" w:cs="Times New Roman"/>
          <w:bCs/>
          <w:kern w:val="2"/>
          <w:sz w:val="21"/>
          <w:szCs w:val="21"/>
          <w:lang w:val="en-US" w:eastAsia="zh-CN" w:bidi="ar-SA"/>
        </w:rPr>
        <w:t>约216.81万次</w:t>
      </w:r>
    </w:p>
    <w:p w14:paraId="10EACB2A">
      <w:pPr>
        <w:numPr>
          <w:ilvl w:val="0"/>
          <w:numId w:val="0"/>
        </w:numPr>
        <w:ind w:left="0" w:leftChars="0" w:firstLine="0" w:firstLineChars="0"/>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四、</w:t>
      </w:r>
      <w:r>
        <w:rPr>
          <w:rFonts w:hint="eastAsia" w:ascii="仿宋" w:hAnsi="仿宋" w:eastAsia="仿宋" w:cs="Times New Roman"/>
          <w:bCs/>
          <w:kern w:val="2"/>
          <w:sz w:val="21"/>
          <w:szCs w:val="21"/>
          <w:lang w:val="en-US" w:eastAsia="zh-CN" w:bidi="ar-SA"/>
        </w:rPr>
        <w:t>服务要求</w:t>
      </w:r>
    </w:p>
    <w:p w14:paraId="349F0245">
      <w:pPr>
        <w:pStyle w:val="2"/>
        <w:widowControl/>
        <w:numPr>
          <w:ilvl w:val="0"/>
          <w:numId w:val="0"/>
        </w:numPr>
        <w:ind w:firstLine="420" w:firstLineChars="200"/>
        <w:jc w:val="left"/>
        <w:outlineLvl w:val="0"/>
        <w:rPr>
          <w:rFonts w:hint="default" w:ascii="仿宋" w:hAnsi="仿宋" w:eastAsia="仿宋" w:cs="Times New Roman"/>
          <w:bCs/>
          <w:kern w:val="2"/>
          <w:sz w:val="21"/>
          <w:szCs w:val="21"/>
          <w:lang w:val="en-US" w:eastAsia="zh-CN" w:bidi="ar-SA"/>
        </w:rPr>
      </w:pPr>
      <w:r>
        <w:rPr>
          <w:rFonts w:hint="default" w:ascii="仿宋" w:hAnsi="仿宋" w:eastAsia="仿宋" w:cs="Times New Roman"/>
          <w:bCs/>
          <w:kern w:val="2"/>
          <w:sz w:val="21"/>
          <w:szCs w:val="21"/>
          <w:lang w:val="en-US" w:eastAsia="zh-CN" w:bidi="ar-SA"/>
        </w:rPr>
        <w:t>按照安徽省卫健委《关于印发安徽省数字医学影像服务质控标准（试行）的通知》（皖卫规划秘〔2024〕30号）文件要求建设：</w:t>
      </w:r>
    </w:p>
    <w:p w14:paraId="5D49E352">
      <w:pPr>
        <w:pStyle w:val="2"/>
        <w:widowControl/>
        <w:numPr>
          <w:ilvl w:val="0"/>
          <w:numId w:val="0"/>
        </w:numPr>
        <w:ind w:firstLine="420" w:firstLineChars="200"/>
        <w:jc w:val="left"/>
        <w:outlineLvl w:val="0"/>
        <w:rPr>
          <w:rFonts w:hint="default" w:ascii="仿宋" w:hAnsi="仿宋" w:eastAsia="仿宋" w:cs="Times New Roman"/>
          <w:bCs/>
          <w:kern w:val="2"/>
          <w:sz w:val="21"/>
          <w:szCs w:val="21"/>
          <w:lang w:val="en-US" w:eastAsia="zh-CN" w:bidi="ar-SA"/>
        </w:rPr>
      </w:pPr>
      <w:r>
        <w:rPr>
          <w:rFonts w:hint="default" w:ascii="仿宋" w:hAnsi="仿宋" w:eastAsia="仿宋" w:cs="Times New Roman"/>
          <w:bCs/>
          <w:kern w:val="2"/>
          <w:sz w:val="21"/>
          <w:szCs w:val="21"/>
          <w:lang w:val="en-US" w:eastAsia="zh-CN" w:bidi="ar-SA"/>
        </w:rPr>
        <w:t>（1）软件具备医疗器械许可证，遵守医疗器械的生产、注册、经营和管理的相关法律法规。</w:t>
      </w:r>
    </w:p>
    <w:p w14:paraId="5D93BC17">
      <w:pPr>
        <w:pStyle w:val="2"/>
        <w:widowControl/>
        <w:numPr>
          <w:ilvl w:val="0"/>
          <w:numId w:val="0"/>
        </w:numPr>
        <w:ind w:firstLine="420" w:firstLineChars="200"/>
        <w:jc w:val="left"/>
        <w:outlineLvl w:val="0"/>
        <w:rPr>
          <w:rFonts w:hint="default" w:ascii="仿宋" w:hAnsi="仿宋" w:eastAsia="仿宋" w:cs="Times New Roman"/>
          <w:bCs/>
          <w:kern w:val="2"/>
          <w:sz w:val="21"/>
          <w:szCs w:val="21"/>
          <w:lang w:val="en-US" w:eastAsia="zh-CN" w:bidi="ar-SA"/>
        </w:rPr>
      </w:pPr>
      <w:r>
        <w:rPr>
          <w:rFonts w:hint="default" w:ascii="仿宋" w:hAnsi="仿宋" w:eastAsia="仿宋" w:cs="Times New Roman"/>
          <w:bCs/>
          <w:kern w:val="2"/>
          <w:sz w:val="21"/>
          <w:szCs w:val="21"/>
          <w:lang w:val="en-US" w:eastAsia="zh-CN" w:bidi="ar-SA"/>
        </w:rPr>
        <w:t>（2）数字医学影像服务提供的影像浏览工具应兼容电脑端和移动端;影像浏览工具应具备包括但不限于放大缩小、窗宽窗位调整、动态播放、逐页浏览、</w:t>
      </w:r>
    </w:p>
    <w:p w14:paraId="4F068340">
      <w:pPr>
        <w:pStyle w:val="2"/>
        <w:widowControl/>
        <w:numPr>
          <w:ilvl w:val="0"/>
          <w:numId w:val="0"/>
        </w:numPr>
        <w:ind w:firstLine="420" w:firstLineChars="200"/>
        <w:jc w:val="left"/>
        <w:outlineLvl w:val="0"/>
        <w:rPr>
          <w:rFonts w:hint="default" w:ascii="仿宋" w:hAnsi="仿宋" w:eastAsia="仿宋" w:cs="Times New Roman"/>
          <w:bCs/>
          <w:kern w:val="2"/>
          <w:sz w:val="21"/>
          <w:szCs w:val="21"/>
          <w:lang w:val="en-US" w:eastAsia="zh-CN" w:bidi="ar-SA"/>
        </w:rPr>
      </w:pPr>
      <w:r>
        <w:rPr>
          <w:rFonts w:hint="default" w:ascii="仿宋" w:hAnsi="仿宋" w:eastAsia="仿宋" w:cs="Times New Roman"/>
          <w:bCs/>
          <w:kern w:val="2"/>
          <w:sz w:val="21"/>
          <w:szCs w:val="21"/>
          <w:lang w:val="en-US" w:eastAsia="zh-CN" w:bidi="ar-SA"/>
        </w:rPr>
        <w:t>测量、反像、多窗对照、历史对照显示、MPR、MIP、三维重建、CT值测量等功能。</w:t>
      </w:r>
    </w:p>
    <w:p w14:paraId="2F2CD74E">
      <w:pPr>
        <w:pStyle w:val="2"/>
        <w:widowControl/>
        <w:numPr>
          <w:ilvl w:val="0"/>
          <w:numId w:val="0"/>
        </w:numPr>
        <w:ind w:firstLine="420" w:firstLineChars="200"/>
        <w:jc w:val="left"/>
        <w:outlineLvl w:val="0"/>
        <w:rPr>
          <w:rFonts w:hint="default" w:ascii="仿宋" w:hAnsi="仿宋" w:eastAsia="仿宋" w:cs="Times New Roman"/>
          <w:bCs/>
          <w:kern w:val="2"/>
          <w:sz w:val="21"/>
          <w:szCs w:val="21"/>
          <w:lang w:val="en-US" w:eastAsia="zh-CN" w:bidi="ar-SA"/>
        </w:rPr>
      </w:pPr>
      <w:r>
        <w:rPr>
          <w:rFonts w:hint="default" w:ascii="仿宋" w:hAnsi="仿宋" w:eastAsia="仿宋" w:cs="Times New Roman"/>
          <w:bCs/>
          <w:kern w:val="2"/>
          <w:sz w:val="21"/>
          <w:szCs w:val="21"/>
          <w:lang w:val="en-US" w:eastAsia="zh-CN" w:bidi="ar-SA"/>
        </w:rPr>
        <w:t>（3）显示设备满足诊断要求的情况下，确保影像数据为原始无损DICOM格式。</w:t>
      </w:r>
    </w:p>
    <w:p w14:paraId="43D0849C">
      <w:pPr>
        <w:pStyle w:val="2"/>
        <w:widowControl/>
        <w:numPr>
          <w:ilvl w:val="0"/>
          <w:numId w:val="0"/>
        </w:numPr>
        <w:ind w:left="0" w:leftChars="0" w:firstLine="0" w:firstLineChars="0"/>
        <w:jc w:val="left"/>
        <w:outlineLvl w:val="0"/>
        <w:rPr>
          <w:rFonts w:hint="eastAsia"/>
          <w:lang w:val="en-US" w:eastAsia="zh-CN"/>
        </w:rPr>
      </w:pPr>
      <w:r>
        <w:rPr>
          <w:rFonts w:hint="eastAsia" w:cstheme="minorBidi"/>
          <w:kern w:val="2"/>
          <w:sz w:val="21"/>
          <w:szCs w:val="22"/>
          <w:lang w:val="en-US" w:eastAsia="zh-CN" w:bidi="ar-SA"/>
        </w:rPr>
        <w:t>五</w:t>
      </w:r>
      <w:r>
        <w:rPr>
          <w:rFonts w:hint="eastAsia" w:asciiTheme="minorHAnsi" w:hAnsiTheme="minorHAnsi" w:eastAsiaTheme="minorEastAsia" w:cstheme="minorBidi"/>
          <w:kern w:val="2"/>
          <w:sz w:val="21"/>
          <w:szCs w:val="22"/>
          <w:lang w:val="en-US" w:eastAsia="zh-CN" w:bidi="ar-SA"/>
        </w:rPr>
        <w:t>、</w:t>
      </w:r>
      <w:r>
        <w:rPr>
          <w:rFonts w:hint="eastAsia" w:ascii="仿宋" w:hAnsi="仿宋" w:eastAsia="仿宋" w:cs="Times New Roman"/>
          <w:bCs/>
          <w:kern w:val="2"/>
          <w:sz w:val="21"/>
          <w:szCs w:val="21"/>
          <w:lang w:val="en-US" w:eastAsia="zh-CN" w:bidi="ar-SA"/>
        </w:rPr>
        <w:t>技术和服务要求</w:t>
      </w:r>
    </w:p>
    <w:tbl>
      <w:tblPr>
        <w:tblStyle w:val="9"/>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61"/>
        <w:gridCol w:w="4497"/>
        <w:gridCol w:w="655"/>
        <w:gridCol w:w="978"/>
        <w:gridCol w:w="978"/>
        <w:gridCol w:w="995"/>
      </w:tblGrid>
      <w:tr w14:paraId="636B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987" w:type="dxa"/>
            <w:gridSpan w:val="4"/>
            <w:tcBorders>
              <w:top w:val="single" w:color="auto" w:sz="4" w:space="0"/>
              <w:left w:val="single" w:color="auto" w:sz="4" w:space="0"/>
              <w:bottom w:val="single" w:color="auto" w:sz="4" w:space="0"/>
              <w:right w:val="single" w:color="auto" w:sz="4" w:space="0"/>
            </w:tcBorders>
            <w:noWrap w:val="0"/>
            <w:vAlign w:val="center"/>
          </w:tcPr>
          <w:p w14:paraId="713ED594">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本项目初步参数拟设置情况</w:t>
            </w:r>
          </w:p>
        </w:tc>
        <w:tc>
          <w:tcPr>
            <w:tcW w:w="978" w:type="dxa"/>
            <w:vMerge w:val="restart"/>
            <w:tcBorders>
              <w:top w:val="single" w:color="auto" w:sz="4" w:space="0"/>
              <w:left w:val="single" w:color="auto" w:sz="4" w:space="0"/>
              <w:right w:val="single" w:color="auto" w:sz="4" w:space="0"/>
            </w:tcBorders>
            <w:noWrap w:val="0"/>
            <w:vAlign w:val="center"/>
          </w:tcPr>
          <w:p w14:paraId="02E0D104">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heme="minorBidi"/>
                <w:bCs/>
                <w:kern w:val="2"/>
                <w:sz w:val="21"/>
                <w:szCs w:val="21"/>
                <w:lang w:val="en-US" w:eastAsia="zh-CN" w:bidi="ar-SA"/>
              </w:rPr>
              <w:t>响应情况</w:t>
            </w:r>
          </w:p>
        </w:tc>
        <w:tc>
          <w:tcPr>
            <w:tcW w:w="978" w:type="dxa"/>
            <w:vMerge w:val="restart"/>
            <w:tcBorders>
              <w:top w:val="single" w:color="auto" w:sz="4" w:space="0"/>
              <w:left w:val="single" w:color="auto" w:sz="4" w:space="0"/>
              <w:right w:val="single" w:color="auto" w:sz="4" w:space="0"/>
            </w:tcBorders>
            <w:noWrap w:val="0"/>
            <w:vAlign w:val="center"/>
          </w:tcPr>
          <w:p w14:paraId="141D4BC2">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建议修改指标</w:t>
            </w:r>
          </w:p>
        </w:tc>
        <w:tc>
          <w:tcPr>
            <w:tcW w:w="995" w:type="dxa"/>
            <w:vMerge w:val="restart"/>
            <w:tcBorders>
              <w:top w:val="single" w:color="auto" w:sz="4" w:space="0"/>
              <w:left w:val="single" w:color="auto" w:sz="4" w:space="0"/>
              <w:right w:val="single" w:color="auto" w:sz="4" w:space="0"/>
            </w:tcBorders>
            <w:noWrap w:val="0"/>
            <w:vAlign w:val="top"/>
          </w:tcPr>
          <w:p w14:paraId="535539D7">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备注（真实指标、是否独家、是否提供有效检测报告）</w:t>
            </w:r>
          </w:p>
        </w:tc>
      </w:tr>
      <w:tr w14:paraId="0955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524CA40">
            <w:pPr>
              <w:pStyle w:val="18"/>
              <w:widowControl/>
              <w:kinsoku w:val="0"/>
              <w:overflowPunct w:val="0"/>
              <w:spacing w:line="400" w:lineRule="exac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序号</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2569745">
            <w:pPr>
              <w:pStyle w:val="18"/>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功能名称</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5EAE24DB">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初步参数设置情况</w:t>
            </w:r>
          </w:p>
        </w:tc>
        <w:tc>
          <w:tcPr>
            <w:tcW w:w="655" w:type="dxa"/>
            <w:tcBorders>
              <w:top w:val="single" w:color="auto" w:sz="4" w:space="0"/>
              <w:left w:val="single" w:color="auto" w:sz="4" w:space="0"/>
              <w:bottom w:val="single" w:color="auto" w:sz="4" w:space="0"/>
              <w:right w:val="single" w:color="auto" w:sz="4" w:space="0"/>
            </w:tcBorders>
            <w:noWrap w:val="0"/>
            <w:vAlign w:val="center"/>
          </w:tcPr>
          <w:p w14:paraId="14C102F7">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是否设置为★</w:t>
            </w:r>
          </w:p>
        </w:tc>
        <w:tc>
          <w:tcPr>
            <w:tcW w:w="978" w:type="dxa"/>
            <w:vMerge w:val="continue"/>
            <w:tcBorders>
              <w:left w:val="single" w:color="auto" w:sz="4" w:space="0"/>
              <w:right w:val="single" w:color="auto" w:sz="4" w:space="0"/>
            </w:tcBorders>
            <w:noWrap w:val="0"/>
            <w:vAlign w:val="center"/>
          </w:tcPr>
          <w:p w14:paraId="0253ECF7">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F4788C7">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0CD7E0B">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946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279ADB19">
            <w:pPr>
              <w:pStyle w:val="18"/>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1</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689F535">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统计指标</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147EF0B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可以展示全市医疗卫生机构接入“智联网医院系统”检查检验共享监管子平台情况，各医疗机构上传影像数量、调阅影像数量，医疗机构可调阅工作站数量等能反映全市数字影像服务基本情况的指标。支持市卫健委后期根据实际需要对相关指标调整。</w:t>
            </w:r>
          </w:p>
        </w:tc>
        <w:tc>
          <w:tcPr>
            <w:tcW w:w="655" w:type="dxa"/>
            <w:tcBorders>
              <w:top w:val="single" w:color="auto" w:sz="4" w:space="0"/>
              <w:left w:val="single" w:color="auto" w:sz="4" w:space="0"/>
              <w:bottom w:val="single" w:color="auto" w:sz="4" w:space="0"/>
              <w:right w:val="single" w:color="auto" w:sz="4" w:space="0"/>
            </w:tcBorders>
            <w:noWrap w:val="0"/>
            <w:vAlign w:val="center"/>
          </w:tcPr>
          <w:p w14:paraId="5107A472">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FEC383C">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61F3923">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8CE71C6">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833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3509B055">
            <w:pPr>
              <w:pStyle w:val="18"/>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2</w:t>
            </w:r>
          </w:p>
        </w:tc>
        <w:tc>
          <w:tcPr>
            <w:tcW w:w="1161" w:type="dxa"/>
            <w:vMerge w:val="restart"/>
            <w:tcBorders>
              <w:top w:val="single" w:color="auto" w:sz="4" w:space="0"/>
              <w:left w:val="single" w:color="auto" w:sz="4" w:space="0"/>
              <w:right w:val="single" w:color="auto" w:sz="4" w:space="0"/>
            </w:tcBorders>
            <w:noWrap w:val="0"/>
            <w:vAlign w:val="center"/>
          </w:tcPr>
          <w:p w14:paraId="116C5D23">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 xml:space="preserve"> 医院端</w:t>
            </w:r>
          </w:p>
          <w:p w14:paraId="0A7003BE">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083E013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印发安徽省数字医学影像服务质控标准（试行）的通知》（皖卫规划秘〔2024〕30号）文件要求。响应时间：CT、MR等序列影像加载，界面的显示响应时间应在3秒以内不得有停顿、延时或中断等现象影响阅片诊断。</w:t>
            </w:r>
          </w:p>
        </w:tc>
        <w:tc>
          <w:tcPr>
            <w:tcW w:w="655" w:type="dxa"/>
            <w:vMerge w:val="restart"/>
            <w:tcBorders>
              <w:top w:val="single" w:color="auto" w:sz="4" w:space="0"/>
              <w:left w:val="single" w:color="auto" w:sz="4" w:space="0"/>
              <w:right w:val="single" w:color="auto" w:sz="4" w:space="0"/>
            </w:tcBorders>
            <w:noWrap w:val="0"/>
            <w:vAlign w:val="center"/>
          </w:tcPr>
          <w:p w14:paraId="01EFACB1">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4668159C">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740E1D45">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297689E7">
            <w:pPr>
              <w:pStyle w:val="18"/>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971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continue"/>
            <w:tcBorders>
              <w:left w:val="single" w:color="auto" w:sz="4" w:space="0"/>
              <w:right w:val="single" w:color="auto" w:sz="4" w:space="0"/>
            </w:tcBorders>
            <w:noWrap w:val="0"/>
            <w:vAlign w:val="center"/>
          </w:tcPr>
          <w:p w14:paraId="1818496F">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5B0396C6">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4E272C5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印发安徽省数字医学影像服务质控标准（试行）的通知》（皖卫规划秘〔2024〕30号）文件要求。医疗机构应将医学影像检查编码上传至“智联网医院系统”检查检验共享监管子平台，将上传的医学影像检查项目编码与检查检验共享监管子平台提供的医学影像检查项目代码进行对照。</w:t>
            </w:r>
          </w:p>
        </w:tc>
        <w:tc>
          <w:tcPr>
            <w:tcW w:w="655" w:type="dxa"/>
            <w:vMerge w:val="continue"/>
            <w:tcBorders>
              <w:left w:val="single" w:color="auto" w:sz="4" w:space="0"/>
              <w:right w:val="single" w:color="auto" w:sz="4" w:space="0"/>
            </w:tcBorders>
            <w:noWrap w:val="0"/>
            <w:vAlign w:val="center"/>
          </w:tcPr>
          <w:p w14:paraId="6181437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5BC389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4B303C9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261DB40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1A52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continue"/>
            <w:tcBorders>
              <w:left w:val="single" w:color="auto" w:sz="4" w:space="0"/>
              <w:right w:val="single" w:color="auto" w:sz="4" w:space="0"/>
            </w:tcBorders>
            <w:noWrap w:val="0"/>
            <w:vAlign w:val="center"/>
          </w:tcPr>
          <w:p w14:paraId="6621513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5420695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002BD66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根据《关于印发安徽省数字医学影像服务质控标准（试行）的通知》（皖卫规划秘〔2024〕30号）文件要求。</w:t>
            </w:r>
            <w:r>
              <w:rPr>
                <w:rFonts w:hint="eastAsia" w:ascii="仿宋" w:hAnsi="仿宋" w:eastAsia="仿宋" w:cs="Times New Roman"/>
                <w:bCs/>
                <w:kern w:val="2"/>
                <w:sz w:val="21"/>
                <w:szCs w:val="21"/>
                <w:lang w:val="en-US" w:eastAsia="zh-CN" w:bidi="ar-SA"/>
              </w:rPr>
              <w:t>医疗机构医学影像检查项目新增或更新时，应及时变更并完成代码对照。</w:t>
            </w:r>
          </w:p>
        </w:tc>
        <w:tc>
          <w:tcPr>
            <w:tcW w:w="655" w:type="dxa"/>
            <w:vMerge w:val="continue"/>
            <w:tcBorders>
              <w:left w:val="single" w:color="auto" w:sz="4" w:space="0"/>
              <w:right w:val="single" w:color="auto" w:sz="4" w:space="0"/>
            </w:tcBorders>
            <w:noWrap w:val="0"/>
            <w:vAlign w:val="center"/>
          </w:tcPr>
          <w:p w14:paraId="6F48B9B5">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9BBE85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4B446E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7E0E891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BF5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continue"/>
            <w:tcBorders>
              <w:left w:val="single" w:color="auto" w:sz="4" w:space="0"/>
              <w:right w:val="single" w:color="auto" w:sz="4" w:space="0"/>
            </w:tcBorders>
            <w:noWrap w:val="0"/>
            <w:vAlign w:val="center"/>
          </w:tcPr>
          <w:p w14:paraId="245E21A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6B393D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8E1879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根据《关于印发安徽省数字医学影像服务质控标准（试行）的通知》（皖卫规划秘〔2024〕30号）文件要求。</w:t>
            </w:r>
            <w:r>
              <w:rPr>
                <w:rFonts w:hint="eastAsia" w:ascii="仿宋" w:hAnsi="仿宋" w:eastAsia="仿宋" w:cs="Times New Roman"/>
                <w:bCs/>
                <w:kern w:val="2"/>
                <w:sz w:val="21"/>
                <w:szCs w:val="21"/>
                <w:lang w:val="en-US" w:eastAsia="zh-CN" w:bidi="ar-SA"/>
              </w:rPr>
              <w:t>医疗机构上传影像检查信息中应包含机构内医学影像检查项目编码和医学影像检查项目代码，医疗机构应逐步使用“医学影像检查项目分类代码”替代机构内的医学影像检查项目编码</w:t>
            </w:r>
          </w:p>
        </w:tc>
        <w:tc>
          <w:tcPr>
            <w:tcW w:w="655" w:type="dxa"/>
            <w:vMerge w:val="continue"/>
            <w:tcBorders>
              <w:left w:val="single" w:color="auto" w:sz="4" w:space="0"/>
              <w:right w:val="single" w:color="auto" w:sz="4" w:space="0"/>
            </w:tcBorders>
            <w:noWrap w:val="0"/>
            <w:vAlign w:val="center"/>
          </w:tcPr>
          <w:p w14:paraId="7543295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BF5838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18166D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791DF1E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3087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continue"/>
            <w:tcBorders>
              <w:left w:val="single" w:color="auto" w:sz="4" w:space="0"/>
              <w:right w:val="single" w:color="auto" w:sz="4" w:space="0"/>
            </w:tcBorders>
            <w:noWrap w:val="0"/>
            <w:vAlign w:val="center"/>
          </w:tcPr>
          <w:p w14:paraId="6182DE0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017EE68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D06897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加快推进安徽医学影像互联互通的通知》（皖卫传〔2022〕65号）要求，数字影像服务系统的影像检查结果须与“智联网医院系统”检查检验共享监管子平台互联互通，并支持安徽省内各级医疗机构的医生工作站调阅。</w:t>
            </w:r>
          </w:p>
        </w:tc>
        <w:tc>
          <w:tcPr>
            <w:tcW w:w="655" w:type="dxa"/>
            <w:vMerge w:val="continue"/>
            <w:tcBorders>
              <w:left w:val="single" w:color="auto" w:sz="4" w:space="0"/>
              <w:right w:val="single" w:color="auto" w:sz="4" w:space="0"/>
            </w:tcBorders>
            <w:noWrap w:val="0"/>
            <w:vAlign w:val="center"/>
          </w:tcPr>
          <w:p w14:paraId="68DA5BF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35E11F8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45BDBAD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D43341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0B6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74" w:type="dxa"/>
            <w:vMerge w:val="continue"/>
            <w:tcBorders>
              <w:left w:val="single" w:color="auto" w:sz="4" w:space="0"/>
              <w:right w:val="single" w:color="auto" w:sz="4" w:space="0"/>
            </w:tcBorders>
            <w:noWrap w:val="0"/>
            <w:vAlign w:val="center"/>
          </w:tcPr>
          <w:p w14:paraId="6D390AE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646BA76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921946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根据《关于加快推进安徽医学影像互联互通的通知》（皖卫传〔2022〕65号）要求，院内医生工作站可经患者授权调阅下载全省符合标准规范的医学影像数据。</w:t>
            </w:r>
          </w:p>
        </w:tc>
        <w:tc>
          <w:tcPr>
            <w:tcW w:w="655" w:type="dxa"/>
            <w:vMerge w:val="continue"/>
            <w:tcBorders>
              <w:left w:val="single" w:color="auto" w:sz="4" w:space="0"/>
              <w:right w:val="single" w:color="auto" w:sz="4" w:space="0"/>
            </w:tcBorders>
            <w:noWrap w:val="0"/>
            <w:vAlign w:val="center"/>
          </w:tcPr>
          <w:p w14:paraId="75BBC3D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926D74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9AADFF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78D2DE3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7360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restart"/>
            <w:tcBorders>
              <w:left w:val="single" w:color="auto" w:sz="4" w:space="0"/>
              <w:right w:val="single" w:color="auto" w:sz="4" w:space="0"/>
            </w:tcBorders>
            <w:noWrap w:val="0"/>
            <w:vAlign w:val="center"/>
          </w:tcPr>
          <w:p w14:paraId="30DF744B">
            <w:pPr>
              <w:pStyle w:val="18"/>
              <w:widowControl/>
              <w:kinsoku w:val="0"/>
              <w:overflowPunct w:val="0"/>
              <w:spacing w:line="400" w:lineRule="exact"/>
              <w:jc w:val="lef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3</w:t>
            </w:r>
          </w:p>
        </w:tc>
        <w:tc>
          <w:tcPr>
            <w:tcW w:w="1161" w:type="dxa"/>
            <w:vMerge w:val="restart"/>
            <w:tcBorders>
              <w:left w:val="single" w:color="auto" w:sz="4" w:space="0"/>
              <w:right w:val="single" w:color="auto" w:sz="4" w:space="0"/>
            </w:tcBorders>
            <w:noWrap w:val="0"/>
            <w:vAlign w:val="center"/>
          </w:tcPr>
          <w:p w14:paraId="6EC467F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居民端</w:t>
            </w:r>
          </w:p>
          <w:p w14:paraId="7855D5A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63F4F34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（根据《关于加快推进安徽医学影像互联互通的通知》（皖卫传〔2022〕65号）要求，实现影像服务电子化，简化取片环节，患者可直接获取影像检查结果。</w:t>
            </w:r>
          </w:p>
        </w:tc>
        <w:tc>
          <w:tcPr>
            <w:tcW w:w="655" w:type="dxa"/>
            <w:vMerge w:val="restart"/>
            <w:tcBorders>
              <w:left w:val="single" w:color="auto" w:sz="4" w:space="0"/>
              <w:right w:val="single" w:color="auto" w:sz="4" w:space="0"/>
            </w:tcBorders>
            <w:noWrap w:val="0"/>
            <w:vAlign w:val="center"/>
          </w:tcPr>
          <w:p w14:paraId="5AD8020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71D94BD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52D9AC5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4332207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1F66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continue"/>
            <w:tcBorders>
              <w:left w:val="single" w:color="auto" w:sz="4" w:space="0"/>
              <w:right w:val="single" w:color="auto" w:sz="4" w:space="0"/>
            </w:tcBorders>
            <w:noWrap w:val="0"/>
            <w:vAlign w:val="center"/>
          </w:tcPr>
          <w:p w14:paraId="269FAC10">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58F7632F">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5F15535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根据《关于印发安徽省数字医学影像服务质控标准（试行）的通知》（皖卫规划秘〔2024〕30号）文件要求，医疗机构开展医学影像检查服务时，通过“智联网医院系统”检查检验共享监管子平台进行数据交换，经居民本人授权可在安徽省内其他医疗机构医生工作站调阅的历史数字医学影像检查信息，居民通过互联网浏览、分享、下载及授权管理。</w:t>
            </w:r>
          </w:p>
        </w:tc>
        <w:tc>
          <w:tcPr>
            <w:tcW w:w="655" w:type="dxa"/>
            <w:vMerge w:val="continue"/>
            <w:tcBorders>
              <w:left w:val="single" w:color="auto" w:sz="4" w:space="0"/>
              <w:right w:val="single" w:color="auto" w:sz="4" w:space="0"/>
            </w:tcBorders>
            <w:noWrap w:val="0"/>
            <w:vAlign w:val="center"/>
          </w:tcPr>
          <w:p w14:paraId="44894C0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2674690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2ECD96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3FC30C6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777E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continue"/>
            <w:tcBorders>
              <w:left w:val="single" w:color="auto" w:sz="4" w:space="0"/>
              <w:right w:val="single" w:color="auto" w:sz="4" w:space="0"/>
            </w:tcBorders>
            <w:noWrap w:val="0"/>
            <w:vAlign w:val="center"/>
          </w:tcPr>
          <w:p w14:paraId="1724C5C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26F651A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64C85AF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数字医学影像服务所涉及的影像检查信息应向居民提供调阅权限管理功能，功能入口应具备多种验证方式，包括但不限于手机短信验证、人脸识别等，确保只有经居民授权的用户才能访问居民的影像检查信息。</w:t>
            </w:r>
          </w:p>
        </w:tc>
        <w:tc>
          <w:tcPr>
            <w:tcW w:w="655" w:type="dxa"/>
            <w:vMerge w:val="continue"/>
            <w:tcBorders>
              <w:left w:val="single" w:color="auto" w:sz="4" w:space="0"/>
              <w:right w:val="single" w:color="auto" w:sz="4" w:space="0"/>
            </w:tcBorders>
            <w:noWrap w:val="0"/>
            <w:vAlign w:val="center"/>
          </w:tcPr>
          <w:p w14:paraId="6E0358B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4430F48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FF78ED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337D108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4B4E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continue"/>
            <w:tcBorders>
              <w:left w:val="single" w:color="auto" w:sz="4" w:space="0"/>
              <w:right w:val="single" w:color="auto" w:sz="4" w:space="0"/>
            </w:tcBorders>
            <w:noWrap w:val="0"/>
            <w:vAlign w:val="center"/>
          </w:tcPr>
          <w:p w14:paraId="23A701F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251172D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74EE14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居民可通过医疗机构提供的二维码、网页链接、微信公众号、小程序、APP等入口，不限次数浏览、分享、授权及下载个人影像检查信息，且可通过皖事通、“皖美健康”服务平台等第三方入口浏览、分享、授权和下载个人影像检查信息。</w:t>
            </w:r>
          </w:p>
        </w:tc>
        <w:tc>
          <w:tcPr>
            <w:tcW w:w="655" w:type="dxa"/>
            <w:vMerge w:val="continue"/>
            <w:tcBorders>
              <w:left w:val="single" w:color="auto" w:sz="4" w:space="0"/>
              <w:right w:val="single" w:color="auto" w:sz="4" w:space="0"/>
            </w:tcBorders>
            <w:noWrap w:val="0"/>
            <w:vAlign w:val="center"/>
          </w:tcPr>
          <w:p w14:paraId="7156C4A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BC1B6E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3F60A8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316566B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F88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continue"/>
            <w:tcBorders>
              <w:left w:val="single" w:color="auto" w:sz="4" w:space="0"/>
              <w:right w:val="single" w:color="auto" w:sz="4" w:space="0"/>
            </w:tcBorders>
            <w:noWrap w:val="0"/>
            <w:vAlign w:val="center"/>
          </w:tcPr>
          <w:p w14:paraId="28EE5D7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1AC23AA5">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F53138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居民服务能够在电脑端操作系统和移动端操作系统上运行。</w:t>
            </w:r>
          </w:p>
        </w:tc>
        <w:tc>
          <w:tcPr>
            <w:tcW w:w="655" w:type="dxa"/>
            <w:vMerge w:val="continue"/>
            <w:tcBorders>
              <w:left w:val="single" w:color="auto" w:sz="4" w:space="0"/>
              <w:right w:val="single" w:color="auto" w:sz="4" w:space="0"/>
            </w:tcBorders>
            <w:noWrap w:val="0"/>
            <w:vAlign w:val="center"/>
          </w:tcPr>
          <w:p w14:paraId="667B93A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354378F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6DDE86A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199DC2E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95C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vMerge w:val="continue"/>
            <w:tcBorders>
              <w:left w:val="single" w:color="auto" w:sz="4" w:space="0"/>
              <w:right w:val="single" w:color="auto" w:sz="4" w:space="0"/>
            </w:tcBorders>
            <w:noWrap w:val="0"/>
            <w:vAlign w:val="center"/>
          </w:tcPr>
          <w:p w14:paraId="1A976F4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1E6D0DD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D95BFC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经居民本人授权后，医疗机构可在医生工作站实现居民历史影像检查结果查询调阅、重复检查提醒、影像检查结果互认等功能，实现方式包括但不限于页面嵌入、独立插件和CDSS等方式。</w:t>
            </w:r>
          </w:p>
        </w:tc>
        <w:tc>
          <w:tcPr>
            <w:tcW w:w="655" w:type="dxa"/>
            <w:vMerge w:val="continue"/>
            <w:tcBorders>
              <w:left w:val="single" w:color="auto" w:sz="4" w:space="0"/>
              <w:right w:val="single" w:color="auto" w:sz="4" w:space="0"/>
            </w:tcBorders>
            <w:noWrap w:val="0"/>
            <w:vAlign w:val="center"/>
          </w:tcPr>
          <w:p w14:paraId="139367D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6E80250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3C752D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54A725B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4ADC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674" w:type="dxa"/>
            <w:tcBorders>
              <w:left w:val="single" w:color="auto" w:sz="4" w:space="0"/>
              <w:right w:val="single" w:color="auto" w:sz="4" w:space="0"/>
            </w:tcBorders>
            <w:noWrap w:val="0"/>
            <w:vAlign w:val="center"/>
          </w:tcPr>
          <w:p w14:paraId="7430AD0D">
            <w:pPr>
              <w:pStyle w:val="18"/>
              <w:widowControl/>
              <w:kinsoku w:val="0"/>
              <w:overflowPunct w:val="0"/>
              <w:spacing w:line="400" w:lineRule="exact"/>
              <w:jc w:val="lef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4</w:t>
            </w:r>
          </w:p>
        </w:tc>
        <w:tc>
          <w:tcPr>
            <w:tcW w:w="1161" w:type="dxa"/>
            <w:tcBorders>
              <w:left w:val="single" w:color="auto" w:sz="4" w:space="0"/>
              <w:right w:val="single" w:color="auto" w:sz="4" w:space="0"/>
            </w:tcBorders>
            <w:noWrap w:val="0"/>
            <w:vAlign w:val="center"/>
          </w:tcPr>
          <w:p w14:paraId="1E5EFCF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 xml:space="preserve"> 基层医疗卫生机构</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542CD6E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关于加快推进安徽医学影像互联互通的通知》（皖卫传〔2022〕65号）要求“各医疗机构要按照医学影像互联互通标准规范，加快医院信息平台、HIS、PACS、电子病历等相关信息系统升级改造，实现院内医生工作站可经患者授权调阅下载全省符合标准规范的医学影像数据”：要实现六安市基层医疗卫生机构医生工作站可经患者授权调阅下载全省符合标准规范的医学影像数据。</w:t>
            </w:r>
          </w:p>
          <w:p w14:paraId="6578867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655" w:type="dxa"/>
            <w:tcBorders>
              <w:left w:val="single" w:color="auto" w:sz="4" w:space="0"/>
              <w:right w:val="single" w:color="auto" w:sz="4" w:space="0"/>
            </w:tcBorders>
            <w:noWrap w:val="0"/>
            <w:vAlign w:val="center"/>
          </w:tcPr>
          <w:p w14:paraId="025937B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CD4EC0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58CA76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FB35C1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FCD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74" w:type="dxa"/>
            <w:vMerge w:val="restart"/>
            <w:tcBorders>
              <w:left w:val="single" w:color="auto" w:sz="4" w:space="0"/>
              <w:right w:val="single" w:color="auto" w:sz="4" w:space="0"/>
            </w:tcBorders>
            <w:noWrap w:val="0"/>
            <w:vAlign w:val="center"/>
          </w:tcPr>
          <w:p w14:paraId="5C1F75C9">
            <w:pPr>
              <w:pStyle w:val="18"/>
              <w:widowControl/>
              <w:kinsoku w:val="0"/>
              <w:overflowPunct w:val="0"/>
              <w:spacing w:line="400" w:lineRule="exact"/>
              <w:jc w:val="lef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5</w:t>
            </w:r>
          </w:p>
        </w:tc>
        <w:tc>
          <w:tcPr>
            <w:tcW w:w="1161" w:type="dxa"/>
            <w:vMerge w:val="restart"/>
            <w:tcBorders>
              <w:left w:val="single" w:color="auto" w:sz="4" w:space="0"/>
              <w:right w:val="single" w:color="auto" w:sz="4" w:space="0"/>
            </w:tcBorders>
            <w:noWrap w:val="0"/>
            <w:vAlign w:val="center"/>
          </w:tcPr>
          <w:p w14:paraId="7F6FA86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影像数据存储</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55262F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关于印发安徽省数字医学影像服务质控标准（试行）的通知》（皖卫规划秘〔2024〕30号）要求“医疗机构之间网络互通须确保数据传输安全，云存储建设方式应采用‘两地三中心’”（“两地三中心”是指一种业务连续性容灾方案，由生产中心同城灾备中心和异地灾备中心组成，能在任意两个数据中心受损的情况下保障核心业务连续的一种容灾方案）和“数字医学影像服务涉及的厂商只提供技术解决方案、存储和运维等技术性服务，无权对数字医学影像服务产生的相关数据浏览和处置”和“服务期限:数字医学影像门诊患者服务年限为15年,住院患者服务年限为30年。”等。</w:t>
            </w:r>
          </w:p>
        </w:tc>
        <w:tc>
          <w:tcPr>
            <w:tcW w:w="655" w:type="dxa"/>
            <w:vMerge w:val="restart"/>
            <w:tcBorders>
              <w:left w:val="single" w:color="auto" w:sz="4" w:space="0"/>
              <w:right w:val="single" w:color="auto" w:sz="4" w:space="0"/>
            </w:tcBorders>
            <w:noWrap w:val="0"/>
            <w:vAlign w:val="center"/>
          </w:tcPr>
          <w:p w14:paraId="293D183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3EA3B92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7195C5F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4872CFF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6E79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74" w:type="dxa"/>
            <w:vMerge w:val="continue"/>
            <w:tcBorders>
              <w:left w:val="single" w:color="auto" w:sz="4" w:space="0"/>
              <w:right w:val="single" w:color="auto" w:sz="4" w:space="0"/>
            </w:tcBorders>
            <w:noWrap w:val="0"/>
            <w:vAlign w:val="center"/>
          </w:tcPr>
          <w:p w14:paraId="1B3E9527">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35EAC8E0">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176EAF2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将相关影像数据和索引数据定期传给市全民健康信息平台。同时，支持市卫健委将全市基层医疗卫生机构数字影像数据和索引数据定期传给市全民健康信息平台。</w:t>
            </w:r>
          </w:p>
          <w:p w14:paraId="0D9F451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655" w:type="dxa"/>
            <w:vMerge w:val="continue"/>
            <w:tcBorders>
              <w:left w:val="single" w:color="auto" w:sz="4" w:space="0"/>
              <w:right w:val="single" w:color="auto" w:sz="4" w:space="0"/>
            </w:tcBorders>
            <w:noWrap w:val="0"/>
            <w:vAlign w:val="center"/>
          </w:tcPr>
          <w:p w14:paraId="23E0CEB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B0A1D8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AAC0B7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201BAC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4B27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674" w:type="dxa"/>
            <w:vMerge w:val="restart"/>
            <w:tcBorders>
              <w:left w:val="single" w:color="auto" w:sz="4" w:space="0"/>
              <w:right w:val="single" w:color="auto" w:sz="4" w:space="0"/>
            </w:tcBorders>
            <w:noWrap w:val="0"/>
            <w:vAlign w:val="center"/>
          </w:tcPr>
          <w:p w14:paraId="0B3CB886">
            <w:pPr>
              <w:pStyle w:val="18"/>
              <w:widowControl/>
              <w:kinsoku w:val="0"/>
              <w:overflowPunct w:val="0"/>
              <w:spacing w:line="400" w:lineRule="exact"/>
              <w:jc w:val="left"/>
              <w:rPr>
                <w:rFonts w:hint="eastAsia" w:eastAsia="宋体"/>
                <w:lang w:val="en-US" w:eastAsia="zh-CN"/>
              </w:rPr>
            </w:pPr>
            <w:r>
              <w:rPr>
                <w:rFonts w:hint="eastAsia"/>
                <w:lang w:val="en-US" w:eastAsia="zh-CN"/>
              </w:rPr>
              <w:t>6</w:t>
            </w:r>
          </w:p>
        </w:tc>
        <w:tc>
          <w:tcPr>
            <w:tcW w:w="1161" w:type="dxa"/>
            <w:vMerge w:val="restart"/>
            <w:tcBorders>
              <w:left w:val="single" w:color="auto" w:sz="4" w:space="0"/>
              <w:right w:val="single" w:color="auto" w:sz="4" w:space="0"/>
            </w:tcBorders>
            <w:noWrap w:val="0"/>
            <w:vAlign w:val="center"/>
          </w:tcPr>
          <w:p w14:paraId="7BB8BC17">
            <w:pPr>
              <w:pStyle w:val="18"/>
              <w:widowControl/>
              <w:kinsoku w:val="0"/>
              <w:overflowPunct w:val="0"/>
              <w:spacing w:line="400" w:lineRule="exact"/>
              <w:jc w:val="left"/>
            </w:pPr>
            <w:r>
              <w:rPr>
                <w:rFonts w:hint="eastAsia" w:ascii="仿宋" w:hAnsi="仿宋" w:eastAsia="仿宋" w:cs="Times New Roman"/>
                <w:bCs/>
                <w:kern w:val="2"/>
                <w:sz w:val="21"/>
                <w:szCs w:val="21"/>
                <w:lang w:val="en-US" w:eastAsia="zh-CN" w:bidi="ar-SA"/>
              </w:rPr>
              <w:t>接口对接</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6812B0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为保障医疗机构能正常开展数字影像服务，潜在供应商须与医院内相关系统对接，由此可能产生的费用由潜在供应商承担。</w:t>
            </w:r>
          </w:p>
        </w:tc>
        <w:tc>
          <w:tcPr>
            <w:tcW w:w="655" w:type="dxa"/>
            <w:vMerge w:val="restart"/>
            <w:tcBorders>
              <w:left w:val="single" w:color="auto" w:sz="4" w:space="0"/>
              <w:right w:val="single" w:color="auto" w:sz="4" w:space="0"/>
            </w:tcBorders>
            <w:noWrap w:val="0"/>
            <w:vAlign w:val="center"/>
          </w:tcPr>
          <w:p w14:paraId="178309D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1262775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07DD0C0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25508FB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641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674" w:type="dxa"/>
            <w:vMerge w:val="continue"/>
            <w:tcBorders>
              <w:left w:val="single" w:color="auto" w:sz="4" w:space="0"/>
              <w:right w:val="single" w:color="auto" w:sz="4" w:space="0"/>
            </w:tcBorders>
            <w:noWrap w:val="0"/>
            <w:vAlign w:val="center"/>
          </w:tcPr>
          <w:p w14:paraId="7CC2A480">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37A78BFD">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287DFB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按照安徽省卫健委《“智联网医院系统”检查检验共享监管子平台互联互通接口方案》（V2.1版）（若后期版本更新，则以新版本为准）进行接口和服务对接。</w:t>
            </w:r>
          </w:p>
        </w:tc>
        <w:tc>
          <w:tcPr>
            <w:tcW w:w="655" w:type="dxa"/>
            <w:vMerge w:val="continue"/>
            <w:tcBorders>
              <w:left w:val="single" w:color="auto" w:sz="4" w:space="0"/>
              <w:right w:val="single" w:color="auto" w:sz="4" w:space="0"/>
            </w:tcBorders>
            <w:noWrap w:val="0"/>
            <w:vAlign w:val="center"/>
          </w:tcPr>
          <w:p w14:paraId="6D2CAE4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3C9C47C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AE8F86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121BFB9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444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674" w:type="dxa"/>
            <w:vMerge w:val="restart"/>
            <w:tcBorders>
              <w:left w:val="single" w:color="auto" w:sz="4" w:space="0"/>
              <w:right w:val="single" w:color="auto" w:sz="4" w:space="0"/>
            </w:tcBorders>
            <w:noWrap w:val="0"/>
            <w:vAlign w:val="center"/>
          </w:tcPr>
          <w:p w14:paraId="5E6A187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7</w:t>
            </w:r>
          </w:p>
        </w:tc>
        <w:tc>
          <w:tcPr>
            <w:tcW w:w="1161" w:type="dxa"/>
            <w:vMerge w:val="restart"/>
            <w:tcBorders>
              <w:left w:val="single" w:color="auto" w:sz="4" w:space="0"/>
              <w:right w:val="single" w:color="auto" w:sz="4" w:space="0"/>
            </w:tcBorders>
            <w:noWrap w:val="0"/>
            <w:vAlign w:val="center"/>
          </w:tcPr>
          <w:p w14:paraId="5A91EF8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数据安全要求</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221670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医疗机构提供数字影像服务应制定严密有效的居民隐私保护策略，应与数字医学影像服务涉及的厂商签署保密协议。</w:t>
            </w:r>
          </w:p>
        </w:tc>
        <w:tc>
          <w:tcPr>
            <w:tcW w:w="655" w:type="dxa"/>
            <w:vMerge w:val="restart"/>
            <w:tcBorders>
              <w:left w:val="single" w:color="auto" w:sz="4" w:space="0"/>
              <w:right w:val="single" w:color="auto" w:sz="4" w:space="0"/>
            </w:tcBorders>
            <w:noWrap w:val="0"/>
            <w:vAlign w:val="center"/>
          </w:tcPr>
          <w:p w14:paraId="0ED68F8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23DDAE8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578814F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7683708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08E0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6494B071">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44D4AAE7">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3E23706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数字医学影像服务涉及的厂商只提供技术解决方案、存储和运维等技术性服务，无权对数字医学影像服务产生的相关数据浏览和处置。</w:t>
            </w:r>
          </w:p>
        </w:tc>
        <w:tc>
          <w:tcPr>
            <w:tcW w:w="655" w:type="dxa"/>
            <w:vMerge w:val="continue"/>
            <w:tcBorders>
              <w:left w:val="single" w:color="auto" w:sz="4" w:space="0"/>
              <w:right w:val="single" w:color="auto" w:sz="4" w:space="0"/>
            </w:tcBorders>
            <w:noWrap w:val="0"/>
            <w:vAlign w:val="center"/>
          </w:tcPr>
          <w:p w14:paraId="27B8B27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38BBA9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2737EB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03D01C3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A56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5E7A5CD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E709C8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4BDD243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居民个人敏感信息应进行加密存储。</w:t>
            </w:r>
          </w:p>
        </w:tc>
        <w:tc>
          <w:tcPr>
            <w:tcW w:w="655" w:type="dxa"/>
            <w:vMerge w:val="continue"/>
            <w:tcBorders>
              <w:left w:val="single" w:color="auto" w:sz="4" w:space="0"/>
              <w:right w:val="single" w:color="auto" w:sz="4" w:space="0"/>
            </w:tcBorders>
            <w:noWrap w:val="0"/>
            <w:vAlign w:val="center"/>
          </w:tcPr>
          <w:p w14:paraId="5842717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43D3737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D01C42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037C98D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E5F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10AB417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C066F8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53D002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非居民端服务影像检查信息应通过专线或政务外网进行数据传输，且传输过程应进行加密</w:t>
            </w:r>
          </w:p>
        </w:tc>
        <w:tc>
          <w:tcPr>
            <w:tcW w:w="655" w:type="dxa"/>
            <w:vMerge w:val="continue"/>
            <w:tcBorders>
              <w:left w:val="single" w:color="auto" w:sz="4" w:space="0"/>
              <w:right w:val="single" w:color="auto" w:sz="4" w:space="0"/>
            </w:tcBorders>
            <w:noWrap w:val="0"/>
            <w:vAlign w:val="center"/>
          </w:tcPr>
          <w:p w14:paraId="7767DF2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4D9347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D1B943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1268FBF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A42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4C981C7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DEDF11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148DC27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居民端服务通过互联网提供，数据传输过程应进行加密</w:t>
            </w:r>
          </w:p>
        </w:tc>
        <w:tc>
          <w:tcPr>
            <w:tcW w:w="655" w:type="dxa"/>
            <w:vMerge w:val="continue"/>
            <w:tcBorders>
              <w:left w:val="single" w:color="auto" w:sz="4" w:space="0"/>
              <w:right w:val="single" w:color="auto" w:sz="4" w:space="0"/>
            </w:tcBorders>
            <w:noWrap w:val="0"/>
            <w:vAlign w:val="center"/>
          </w:tcPr>
          <w:p w14:paraId="4F2CAEF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22B4B80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700822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06A1BA8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C25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22481D25">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21989E4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514B55C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数字医学影像服务系统应采取加密传输技术，应具备系统严密的数据安全策略和多级权限管理体系。</w:t>
            </w:r>
          </w:p>
        </w:tc>
        <w:tc>
          <w:tcPr>
            <w:tcW w:w="655" w:type="dxa"/>
            <w:vMerge w:val="continue"/>
            <w:tcBorders>
              <w:left w:val="single" w:color="auto" w:sz="4" w:space="0"/>
              <w:right w:val="single" w:color="auto" w:sz="4" w:space="0"/>
            </w:tcBorders>
            <w:noWrap w:val="0"/>
            <w:vAlign w:val="center"/>
          </w:tcPr>
          <w:p w14:paraId="1964846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ED07C8F">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3509C3C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2394D8F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1D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3215E0B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2830BE8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3AFF80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数字医学影像服务系统需符合国家信息安全三级等保，且通过国家信息安全三级等保认证并完成备案。</w:t>
            </w:r>
          </w:p>
        </w:tc>
        <w:tc>
          <w:tcPr>
            <w:tcW w:w="655" w:type="dxa"/>
            <w:vMerge w:val="continue"/>
            <w:tcBorders>
              <w:left w:val="single" w:color="auto" w:sz="4" w:space="0"/>
              <w:right w:val="single" w:color="auto" w:sz="4" w:space="0"/>
            </w:tcBorders>
            <w:noWrap w:val="0"/>
            <w:vAlign w:val="center"/>
          </w:tcPr>
          <w:p w14:paraId="67F0E8A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A102B2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7B8AA9C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3043FFB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55D8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2D95172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1380EEB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00417D9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医疗机构仅可通过专线或政务外网接入“智联网医院系统检查检验共享监管子平台；</w:t>
            </w:r>
          </w:p>
        </w:tc>
        <w:tc>
          <w:tcPr>
            <w:tcW w:w="655" w:type="dxa"/>
            <w:vMerge w:val="continue"/>
            <w:tcBorders>
              <w:left w:val="single" w:color="auto" w:sz="4" w:space="0"/>
              <w:right w:val="single" w:color="auto" w:sz="4" w:space="0"/>
            </w:tcBorders>
            <w:noWrap w:val="0"/>
            <w:vAlign w:val="center"/>
          </w:tcPr>
          <w:p w14:paraId="60F1FCA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DB9FF8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80C4DF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255DECE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844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674" w:type="dxa"/>
            <w:vMerge w:val="continue"/>
            <w:tcBorders>
              <w:left w:val="single" w:color="auto" w:sz="4" w:space="0"/>
              <w:right w:val="single" w:color="auto" w:sz="4" w:space="0"/>
            </w:tcBorders>
            <w:noWrap w:val="0"/>
            <w:vAlign w:val="center"/>
          </w:tcPr>
          <w:p w14:paraId="7AEBFBA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62AFA9F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00A2621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医疗机构之间网络互通须确保数据传输安全，云存储建设方式应采用“两地三中心”。</w:t>
            </w:r>
          </w:p>
        </w:tc>
        <w:tc>
          <w:tcPr>
            <w:tcW w:w="655" w:type="dxa"/>
            <w:vMerge w:val="continue"/>
            <w:tcBorders>
              <w:left w:val="single" w:color="auto" w:sz="4" w:space="0"/>
              <w:right w:val="single" w:color="auto" w:sz="4" w:space="0"/>
            </w:tcBorders>
            <w:noWrap w:val="0"/>
            <w:vAlign w:val="center"/>
          </w:tcPr>
          <w:p w14:paraId="6E170B4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21C8611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6D0FF34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0EBC60A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0314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restart"/>
            <w:tcBorders>
              <w:left w:val="single" w:color="auto" w:sz="4" w:space="0"/>
              <w:right w:val="single" w:color="auto" w:sz="4" w:space="0"/>
            </w:tcBorders>
            <w:noWrap w:val="0"/>
            <w:vAlign w:val="center"/>
          </w:tcPr>
          <w:p w14:paraId="2301548C">
            <w:pPr>
              <w:pStyle w:val="18"/>
              <w:widowControl/>
              <w:kinsoku w:val="0"/>
              <w:overflowPunct w:val="0"/>
              <w:spacing w:line="400" w:lineRule="exact"/>
              <w:jc w:val="lef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8</w:t>
            </w:r>
          </w:p>
        </w:tc>
        <w:tc>
          <w:tcPr>
            <w:tcW w:w="1161" w:type="dxa"/>
            <w:vMerge w:val="restart"/>
            <w:tcBorders>
              <w:left w:val="single" w:color="auto" w:sz="4" w:space="0"/>
              <w:right w:val="single" w:color="auto" w:sz="4" w:space="0"/>
            </w:tcBorders>
            <w:noWrap w:val="0"/>
            <w:vAlign w:val="center"/>
          </w:tcPr>
          <w:p w14:paraId="75826396">
            <w:pPr>
              <w:pStyle w:val="18"/>
              <w:widowControl/>
              <w:kinsoku w:val="0"/>
              <w:overflowPunct w:val="0"/>
              <w:spacing w:line="400" w:lineRule="exact"/>
              <w:jc w:val="lef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其他</w:t>
            </w: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E60641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数字影像相关硬件设备。在能“利旧尽利旧”的原则下，为保障系统正常稳定运行，确实需要的硬件产品（品牌、参数、数量等）由潜在供应商提供。</w:t>
            </w:r>
          </w:p>
        </w:tc>
        <w:tc>
          <w:tcPr>
            <w:tcW w:w="655" w:type="dxa"/>
            <w:vMerge w:val="restart"/>
            <w:tcBorders>
              <w:left w:val="single" w:color="auto" w:sz="4" w:space="0"/>
              <w:right w:val="single" w:color="auto" w:sz="4" w:space="0"/>
            </w:tcBorders>
            <w:noWrap w:val="0"/>
            <w:vAlign w:val="center"/>
          </w:tcPr>
          <w:p w14:paraId="699AAB1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2F36EA35">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restart"/>
            <w:tcBorders>
              <w:left w:val="single" w:color="auto" w:sz="4" w:space="0"/>
              <w:right w:val="single" w:color="auto" w:sz="4" w:space="0"/>
            </w:tcBorders>
            <w:noWrap w:val="0"/>
            <w:vAlign w:val="center"/>
          </w:tcPr>
          <w:p w14:paraId="789C517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restart"/>
            <w:tcBorders>
              <w:left w:val="single" w:color="auto" w:sz="4" w:space="0"/>
              <w:right w:val="single" w:color="auto" w:sz="4" w:space="0"/>
            </w:tcBorders>
            <w:noWrap w:val="0"/>
            <w:vAlign w:val="top"/>
          </w:tcPr>
          <w:p w14:paraId="0068E12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33F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continue"/>
            <w:tcBorders>
              <w:left w:val="single" w:color="auto" w:sz="4" w:space="0"/>
              <w:right w:val="single" w:color="auto" w:sz="4" w:space="0"/>
            </w:tcBorders>
            <w:noWrap w:val="0"/>
            <w:vAlign w:val="center"/>
          </w:tcPr>
          <w:p w14:paraId="4FB847FA">
            <w:pPr>
              <w:pStyle w:val="18"/>
              <w:widowControl/>
              <w:kinsoku w:val="0"/>
              <w:overflowPunct w:val="0"/>
              <w:spacing w:line="400" w:lineRule="exact"/>
              <w:jc w:val="left"/>
            </w:pPr>
          </w:p>
        </w:tc>
        <w:tc>
          <w:tcPr>
            <w:tcW w:w="1161" w:type="dxa"/>
            <w:vMerge w:val="continue"/>
            <w:tcBorders>
              <w:left w:val="single" w:color="auto" w:sz="4" w:space="0"/>
              <w:right w:val="single" w:color="auto" w:sz="4" w:space="0"/>
            </w:tcBorders>
            <w:noWrap w:val="0"/>
            <w:vAlign w:val="center"/>
          </w:tcPr>
          <w:p w14:paraId="407C66B9">
            <w:pPr>
              <w:pStyle w:val="18"/>
              <w:widowControl/>
              <w:kinsoku w:val="0"/>
              <w:overflowPunct w:val="0"/>
              <w:spacing w:line="400" w:lineRule="exact"/>
              <w:jc w:val="left"/>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F95566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影像运维服务。合同期内提供软硬件升级、维护；根据医院要求提供现场培训服务。培训对象包括系统使用操作人员、管理人员、系统维护人员等，培训内容包括系统操作方法、流程日常维护及问题处理方法等内容，并提交培训记录。定期将数据收集汇总，将医院发生的故障进行记录并定期反馈给医院，以供医院进行相关服务优化。</w:t>
            </w:r>
          </w:p>
        </w:tc>
        <w:tc>
          <w:tcPr>
            <w:tcW w:w="655" w:type="dxa"/>
            <w:vMerge w:val="continue"/>
            <w:tcBorders>
              <w:left w:val="single" w:color="auto" w:sz="4" w:space="0"/>
              <w:right w:val="single" w:color="auto" w:sz="4" w:space="0"/>
            </w:tcBorders>
            <w:noWrap w:val="0"/>
            <w:vAlign w:val="center"/>
          </w:tcPr>
          <w:p w14:paraId="68AF0E3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257488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68A937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185835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270F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continue"/>
            <w:tcBorders>
              <w:left w:val="single" w:color="auto" w:sz="4" w:space="0"/>
              <w:right w:val="single" w:color="auto" w:sz="4" w:space="0"/>
            </w:tcBorders>
            <w:noWrap w:val="0"/>
            <w:vAlign w:val="center"/>
          </w:tcPr>
          <w:p w14:paraId="3BEB9B7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1D4956E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79A882E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数字影像故障响应。出现使用故障时应 2 小时内向用户做出实质性的响应，需设有专业的售后服务中心，对采购人提供 7×24 小时售后服务，包括线上、电话、远程维护、驻点服务等方式，每家三级医院提供至少一名人员驻场服务，二级医院根据实际需求在合同或补充合同中明确，主要提供院内向患者宣传与告知服务，保障患者能够了解数字影像服务，为患者提供使用引导、答疑等服务。</w:t>
            </w:r>
          </w:p>
        </w:tc>
        <w:tc>
          <w:tcPr>
            <w:tcW w:w="655" w:type="dxa"/>
            <w:vMerge w:val="continue"/>
            <w:tcBorders>
              <w:left w:val="single" w:color="auto" w:sz="4" w:space="0"/>
              <w:right w:val="single" w:color="auto" w:sz="4" w:space="0"/>
            </w:tcBorders>
            <w:noWrap w:val="0"/>
            <w:vAlign w:val="center"/>
          </w:tcPr>
          <w:p w14:paraId="745E0AE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30FDF21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5A52AD3">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1D636BF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66A5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continue"/>
            <w:tcBorders>
              <w:left w:val="single" w:color="auto" w:sz="4" w:space="0"/>
              <w:right w:val="single" w:color="auto" w:sz="4" w:space="0"/>
            </w:tcBorders>
            <w:noWrap w:val="0"/>
            <w:vAlign w:val="center"/>
          </w:tcPr>
          <w:p w14:paraId="66462032">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65FEA59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219FDE9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协助公立医疗机构完成《关于完善医学影像检查价格项目有关事项的通知》（皖医保秘〔2024〕16号）要求“允许公立医疗机构在提供数字影像存储和获取服务基础上，在患者知情自愿的前提下，可不再提供实体胶片，将减少实体胶片打印节约的成本，用于补偿数字影像服务成本。”</w:t>
            </w:r>
          </w:p>
        </w:tc>
        <w:tc>
          <w:tcPr>
            <w:tcW w:w="655" w:type="dxa"/>
            <w:vMerge w:val="continue"/>
            <w:tcBorders>
              <w:left w:val="single" w:color="auto" w:sz="4" w:space="0"/>
              <w:right w:val="single" w:color="auto" w:sz="4" w:space="0"/>
            </w:tcBorders>
            <w:noWrap w:val="0"/>
            <w:vAlign w:val="center"/>
          </w:tcPr>
          <w:p w14:paraId="018812E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1A699A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1EAC29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22E77A78">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745C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continue"/>
            <w:tcBorders>
              <w:left w:val="single" w:color="auto" w:sz="4" w:space="0"/>
              <w:right w:val="single" w:color="auto" w:sz="4" w:space="0"/>
            </w:tcBorders>
            <w:noWrap w:val="0"/>
            <w:vAlign w:val="center"/>
          </w:tcPr>
          <w:p w14:paraId="7AC86C14">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3CF8718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636BC34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关于数字影像服务，后期若安徽省、六安市印发新政策，应主动对系统进行适应性升级完善。</w:t>
            </w:r>
          </w:p>
          <w:p w14:paraId="1CF3F5EB">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655" w:type="dxa"/>
            <w:vMerge w:val="continue"/>
            <w:tcBorders>
              <w:left w:val="single" w:color="auto" w:sz="4" w:space="0"/>
              <w:right w:val="single" w:color="auto" w:sz="4" w:space="0"/>
            </w:tcBorders>
            <w:noWrap w:val="0"/>
            <w:vAlign w:val="center"/>
          </w:tcPr>
          <w:p w14:paraId="7148C96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58A415A0">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76EA7B7">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05740DED">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r w14:paraId="476D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4" w:type="dxa"/>
            <w:vMerge w:val="continue"/>
            <w:tcBorders>
              <w:left w:val="single" w:color="auto" w:sz="4" w:space="0"/>
              <w:right w:val="single" w:color="auto" w:sz="4" w:space="0"/>
            </w:tcBorders>
            <w:noWrap w:val="0"/>
            <w:vAlign w:val="center"/>
          </w:tcPr>
          <w:p w14:paraId="70301FAA">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5FBD879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4497" w:type="dxa"/>
            <w:tcBorders>
              <w:top w:val="single" w:color="auto" w:sz="4" w:space="0"/>
              <w:left w:val="single" w:color="auto" w:sz="4" w:space="0"/>
              <w:bottom w:val="single" w:color="auto" w:sz="4" w:space="0"/>
              <w:right w:val="single" w:color="auto" w:sz="4" w:space="0"/>
            </w:tcBorders>
            <w:noWrap w:val="0"/>
            <w:vAlign w:val="center"/>
          </w:tcPr>
          <w:p w14:paraId="13DCFD3C">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系统需每年需进行三级等保测评</w:t>
            </w:r>
          </w:p>
        </w:tc>
        <w:tc>
          <w:tcPr>
            <w:tcW w:w="655" w:type="dxa"/>
            <w:vMerge w:val="continue"/>
            <w:tcBorders>
              <w:left w:val="single" w:color="auto" w:sz="4" w:space="0"/>
              <w:right w:val="single" w:color="auto" w:sz="4" w:space="0"/>
            </w:tcBorders>
            <w:noWrap w:val="0"/>
            <w:vAlign w:val="center"/>
          </w:tcPr>
          <w:p w14:paraId="7A5C97E1">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0E72D939">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2B4F656">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2F505F9E">
            <w:pPr>
              <w:pStyle w:val="18"/>
              <w:widowControl/>
              <w:kinsoku w:val="0"/>
              <w:overflowPunct w:val="0"/>
              <w:spacing w:line="400" w:lineRule="exact"/>
              <w:jc w:val="left"/>
              <w:rPr>
                <w:rFonts w:hint="eastAsia" w:ascii="仿宋" w:hAnsi="仿宋" w:eastAsia="仿宋" w:cs="Times New Roman"/>
                <w:bCs/>
                <w:kern w:val="2"/>
                <w:sz w:val="21"/>
                <w:szCs w:val="21"/>
                <w:lang w:val="en-US" w:eastAsia="zh-CN" w:bidi="ar-SA"/>
              </w:rPr>
            </w:pPr>
          </w:p>
        </w:tc>
      </w:tr>
    </w:tbl>
    <w:p w14:paraId="3EFCBB8A">
      <w:pPr>
        <w:spacing w:line="280" w:lineRule="exact"/>
        <w:rPr>
          <w:rFonts w:hint="default" w:ascii="仿宋" w:hAnsi="仿宋" w:eastAsia="仿宋"/>
          <w:b/>
          <w:bCs/>
          <w:szCs w:val="21"/>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docPartObj>
        <w:docPartGallery w:val="autotext"/>
      </w:docPartObj>
    </w:sdtPr>
    <w:sdtContent>
      <w:sdt>
        <w:sdtPr>
          <w:id w:val="171357217"/>
          <w:docPartObj>
            <w:docPartGallery w:val="autotext"/>
          </w:docPartObj>
        </w:sdtPr>
        <w:sdtContent>
          <w:p w14:paraId="2A08810D">
            <w:pPr>
              <w:pStyle w:val="6"/>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5AC0D8FB">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6"/>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wZWE0MjdkNmUyYzJlNjJmNTM0ODJjOTJiNjk2Y2I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FEC"/>
    <w:rsid w:val="00E0491B"/>
    <w:rsid w:val="00E04C87"/>
    <w:rsid w:val="00E12663"/>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144CD4"/>
    <w:rsid w:val="056B1321"/>
    <w:rsid w:val="058F7ED5"/>
    <w:rsid w:val="05A625A8"/>
    <w:rsid w:val="05B61689"/>
    <w:rsid w:val="064A2CE4"/>
    <w:rsid w:val="06A72333"/>
    <w:rsid w:val="06F66A9B"/>
    <w:rsid w:val="079C369B"/>
    <w:rsid w:val="07AF1FB4"/>
    <w:rsid w:val="07D72EEC"/>
    <w:rsid w:val="080C3738"/>
    <w:rsid w:val="081F2DB2"/>
    <w:rsid w:val="086253B7"/>
    <w:rsid w:val="086504F8"/>
    <w:rsid w:val="091329AD"/>
    <w:rsid w:val="09135C29"/>
    <w:rsid w:val="0A1730E8"/>
    <w:rsid w:val="0A203C23"/>
    <w:rsid w:val="0AB32F3C"/>
    <w:rsid w:val="0AC56166"/>
    <w:rsid w:val="0AD93162"/>
    <w:rsid w:val="0AFC6D92"/>
    <w:rsid w:val="0B1F4CC9"/>
    <w:rsid w:val="0B4418D4"/>
    <w:rsid w:val="0BBB58C2"/>
    <w:rsid w:val="0C0F5353"/>
    <w:rsid w:val="0C32096A"/>
    <w:rsid w:val="0C476F17"/>
    <w:rsid w:val="0C7E360B"/>
    <w:rsid w:val="0C820673"/>
    <w:rsid w:val="0C9B1482"/>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A33589"/>
    <w:rsid w:val="11C40F77"/>
    <w:rsid w:val="11CC15E8"/>
    <w:rsid w:val="11CC5345"/>
    <w:rsid w:val="12187C39"/>
    <w:rsid w:val="12374B2C"/>
    <w:rsid w:val="1238648A"/>
    <w:rsid w:val="12454614"/>
    <w:rsid w:val="124F493A"/>
    <w:rsid w:val="125A4762"/>
    <w:rsid w:val="12893951"/>
    <w:rsid w:val="12DE5A9C"/>
    <w:rsid w:val="13334A49"/>
    <w:rsid w:val="13611B4B"/>
    <w:rsid w:val="13753887"/>
    <w:rsid w:val="137B6A6E"/>
    <w:rsid w:val="138A39DE"/>
    <w:rsid w:val="13A80EEF"/>
    <w:rsid w:val="13C733D2"/>
    <w:rsid w:val="147D52F1"/>
    <w:rsid w:val="148F683D"/>
    <w:rsid w:val="14CF6BB1"/>
    <w:rsid w:val="15325208"/>
    <w:rsid w:val="155A79E0"/>
    <w:rsid w:val="15BD705A"/>
    <w:rsid w:val="15D10D8D"/>
    <w:rsid w:val="15E33C23"/>
    <w:rsid w:val="16CC4399"/>
    <w:rsid w:val="17091AEE"/>
    <w:rsid w:val="17461E90"/>
    <w:rsid w:val="177719DE"/>
    <w:rsid w:val="177C4762"/>
    <w:rsid w:val="177F0D6A"/>
    <w:rsid w:val="17FA25E5"/>
    <w:rsid w:val="1899778B"/>
    <w:rsid w:val="18D4649C"/>
    <w:rsid w:val="18D56FD4"/>
    <w:rsid w:val="193F0899"/>
    <w:rsid w:val="1A0260CE"/>
    <w:rsid w:val="1A652E65"/>
    <w:rsid w:val="1A7937AC"/>
    <w:rsid w:val="1A8F6DD6"/>
    <w:rsid w:val="1AC057F3"/>
    <w:rsid w:val="1AD2194F"/>
    <w:rsid w:val="1B101758"/>
    <w:rsid w:val="1B9F31F9"/>
    <w:rsid w:val="1BD75F88"/>
    <w:rsid w:val="1BD91B12"/>
    <w:rsid w:val="1BEF2AA3"/>
    <w:rsid w:val="1C9571A6"/>
    <w:rsid w:val="1D2B387D"/>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33022B"/>
    <w:rsid w:val="22421C49"/>
    <w:rsid w:val="22426CD1"/>
    <w:rsid w:val="229131B3"/>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0F167F"/>
    <w:rsid w:val="279A1481"/>
    <w:rsid w:val="27E16F51"/>
    <w:rsid w:val="27FD740B"/>
    <w:rsid w:val="28102089"/>
    <w:rsid w:val="28632016"/>
    <w:rsid w:val="2873238A"/>
    <w:rsid w:val="28C732A1"/>
    <w:rsid w:val="28CA467C"/>
    <w:rsid w:val="28F516D7"/>
    <w:rsid w:val="29194CF5"/>
    <w:rsid w:val="295E6B72"/>
    <w:rsid w:val="29977838"/>
    <w:rsid w:val="29EE439A"/>
    <w:rsid w:val="2A1C3CD3"/>
    <w:rsid w:val="2AC8553F"/>
    <w:rsid w:val="2B914D75"/>
    <w:rsid w:val="2BE07BE3"/>
    <w:rsid w:val="2C2C2704"/>
    <w:rsid w:val="2C6E3570"/>
    <w:rsid w:val="2CAF5180"/>
    <w:rsid w:val="2CB30A73"/>
    <w:rsid w:val="2CBF2091"/>
    <w:rsid w:val="2D286742"/>
    <w:rsid w:val="2D542A2A"/>
    <w:rsid w:val="2D656A67"/>
    <w:rsid w:val="2E19748C"/>
    <w:rsid w:val="2E4209D9"/>
    <w:rsid w:val="2E616B37"/>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F1D7B"/>
    <w:rsid w:val="31A11D04"/>
    <w:rsid w:val="31CC76FF"/>
    <w:rsid w:val="31F172F6"/>
    <w:rsid w:val="32905CAB"/>
    <w:rsid w:val="32B51A27"/>
    <w:rsid w:val="32FA6504"/>
    <w:rsid w:val="330A11E9"/>
    <w:rsid w:val="335210D7"/>
    <w:rsid w:val="33D54BEA"/>
    <w:rsid w:val="34E12746"/>
    <w:rsid w:val="355A5092"/>
    <w:rsid w:val="356C1CB1"/>
    <w:rsid w:val="357E5017"/>
    <w:rsid w:val="358D3127"/>
    <w:rsid w:val="35A119F9"/>
    <w:rsid w:val="35E52E60"/>
    <w:rsid w:val="362339C7"/>
    <w:rsid w:val="363B2715"/>
    <w:rsid w:val="367F3DA1"/>
    <w:rsid w:val="36AC7731"/>
    <w:rsid w:val="36B93792"/>
    <w:rsid w:val="36F1454D"/>
    <w:rsid w:val="37712166"/>
    <w:rsid w:val="37CF3484"/>
    <w:rsid w:val="37D710BC"/>
    <w:rsid w:val="37E17463"/>
    <w:rsid w:val="384637F8"/>
    <w:rsid w:val="38DC31DA"/>
    <w:rsid w:val="38E97418"/>
    <w:rsid w:val="3A2B484E"/>
    <w:rsid w:val="3A636FDD"/>
    <w:rsid w:val="3A7537C9"/>
    <w:rsid w:val="3A9C74FA"/>
    <w:rsid w:val="3B126CF0"/>
    <w:rsid w:val="3B354EAA"/>
    <w:rsid w:val="3B927DA6"/>
    <w:rsid w:val="3BC12604"/>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2DF6B1E"/>
    <w:rsid w:val="434D63C0"/>
    <w:rsid w:val="434D745C"/>
    <w:rsid w:val="43E95815"/>
    <w:rsid w:val="44364CD0"/>
    <w:rsid w:val="44472C6C"/>
    <w:rsid w:val="448E1FA2"/>
    <w:rsid w:val="44A122DD"/>
    <w:rsid w:val="452B2802"/>
    <w:rsid w:val="457F7ACC"/>
    <w:rsid w:val="46C2238E"/>
    <w:rsid w:val="46FB6035"/>
    <w:rsid w:val="47AF3639"/>
    <w:rsid w:val="47B26F7D"/>
    <w:rsid w:val="480F1E94"/>
    <w:rsid w:val="482F7F71"/>
    <w:rsid w:val="48AA70D7"/>
    <w:rsid w:val="48C0669E"/>
    <w:rsid w:val="48D611CF"/>
    <w:rsid w:val="48D85FE9"/>
    <w:rsid w:val="48DB6BC0"/>
    <w:rsid w:val="48E94455"/>
    <w:rsid w:val="49330904"/>
    <w:rsid w:val="49551A36"/>
    <w:rsid w:val="49793828"/>
    <w:rsid w:val="498E7945"/>
    <w:rsid w:val="49B42FE5"/>
    <w:rsid w:val="49B63AD6"/>
    <w:rsid w:val="49D41D01"/>
    <w:rsid w:val="49DA5AB1"/>
    <w:rsid w:val="4B683C0F"/>
    <w:rsid w:val="4B815160"/>
    <w:rsid w:val="4BBB64D2"/>
    <w:rsid w:val="4BBC17AA"/>
    <w:rsid w:val="4C250F27"/>
    <w:rsid w:val="4C7235CD"/>
    <w:rsid w:val="4CFC11EA"/>
    <w:rsid w:val="4D0000F3"/>
    <w:rsid w:val="4D225F85"/>
    <w:rsid w:val="4D2E6FC3"/>
    <w:rsid w:val="4D3F1A54"/>
    <w:rsid w:val="4D491AF0"/>
    <w:rsid w:val="4D4A1B0C"/>
    <w:rsid w:val="4D73058E"/>
    <w:rsid w:val="4DAE1E85"/>
    <w:rsid w:val="4DC376D1"/>
    <w:rsid w:val="4E0F02B7"/>
    <w:rsid w:val="4E682070"/>
    <w:rsid w:val="4E914C57"/>
    <w:rsid w:val="4F413B09"/>
    <w:rsid w:val="4F792DCA"/>
    <w:rsid w:val="4F8F10A2"/>
    <w:rsid w:val="4F9D25EA"/>
    <w:rsid w:val="4FAA2E71"/>
    <w:rsid w:val="4FE70DC0"/>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19718C"/>
    <w:rsid w:val="576F4F06"/>
    <w:rsid w:val="58780095"/>
    <w:rsid w:val="58F451C8"/>
    <w:rsid w:val="599704D6"/>
    <w:rsid w:val="5B1220CD"/>
    <w:rsid w:val="5B1E26A4"/>
    <w:rsid w:val="5B2F1CB7"/>
    <w:rsid w:val="5BF92FB6"/>
    <w:rsid w:val="5C207A49"/>
    <w:rsid w:val="5C451348"/>
    <w:rsid w:val="5C6E4D42"/>
    <w:rsid w:val="5D191F67"/>
    <w:rsid w:val="5D40525F"/>
    <w:rsid w:val="5D433C9B"/>
    <w:rsid w:val="5D5D061E"/>
    <w:rsid w:val="5DC934C7"/>
    <w:rsid w:val="5DE61BB4"/>
    <w:rsid w:val="5DE921E3"/>
    <w:rsid w:val="5E025F34"/>
    <w:rsid w:val="5E5B76CA"/>
    <w:rsid w:val="5E6957E0"/>
    <w:rsid w:val="5EAF49FF"/>
    <w:rsid w:val="5EB005A8"/>
    <w:rsid w:val="5ED457C4"/>
    <w:rsid w:val="5F36302E"/>
    <w:rsid w:val="5F5D4F94"/>
    <w:rsid w:val="600E2F0E"/>
    <w:rsid w:val="60A0128E"/>
    <w:rsid w:val="613D6F0C"/>
    <w:rsid w:val="61563EDB"/>
    <w:rsid w:val="61606110"/>
    <w:rsid w:val="616B2C59"/>
    <w:rsid w:val="618B5A4F"/>
    <w:rsid w:val="61C35ECC"/>
    <w:rsid w:val="6200624D"/>
    <w:rsid w:val="622412A8"/>
    <w:rsid w:val="624152A8"/>
    <w:rsid w:val="62717F29"/>
    <w:rsid w:val="62C959F4"/>
    <w:rsid w:val="638B00E1"/>
    <w:rsid w:val="6431737D"/>
    <w:rsid w:val="64491E06"/>
    <w:rsid w:val="64D301C4"/>
    <w:rsid w:val="65351D88"/>
    <w:rsid w:val="653D28FB"/>
    <w:rsid w:val="653F0AED"/>
    <w:rsid w:val="65483BE2"/>
    <w:rsid w:val="65BB2EF6"/>
    <w:rsid w:val="65D82B19"/>
    <w:rsid w:val="65E7565B"/>
    <w:rsid w:val="65F32E35"/>
    <w:rsid w:val="666E3111"/>
    <w:rsid w:val="66B90AD6"/>
    <w:rsid w:val="66F34A45"/>
    <w:rsid w:val="67096872"/>
    <w:rsid w:val="672166AA"/>
    <w:rsid w:val="673F51FA"/>
    <w:rsid w:val="681D4ECB"/>
    <w:rsid w:val="689478DF"/>
    <w:rsid w:val="689F687A"/>
    <w:rsid w:val="68A270ED"/>
    <w:rsid w:val="68F64B7B"/>
    <w:rsid w:val="69993FC4"/>
    <w:rsid w:val="69C433F1"/>
    <w:rsid w:val="6A163EBE"/>
    <w:rsid w:val="6A656DD9"/>
    <w:rsid w:val="6B0928F1"/>
    <w:rsid w:val="6B763559"/>
    <w:rsid w:val="6B7C24AE"/>
    <w:rsid w:val="6BA52303"/>
    <w:rsid w:val="6BD25C42"/>
    <w:rsid w:val="6BE3402B"/>
    <w:rsid w:val="6C7F08A6"/>
    <w:rsid w:val="6CBA018C"/>
    <w:rsid w:val="6CD67BD4"/>
    <w:rsid w:val="6D302D7C"/>
    <w:rsid w:val="6D392803"/>
    <w:rsid w:val="6D9E2518"/>
    <w:rsid w:val="6DBA7B46"/>
    <w:rsid w:val="6E77495A"/>
    <w:rsid w:val="6EAF635F"/>
    <w:rsid w:val="6EC800BC"/>
    <w:rsid w:val="6FB73BE7"/>
    <w:rsid w:val="6FC74F89"/>
    <w:rsid w:val="6FC82399"/>
    <w:rsid w:val="6FE93FCD"/>
    <w:rsid w:val="70120CD3"/>
    <w:rsid w:val="705B2C76"/>
    <w:rsid w:val="70B92DBC"/>
    <w:rsid w:val="70CB34AB"/>
    <w:rsid w:val="70F17567"/>
    <w:rsid w:val="710A4F1D"/>
    <w:rsid w:val="71685DAD"/>
    <w:rsid w:val="718E6436"/>
    <w:rsid w:val="725F012C"/>
    <w:rsid w:val="727A01CC"/>
    <w:rsid w:val="72FD5CB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F86EC8"/>
    <w:rsid w:val="781028F2"/>
    <w:rsid w:val="781E605F"/>
    <w:rsid w:val="788A1EBA"/>
    <w:rsid w:val="78C402EA"/>
    <w:rsid w:val="7924125A"/>
    <w:rsid w:val="79627EE8"/>
    <w:rsid w:val="797B7BE6"/>
    <w:rsid w:val="799E4500"/>
    <w:rsid w:val="79FB08F2"/>
    <w:rsid w:val="7A6D1745"/>
    <w:rsid w:val="7A8D0632"/>
    <w:rsid w:val="7A8E45BE"/>
    <w:rsid w:val="7B595A97"/>
    <w:rsid w:val="7BDD0B1E"/>
    <w:rsid w:val="7C366122"/>
    <w:rsid w:val="7C693CA2"/>
    <w:rsid w:val="7C7062B2"/>
    <w:rsid w:val="7CF51919"/>
    <w:rsid w:val="7D4E23DA"/>
    <w:rsid w:val="7E3452EF"/>
    <w:rsid w:val="7E6601F9"/>
    <w:rsid w:val="7EC42D4A"/>
    <w:rsid w:val="7EE97DD9"/>
    <w:rsid w:val="7EF02F3D"/>
    <w:rsid w:val="7F761695"/>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4">
    <w:name w:val="Normal Indent"/>
    <w:basedOn w:val="1"/>
    <w:autoRedefine/>
    <w:qFormat/>
    <w:uiPriority w:val="0"/>
    <w:pPr>
      <w:ind w:firstLine="420"/>
    </w:pPr>
    <w:rPr>
      <w:rFonts w:ascii="Calibri" w:hAnsi="Calibri" w:eastAsia="宋体" w:cs="Times New Roman"/>
    </w:rPr>
  </w:style>
  <w:style w:type="paragraph" w:styleId="5">
    <w:name w:val="Body Text 3"/>
    <w:basedOn w:val="1"/>
    <w:unhideWhenUsed/>
    <w:qFormat/>
    <w:uiPriority w:val="99"/>
    <w:pPr>
      <w:spacing w:after="120"/>
    </w:pPr>
    <w:rPr>
      <w:rFonts w:ascii="Calibri" w:hAnsi="Calibri"/>
      <w:sz w:val="16"/>
      <w:szCs w:val="16"/>
      <w:lang w:val="zh-CN"/>
    </w:rPr>
  </w:style>
  <w:style w:type="paragraph" w:styleId="6">
    <w:name w:val="footer"/>
    <w:basedOn w:val="1"/>
    <w:link w:val="15"/>
    <w:autoRedefine/>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autoRedefine/>
    <w:unhideWhenUsed/>
    <w:qFormat/>
    <w:uiPriority w:val="99"/>
    <w:pPr>
      <w:ind w:firstLine="420" w:firstLineChars="100"/>
    </w:pPr>
    <w:rPr>
      <w:rFonts w:ascii="Times New Roman" w:hAnsi="Times New Roman"/>
      <w:kern w:val="0"/>
      <w:sz w:val="20"/>
      <w:szCs w:val="20"/>
    </w:rPr>
  </w:style>
  <w:style w:type="table" w:styleId="10">
    <w:name w:val="Table Grid"/>
    <w:basedOn w:val="9"/>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2">
    <w:name w:val="style4"/>
    <w:basedOn w:val="1"/>
    <w:next w:val="13"/>
    <w:autoRedefine/>
    <w:qFormat/>
    <w:uiPriority w:val="0"/>
    <w:pPr>
      <w:widowControl/>
      <w:spacing w:before="280" w:after="280"/>
    </w:pPr>
    <w:rPr>
      <w:rFonts w:ascii="宋体" w:hAnsi="Times New Roman" w:eastAsia="宋体" w:cs="Times New Roman"/>
      <w:sz w:val="18"/>
    </w:rPr>
  </w:style>
  <w:style w:type="paragraph" w:customStyle="1" w:styleId="13">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14">
    <w:name w:val="页眉 Char"/>
    <w:basedOn w:val="11"/>
    <w:link w:val="7"/>
    <w:autoRedefine/>
    <w:semiHidden/>
    <w:qFormat/>
    <w:uiPriority w:val="99"/>
    <w:rPr>
      <w:sz w:val="18"/>
      <w:szCs w:val="18"/>
    </w:rPr>
  </w:style>
  <w:style w:type="character" w:customStyle="1" w:styleId="15">
    <w:name w:val="页脚 Char"/>
    <w:basedOn w:val="11"/>
    <w:link w:val="6"/>
    <w:autoRedefine/>
    <w:qFormat/>
    <w:uiPriority w:val="99"/>
    <w:rPr>
      <w:sz w:val="18"/>
      <w:szCs w:val="18"/>
    </w:rPr>
  </w:style>
  <w:style w:type="paragraph" w:customStyle="1" w:styleId="16">
    <w:name w:val="正文1"/>
    <w:basedOn w:val="1"/>
    <w:autoRedefine/>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17">
    <w:name w:val="NormalCharacter"/>
    <w:autoRedefine/>
    <w:qFormat/>
    <w:uiPriority w:val="0"/>
  </w:style>
  <w:style w:type="paragraph" w:customStyle="1" w:styleId="18">
    <w:name w:val="Table Paragraph"/>
    <w:basedOn w:val="1"/>
    <w:autoRedefine/>
    <w:qFormat/>
    <w:uiPriority w:val="1"/>
    <w:rPr>
      <w:rFonts w:ascii="Times New Roman" w:hAnsi="Times New Roman" w:eastAsia="宋体" w:cs="Times New Roman"/>
      <w:sz w:val="24"/>
      <w:szCs w:val="20"/>
    </w:rPr>
  </w:style>
  <w:style w:type="paragraph" w:customStyle="1" w:styleId="19">
    <w:name w:val="表格 - 正文"/>
    <w:basedOn w:val="1"/>
    <w:qFormat/>
    <w:uiPriority w:val="0"/>
    <w:pPr>
      <w:snapToGrid w:val="0"/>
      <w:spacing w:before="120" w:after="120" w:line="360" w:lineRule="auto"/>
    </w:pPr>
    <w:rPr>
      <w:rFonts w:ascii="Times New Roman" w:hAnsi="Times New Roman" w:eastAsia="宋体" w:cs="宋体"/>
      <w:szCs w:val="20"/>
    </w:rPr>
  </w:style>
  <w:style w:type="paragraph" w:styleId="20">
    <w:name w:val="List Paragraph"/>
    <w:basedOn w:val="1"/>
    <w:autoRedefine/>
    <w:qFormat/>
    <w:uiPriority w:val="34"/>
    <w:pPr>
      <w:ind w:firstLine="420" w:firstLineChars="200"/>
    </w:pPr>
  </w:style>
  <w:style w:type="character" w:customStyle="1" w:styleId="21">
    <w:name w:val="font11"/>
    <w:basedOn w:val="11"/>
    <w:qFormat/>
    <w:uiPriority w:val="0"/>
    <w:rPr>
      <w:rFonts w:hint="eastAsia" w:ascii="宋体" w:hAnsi="宋体" w:eastAsia="宋体" w:cs="宋体"/>
      <w:color w:val="000000"/>
      <w:sz w:val="21"/>
      <w:szCs w:val="21"/>
      <w:u w:val="none"/>
    </w:rPr>
  </w:style>
  <w:style w:type="character" w:customStyle="1" w:styleId="22">
    <w:name w:val="font21"/>
    <w:basedOn w:val="11"/>
    <w:qFormat/>
    <w:uiPriority w:val="0"/>
    <w:rPr>
      <w:rFonts w:hint="eastAsia" w:ascii="宋体" w:hAnsi="宋体" w:eastAsia="宋体" w:cs="宋体"/>
      <w:strike/>
      <w:color w:val="000000"/>
      <w:sz w:val="21"/>
      <w:szCs w:val="21"/>
    </w:rPr>
  </w:style>
  <w:style w:type="paragraph" w:customStyle="1" w:styleId="23">
    <w:name w:val="_Style 13"/>
    <w:qFormat/>
    <w:uiPriority w:val="0"/>
    <w:pPr>
      <w:spacing w:before="120" w:after="120" w:line="288" w:lineRule="auto"/>
      <w:ind w:left="0"/>
      <w:jc w:val="left"/>
    </w:pPr>
    <w:rPr>
      <w:rFonts w:ascii="Arial" w:hAnsi="Arial" w:eastAsia="等线" w:cs="Arial"/>
      <w:sz w:val="22"/>
      <w:szCs w:val="22"/>
    </w:rPr>
  </w:style>
  <w:style w:type="paragraph" w:customStyle="1" w:styleId="2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3384</Words>
  <Characters>3542</Characters>
  <Lines>6</Lines>
  <Paragraphs>1</Paragraphs>
  <TotalTime>4</TotalTime>
  <ScaleCrop>false</ScaleCrop>
  <LinksUpToDate>false</LinksUpToDate>
  <CharactersWithSpaces>3641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罗昊</cp:lastModifiedBy>
  <dcterms:modified xsi:type="dcterms:W3CDTF">2026-07-29T10:16:17Z</dcterms:modified>
  <cp:revision>1082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236EE8110CB74B6D96A171B8B9CB89FA</vt:lpwstr>
  </property>
  <property fmtid="{D5CDD505-2E9C-101B-9397-08002B2CF9AE}" pid="4" name="commondata">
    <vt:lpwstr>eyJoZGlkIjoiNzljOTE0MDRlMmUyY2M3ZGQ4Nzk0OWRiOWI1OGE3ZmYifQ==</vt:lpwstr>
  </property>
  <property fmtid="{D5CDD505-2E9C-101B-9397-08002B2CF9AE}" pid="5" name="KSOTemplateDocerSaveRecord">
    <vt:lpwstr>eyJoZGlkIjoiODMwZWE0MjdkNmUyYzJlNjJmNTM0ODJjOTJiNjk2Y2IiLCJ1c2VySWQiOiIxODc5MTI0Mjc1In0=</vt:lpwstr>
  </property>
</Properties>
</file>