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EDC0">
      <w:pPr>
        <w:tabs>
          <w:tab w:val="left" w:pos="420"/>
        </w:tabs>
        <w:adjustRightInd w:val="0"/>
        <w:snapToGrid w:val="0"/>
        <w:jc w:val="right"/>
        <w:rPr>
          <w:rFonts w:ascii="宋体" w:hAnsi="宋体" w:cs="宋体"/>
          <w:b/>
          <w:bCs/>
          <w:color w:val="auto"/>
          <w:sz w:val="52"/>
          <w:szCs w:val="52"/>
          <w:highlight w:val="none"/>
        </w:rPr>
      </w:pPr>
    </w:p>
    <w:p w14:paraId="3C21A803">
      <w:pPr>
        <w:tabs>
          <w:tab w:val="left" w:pos="420"/>
        </w:tabs>
        <w:spacing w:line="360" w:lineRule="auto"/>
        <w:jc w:val="center"/>
        <w:rPr>
          <w:rFonts w:ascii="宋体" w:hAnsi="宋体"/>
          <w:b/>
          <w:bCs/>
          <w:color w:val="auto"/>
          <w:sz w:val="44"/>
          <w:szCs w:val="44"/>
          <w:highlight w:val="none"/>
        </w:rPr>
      </w:pPr>
    </w:p>
    <w:p w14:paraId="2D82F901">
      <w:pPr>
        <w:tabs>
          <w:tab w:val="left" w:pos="420"/>
        </w:tabs>
        <w:spacing w:line="360" w:lineRule="auto"/>
        <w:jc w:val="center"/>
        <w:rPr>
          <w:rFonts w:ascii="宋体" w:hAnsi="宋体"/>
          <w:b/>
          <w:bCs/>
          <w:color w:val="auto"/>
          <w:sz w:val="44"/>
          <w:szCs w:val="44"/>
          <w:highlight w:val="none"/>
        </w:rPr>
      </w:pPr>
    </w:p>
    <w:p w14:paraId="16BB61DF">
      <w:pPr>
        <w:pStyle w:val="2"/>
        <w:rPr>
          <w:highlight w:val="none"/>
        </w:rPr>
      </w:pPr>
    </w:p>
    <w:p w14:paraId="372E8B36">
      <w:pPr>
        <w:tabs>
          <w:tab w:val="left" w:pos="420"/>
        </w:tabs>
        <w:spacing w:line="360" w:lineRule="auto"/>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val="en-US" w:eastAsia="zh-CN"/>
        </w:rPr>
        <w:t>六安市中医院拟报废资产拍卖服务机构选聘项目</w:t>
      </w:r>
    </w:p>
    <w:p w14:paraId="1208E8E6">
      <w:pPr>
        <w:tabs>
          <w:tab w:val="left" w:pos="420"/>
        </w:tabs>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竞争性磋商文件</w:t>
      </w:r>
    </w:p>
    <w:p w14:paraId="03E11EBB">
      <w:pPr>
        <w:tabs>
          <w:tab w:val="left" w:pos="420"/>
        </w:tabs>
        <w:spacing w:line="360" w:lineRule="auto"/>
        <w:jc w:val="center"/>
        <w:rPr>
          <w:rFonts w:hint="default" w:ascii="微软简标宋"/>
          <w:color w:val="auto"/>
          <w:sz w:val="28"/>
          <w:szCs w:val="28"/>
          <w:highlight w:val="none"/>
          <w:lang w:val="en-US"/>
        </w:rPr>
      </w:pPr>
      <w:r>
        <w:rPr>
          <w:rFonts w:hint="eastAsia" w:ascii="宋体" w:hAnsi="DotumChe" w:cs="宋体"/>
          <w:b w:val="0"/>
          <w:bCs/>
          <w:color w:val="auto"/>
          <w:spacing w:val="0"/>
          <w:kern w:val="0"/>
          <w:sz w:val="28"/>
          <w:szCs w:val="28"/>
          <w:highlight w:val="none"/>
        </w:rPr>
        <w:t>项目编号：</w:t>
      </w:r>
      <w:r>
        <w:rPr>
          <w:rFonts w:hint="eastAsia" w:ascii="宋体" w:hAnsi="DotumChe" w:cs="宋体"/>
          <w:b w:val="0"/>
          <w:bCs/>
          <w:color w:val="auto"/>
          <w:spacing w:val="0"/>
          <w:kern w:val="0"/>
          <w:sz w:val="28"/>
          <w:szCs w:val="28"/>
          <w:highlight w:val="none"/>
          <w:lang w:val="en-US" w:eastAsia="zh-CN"/>
        </w:rPr>
        <w:t>LASZYY-</w:t>
      </w:r>
      <w:r>
        <w:rPr>
          <w:rFonts w:hint="eastAsia" w:hAnsi="DotumChe" w:cs="宋体"/>
          <w:b w:val="0"/>
          <w:bCs/>
          <w:color w:val="auto"/>
          <w:spacing w:val="0"/>
          <w:kern w:val="0"/>
          <w:sz w:val="28"/>
          <w:szCs w:val="28"/>
          <w:highlight w:val="none"/>
          <w:lang w:val="en-US" w:eastAsia="zh-CN"/>
        </w:rPr>
        <w:t>WLGLB</w:t>
      </w:r>
      <w:r>
        <w:rPr>
          <w:rFonts w:hint="eastAsia" w:ascii="宋体" w:hAnsi="DotumChe" w:cs="宋体"/>
          <w:b w:val="0"/>
          <w:bCs/>
          <w:color w:val="auto"/>
          <w:spacing w:val="0"/>
          <w:kern w:val="0"/>
          <w:sz w:val="28"/>
          <w:szCs w:val="28"/>
          <w:highlight w:val="none"/>
          <w:lang w:val="en-US" w:eastAsia="zh-CN"/>
        </w:rPr>
        <w:t>2026010</w:t>
      </w:r>
    </w:p>
    <w:p w14:paraId="24C42B11">
      <w:pPr>
        <w:tabs>
          <w:tab w:val="left" w:pos="420"/>
        </w:tabs>
        <w:spacing w:before="360" w:beforeLines="150" w:line="1700" w:lineRule="exact"/>
        <w:jc w:val="center"/>
        <w:rPr>
          <w:rFonts w:ascii="宋体" w:hAnsi="宋体"/>
          <w:b/>
          <w:bCs/>
          <w:color w:val="auto"/>
          <w:sz w:val="52"/>
          <w:szCs w:val="52"/>
          <w:highlight w:val="none"/>
        </w:rPr>
      </w:pPr>
    </w:p>
    <w:p w14:paraId="28EA4A11">
      <w:pPr>
        <w:bidi w:val="0"/>
        <w:rPr>
          <w:highlight w:val="none"/>
        </w:rPr>
      </w:pPr>
    </w:p>
    <w:p w14:paraId="2D2C8C27">
      <w:pPr>
        <w:pStyle w:val="3"/>
        <w:rPr>
          <w:color w:val="auto"/>
          <w:highlight w:val="none"/>
        </w:rPr>
      </w:pPr>
    </w:p>
    <w:p w14:paraId="40450FEB">
      <w:pPr>
        <w:pStyle w:val="3"/>
        <w:bidi w:val="0"/>
        <w:rPr>
          <w:highlight w:val="none"/>
        </w:rPr>
      </w:pPr>
    </w:p>
    <w:p w14:paraId="79455575">
      <w:pPr>
        <w:pStyle w:val="2"/>
        <w:rPr>
          <w:color w:val="auto"/>
          <w:highlight w:val="none"/>
        </w:rPr>
      </w:pPr>
    </w:p>
    <w:p w14:paraId="2C8C8D36">
      <w:pPr>
        <w:pStyle w:val="25"/>
        <w:rPr>
          <w:color w:val="auto"/>
          <w:highlight w:val="none"/>
        </w:rPr>
      </w:pPr>
    </w:p>
    <w:p w14:paraId="478A59A1">
      <w:pPr>
        <w:pStyle w:val="25"/>
        <w:rPr>
          <w:color w:val="auto"/>
          <w:highlight w:val="none"/>
        </w:rPr>
      </w:pPr>
    </w:p>
    <w:p w14:paraId="68B164A1">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2E9F55DE">
      <w:pPr>
        <w:pStyle w:val="2"/>
        <w:rPr>
          <w:highlight w:val="none"/>
        </w:rPr>
      </w:pPr>
    </w:p>
    <w:p w14:paraId="2AF5B72E">
      <w:pPr>
        <w:keepNext w:val="0"/>
        <w:keepLines w:val="0"/>
        <w:pageBreakBefore w:val="0"/>
        <w:widowControl w:val="0"/>
        <w:tabs>
          <w:tab w:val="left" w:pos="2410"/>
        </w:tabs>
        <w:kinsoku/>
        <w:wordWrap/>
        <w:overflowPunct/>
        <w:topLinePunct w:val="0"/>
        <w:autoSpaceDE w:val="0"/>
        <w:autoSpaceDN w:val="0"/>
        <w:bidi w:val="0"/>
        <w:adjustRightInd/>
        <w:snapToGrid/>
        <w:spacing w:line="360" w:lineRule="auto"/>
        <w:jc w:val="center"/>
        <w:textAlignment w:val="auto"/>
        <w:rPr>
          <w:rFonts w:hint="eastAsia" w:ascii="宋体" w:hAnsi="DotumChe" w:eastAsia="宋体" w:cs="宋体"/>
          <w:b w:val="0"/>
          <w:bCs/>
          <w:color w:val="auto"/>
          <w:spacing w:val="0"/>
          <w:kern w:val="0"/>
          <w:sz w:val="32"/>
          <w:szCs w:val="32"/>
          <w:highlight w:val="none"/>
          <w:lang w:eastAsia="zh-CN"/>
        </w:rPr>
      </w:pPr>
      <w:r>
        <w:rPr>
          <w:rFonts w:hint="eastAsia" w:ascii="宋体" w:hAnsi="DotumChe" w:cs="宋体"/>
          <w:b w:val="0"/>
          <w:bCs/>
          <w:color w:val="auto"/>
          <w:spacing w:val="0"/>
          <w:kern w:val="0"/>
          <w:sz w:val="32"/>
          <w:szCs w:val="32"/>
          <w:highlight w:val="none"/>
        </w:rPr>
        <w:t>采购人：</w:t>
      </w:r>
      <w:r>
        <w:rPr>
          <w:rFonts w:hint="eastAsia" w:ascii="宋体" w:hAnsi="DotumChe" w:cs="宋体"/>
          <w:b w:val="0"/>
          <w:bCs/>
          <w:color w:val="auto"/>
          <w:spacing w:val="0"/>
          <w:kern w:val="0"/>
          <w:sz w:val="32"/>
          <w:szCs w:val="32"/>
          <w:highlight w:val="none"/>
          <w:lang w:val="en-US" w:eastAsia="zh-CN"/>
        </w:rPr>
        <w:t>六安市中医院</w:t>
      </w:r>
    </w:p>
    <w:p w14:paraId="72041C76">
      <w:pPr>
        <w:keepNext w:val="0"/>
        <w:keepLines w:val="0"/>
        <w:pageBreakBefore w:val="0"/>
        <w:widowControl w:val="0"/>
        <w:tabs>
          <w:tab w:val="left" w:pos="2410"/>
        </w:tabs>
        <w:kinsoku/>
        <w:wordWrap/>
        <w:overflowPunct/>
        <w:topLinePunct w:val="0"/>
        <w:autoSpaceDE w:val="0"/>
        <w:autoSpaceDN w:val="0"/>
        <w:bidi w:val="0"/>
        <w:adjustRightInd/>
        <w:snapToGrid/>
        <w:spacing w:line="360" w:lineRule="auto"/>
        <w:jc w:val="center"/>
        <w:textAlignment w:val="auto"/>
        <w:rPr>
          <w:rFonts w:hint="eastAsia" w:ascii="宋体" w:hAnsi="DotumChe" w:eastAsia="宋体" w:cs="宋体"/>
          <w:b w:val="0"/>
          <w:bCs/>
          <w:color w:val="auto"/>
          <w:spacing w:val="0"/>
          <w:kern w:val="0"/>
          <w:sz w:val="32"/>
          <w:szCs w:val="32"/>
          <w:highlight w:val="none"/>
        </w:rPr>
      </w:pPr>
      <w:r>
        <w:rPr>
          <w:rFonts w:hint="eastAsia" w:ascii="宋体" w:hAnsi="DotumChe" w:eastAsia="宋体" w:cs="宋体"/>
          <w:b w:val="0"/>
          <w:bCs/>
          <w:color w:val="auto"/>
          <w:spacing w:val="0"/>
          <w:kern w:val="0"/>
          <w:sz w:val="32"/>
          <w:szCs w:val="32"/>
          <w:highlight w:val="none"/>
        </w:rPr>
        <w:t>采购时间：</w:t>
      </w:r>
      <w:r>
        <w:rPr>
          <w:rFonts w:hint="eastAsia" w:ascii="宋体" w:hAnsi="DotumChe" w:eastAsia="宋体" w:cs="宋体"/>
          <w:b w:val="0"/>
          <w:bCs/>
          <w:color w:val="auto"/>
          <w:spacing w:val="0"/>
          <w:kern w:val="0"/>
          <w:sz w:val="32"/>
          <w:szCs w:val="32"/>
          <w:highlight w:val="none"/>
          <w:lang w:eastAsia="zh-CN"/>
        </w:rPr>
        <w:t>202</w:t>
      </w:r>
      <w:r>
        <w:rPr>
          <w:rFonts w:hint="eastAsia" w:ascii="宋体" w:hAnsi="DotumChe" w:cs="宋体"/>
          <w:b w:val="0"/>
          <w:bCs/>
          <w:color w:val="auto"/>
          <w:spacing w:val="0"/>
          <w:kern w:val="0"/>
          <w:sz w:val="32"/>
          <w:szCs w:val="32"/>
          <w:highlight w:val="none"/>
          <w:lang w:val="en-US" w:eastAsia="zh-CN"/>
        </w:rPr>
        <w:t>6</w:t>
      </w:r>
      <w:r>
        <w:rPr>
          <w:rFonts w:hint="eastAsia" w:ascii="宋体" w:hAnsi="DotumChe" w:eastAsia="宋体" w:cs="宋体"/>
          <w:b w:val="0"/>
          <w:bCs/>
          <w:color w:val="auto"/>
          <w:spacing w:val="0"/>
          <w:kern w:val="0"/>
          <w:sz w:val="32"/>
          <w:szCs w:val="32"/>
          <w:highlight w:val="none"/>
          <w:lang w:eastAsia="zh-CN"/>
        </w:rPr>
        <w:t>年</w:t>
      </w:r>
      <w:r>
        <w:rPr>
          <w:rFonts w:hint="eastAsia" w:ascii="宋体" w:hAnsi="DotumChe" w:cs="宋体"/>
          <w:b w:val="0"/>
          <w:bCs/>
          <w:color w:val="auto"/>
          <w:spacing w:val="0"/>
          <w:kern w:val="0"/>
          <w:sz w:val="32"/>
          <w:szCs w:val="32"/>
          <w:highlight w:val="none"/>
          <w:lang w:val="en-US" w:eastAsia="zh-CN"/>
        </w:rPr>
        <w:t>3月23日</w:t>
      </w:r>
      <w:r>
        <w:rPr>
          <w:rFonts w:hint="eastAsia" w:ascii="宋体" w:hAnsi="DotumChe" w:eastAsia="宋体" w:cs="宋体"/>
          <w:b w:val="0"/>
          <w:bCs/>
          <w:color w:val="auto"/>
          <w:spacing w:val="0"/>
          <w:kern w:val="0"/>
          <w:sz w:val="32"/>
          <w:szCs w:val="32"/>
          <w:highlight w:val="none"/>
        </w:rPr>
        <w:br w:type="page"/>
      </w:r>
    </w:p>
    <w:p w14:paraId="7C87A95F">
      <w:pPr>
        <w:pStyle w:val="4"/>
        <w:keepLines/>
        <w:spacing w:after="120" w:afterLines="50" w:line="360" w:lineRule="auto"/>
        <w:jc w:val="center"/>
        <w:rPr>
          <w:rFonts w:hint="eastAsia" w:ascii="Times New Roman" w:hAnsi="Times New Roman" w:eastAsia="宋体" w:cs="Times New Roman"/>
          <w:b/>
          <w:bCs/>
          <w:color w:val="auto"/>
          <w:kern w:val="44"/>
          <w:sz w:val="32"/>
          <w:szCs w:val="48"/>
          <w:highlight w:val="none"/>
        </w:rPr>
      </w:pPr>
      <w:bookmarkStart w:id="0" w:name="_Toc4777"/>
      <w:bookmarkStart w:id="1" w:name="_Toc21176"/>
      <w:bookmarkStart w:id="2" w:name="_Toc23725"/>
      <w:bookmarkStart w:id="3" w:name="_Toc14937"/>
      <w:bookmarkStart w:id="4" w:name="_Toc19522"/>
      <w:r>
        <w:rPr>
          <w:rFonts w:hint="eastAsia" w:ascii="Times New Roman" w:hAnsi="Times New Roman" w:eastAsia="宋体" w:cs="Times New Roman"/>
          <w:b/>
          <w:bCs/>
          <w:color w:val="auto"/>
          <w:kern w:val="44"/>
          <w:sz w:val="32"/>
          <w:szCs w:val="48"/>
          <w:highlight w:val="none"/>
        </w:rPr>
        <w:t>目录</w:t>
      </w:r>
      <w:bookmarkEnd w:id="0"/>
      <w:bookmarkEnd w:id="1"/>
      <w:bookmarkEnd w:id="2"/>
      <w:bookmarkEnd w:id="3"/>
      <w:bookmarkEnd w:id="4"/>
    </w:p>
    <w:p w14:paraId="7DC7B6FE">
      <w:pPr>
        <w:pStyle w:val="23"/>
        <w:tabs>
          <w:tab w:val="right" w:leader="dot" w:pos="9070"/>
        </w:tabs>
        <w:spacing w:line="360" w:lineRule="auto"/>
        <w:rPr>
          <w:rFonts w:hint="eastAsia" w:ascii="宋体" w:hAnsi="宋体" w:eastAsia="宋体" w:cs="宋体"/>
          <w:sz w:val="24"/>
          <w:szCs w:val="24"/>
          <w:highlight w:val="none"/>
        </w:rPr>
      </w:pPr>
      <w:bookmarkStart w:id="5" w:name="_Toc30186"/>
      <w:bookmarkStart w:id="6" w:name="_Toc15570"/>
      <w:bookmarkStart w:id="7" w:name="_Toc363199264"/>
      <w:bookmarkStart w:id="8" w:name="_Toc216158623"/>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_Toc29653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一、供应商须知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DF99DB6">
      <w:pPr>
        <w:pStyle w:val="23"/>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_Toc1125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二、</w:t>
      </w:r>
      <w:r>
        <w:rPr>
          <w:rFonts w:hint="eastAsia" w:ascii="宋体" w:hAnsi="宋体" w:eastAsia="宋体" w:cs="宋体"/>
          <w:bCs/>
          <w:kern w:val="44"/>
          <w:sz w:val="24"/>
          <w:szCs w:val="24"/>
          <w:highlight w:val="none"/>
          <w:lang w:val="en-US" w:eastAsia="zh-CN"/>
        </w:rPr>
        <w:t>采购</w:t>
      </w:r>
      <w:r>
        <w:rPr>
          <w:rFonts w:hint="eastAsia" w:ascii="宋体" w:hAnsi="宋体" w:eastAsia="宋体" w:cs="宋体"/>
          <w:bCs/>
          <w:kern w:val="44"/>
          <w:sz w:val="24"/>
          <w:szCs w:val="24"/>
          <w:highlight w:val="none"/>
        </w:rPr>
        <w:t>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94C3E6C">
      <w:pPr>
        <w:pStyle w:val="23"/>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_Toc24540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三、</w:t>
      </w:r>
      <w:r>
        <w:rPr>
          <w:rFonts w:hint="eastAsia" w:ascii="宋体" w:hAnsi="宋体" w:eastAsia="宋体" w:cs="宋体"/>
          <w:bCs/>
          <w:kern w:val="44"/>
          <w:sz w:val="24"/>
          <w:szCs w:val="24"/>
          <w:highlight w:val="none"/>
          <w:lang w:val="en-US" w:eastAsia="zh-CN"/>
        </w:rPr>
        <w:t>采购</w:t>
      </w:r>
      <w:r>
        <w:rPr>
          <w:rFonts w:hint="eastAsia" w:ascii="宋体" w:hAnsi="宋体" w:eastAsia="宋体" w:cs="宋体"/>
          <w:bCs/>
          <w:kern w:val="44"/>
          <w:sz w:val="24"/>
          <w:szCs w:val="24"/>
          <w:highlight w:val="none"/>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_Toc24540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9222853">
      <w:pPr>
        <w:pStyle w:val="23"/>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_Toc6515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四、</w:t>
      </w:r>
      <w:r>
        <w:rPr>
          <w:rFonts w:hint="eastAsia" w:ascii="宋体" w:hAnsi="宋体" w:eastAsia="宋体" w:cs="宋体"/>
          <w:bCs/>
          <w:kern w:val="44"/>
          <w:sz w:val="24"/>
          <w:szCs w:val="24"/>
          <w:highlight w:val="none"/>
          <w:lang w:val="en-US" w:eastAsia="zh-CN"/>
        </w:rPr>
        <w:t>评审方法和</w:t>
      </w:r>
      <w:r>
        <w:rPr>
          <w:rFonts w:hint="eastAsia" w:ascii="宋体" w:hAnsi="宋体" w:eastAsia="宋体" w:cs="宋体"/>
          <w:bCs/>
          <w:kern w:val="44"/>
          <w:sz w:val="24"/>
          <w:szCs w:val="24"/>
          <w:highlight w:val="none"/>
        </w:rPr>
        <w:t>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_Toc6515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3E8A001">
      <w:pPr>
        <w:pStyle w:val="23"/>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_Toc28262 </w:instrText>
      </w:r>
      <w:r>
        <w:rPr>
          <w:rFonts w:hint="eastAsia" w:ascii="宋体" w:hAnsi="宋体" w:eastAsia="宋体" w:cs="宋体"/>
          <w:sz w:val="24"/>
          <w:szCs w:val="24"/>
          <w:highlight w:val="none"/>
        </w:rPr>
        <w:fldChar w:fldCharType="separate"/>
      </w:r>
      <w:r>
        <w:rPr>
          <w:rFonts w:hint="eastAsia" w:ascii="宋体" w:hAnsi="宋体" w:eastAsia="宋体" w:cs="宋体"/>
          <w:bCs/>
          <w:spacing w:val="-2"/>
          <w:sz w:val="24"/>
          <w:szCs w:val="24"/>
          <w:highlight w:val="none"/>
          <w:lang w:eastAsia="zh-CN"/>
        </w:rPr>
        <w:t>（一）</w:t>
      </w:r>
      <w:r>
        <w:rPr>
          <w:rFonts w:hint="eastAsia" w:ascii="宋体" w:hAnsi="宋体" w:eastAsia="宋体" w:cs="宋体"/>
          <w:bCs/>
          <w:spacing w:val="-2"/>
          <w:sz w:val="24"/>
          <w:szCs w:val="24"/>
          <w:highlight w:val="none"/>
        </w:rPr>
        <w:t>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_Toc28262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C4E99C2">
      <w:pPr>
        <w:pStyle w:val="23"/>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_Toc31064 </w:instrText>
      </w:r>
      <w:r>
        <w:rPr>
          <w:rFonts w:hint="eastAsia" w:ascii="宋体" w:hAnsi="宋体" w:eastAsia="宋体" w:cs="宋体"/>
          <w:sz w:val="24"/>
          <w:szCs w:val="24"/>
          <w:highlight w:val="none"/>
        </w:rPr>
        <w:fldChar w:fldCharType="separate"/>
      </w:r>
      <w:r>
        <w:rPr>
          <w:rFonts w:hint="eastAsia" w:ascii="宋体" w:hAnsi="宋体" w:eastAsia="宋体" w:cs="宋体"/>
          <w:bCs/>
          <w:spacing w:val="-2"/>
          <w:sz w:val="24"/>
          <w:szCs w:val="24"/>
          <w:highlight w:val="none"/>
          <w:lang w:val="en-US" w:eastAsia="zh-CN"/>
        </w:rPr>
        <w:t>（二）综合评审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_Toc31064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DDFDACE">
      <w:pPr>
        <w:pStyle w:val="23"/>
        <w:tabs>
          <w:tab w:val="right" w:leader="dot" w:pos="907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_Toc20049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五、响应文件格式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_Toc20049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CA8F8EB">
      <w:pPr>
        <w:rPr>
          <w:rFonts w:hint="eastAsia" w:ascii="宋体" w:hAnsi="宋体" w:eastAsia="宋体" w:cs="宋体"/>
          <w:color w:val="auto"/>
          <w:sz w:val="24"/>
          <w:szCs w:val="24"/>
          <w:highlight w:val="none"/>
        </w:rPr>
      </w:pPr>
    </w:p>
    <w:p w14:paraId="4EB9B44E">
      <w:pPr>
        <w:pStyle w:val="2"/>
        <w:rPr>
          <w:rFonts w:hint="eastAsia" w:ascii="宋体" w:hAnsi="宋体" w:eastAsia="宋体" w:cs="宋体"/>
          <w:color w:val="auto"/>
          <w:sz w:val="24"/>
          <w:szCs w:val="24"/>
          <w:highlight w:val="none"/>
        </w:rPr>
      </w:pPr>
    </w:p>
    <w:p w14:paraId="599F3CA0">
      <w:pPr>
        <w:pStyle w:val="2"/>
        <w:rPr>
          <w:rFonts w:hint="eastAsia" w:ascii="宋体" w:hAnsi="宋体" w:eastAsia="宋体" w:cs="宋体"/>
          <w:color w:val="auto"/>
          <w:sz w:val="24"/>
          <w:szCs w:val="24"/>
          <w:highlight w:val="none"/>
        </w:rPr>
      </w:pPr>
    </w:p>
    <w:p w14:paraId="19AA26A8">
      <w:pPr>
        <w:pStyle w:val="2"/>
        <w:rPr>
          <w:rFonts w:hint="eastAsia" w:ascii="宋体" w:hAnsi="宋体" w:eastAsia="宋体" w:cs="宋体"/>
          <w:color w:val="auto"/>
          <w:sz w:val="24"/>
          <w:szCs w:val="24"/>
          <w:highlight w:val="none"/>
        </w:rPr>
      </w:pPr>
    </w:p>
    <w:p w14:paraId="6811BBD8">
      <w:pPr>
        <w:pStyle w:val="2"/>
        <w:rPr>
          <w:rFonts w:hint="eastAsia" w:ascii="宋体" w:hAnsi="宋体" w:eastAsia="宋体" w:cs="宋体"/>
          <w:color w:val="auto"/>
          <w:sz w:val="24"/>
          <w:szCs w:val="24"/>
          <w:highlight w:val="none"/>
        </w:rPr>
      </w:pPr>
    </w:p>
    <w:p w14:paraId="07C908E3">
      <w:pPr>
        <w:pStyle w:val="2"/>
        <w:rPr>
          <w:rFonts w:hint="eastAsia" w:ascii="宋体" w:hAnsi="宋体" w:eastAsia="宋体" w:cs="宋体"/>
          <w:color w:val="auto"/>
          <w:sz w:val="24"/>
          <w:szCs w:val="24"/>
          <w:highlight w:val="none"/>
        </w:rPr>
      </w:pPr>
    </w:p>
    <w:p w14:paraId="7029DB7B">
      <w:pPr>
        <w:pStyle w:val="2"/>
        <w:rPr>
          <w:rFonts w:hint="eastAsia" w:ascii="宋体" w:hAnsi="宋体" w:eastAsia="宋体" w:cs="宋体"/>
          <w:color w:val="auto"/>
          <w:sz w:val="24"/>
          <w:szCs w:val="24"/>
          <w:highlight w:val="none"/>
        </w:rPr>
      </w:pPr>
    </w:p>
    <w:p w14:paraId="0BA660DE">
      <w:pPr>
        <w:pStyle w:val="2"/>
        <w:rPr>
          <w:rFonts w:hint="eastAsia" w:ascii="宋体" w:hAnsi="宋体" w:eastAsia="宋体" w:cs="宋体"/>
          <w:color w:val="auto"/>
          <w:sz w:val="24"/>
          <w:szCs w:val="24"/>
          <w:highlight w:val="none"/>
        </w:rPr>
      </w:pPr>
    </w:p>
    <w:p w14:paraId="04C68F51">
      <w:pPr>
        <w:pStyle w:val="2"/>
        <w:rPr>
          <w:rFonts w:hint="eastAsia" w:ascii="宋体" w:hAnsi="宋体" w:eastAsia="宋体" w:cs="宋体"/>
          <w:color w:val="auto"/>
          <w:sz w:val="24"/>
          <w:szCs w:val="24"/>
          <w:highlight w:val="none"/>
        </w:rPr>
      </w:pPr>
    </w:p>
    <w:p w14:paraId="368E5661">
      <w:pPr>
        <w:pStyle w:val="2"/>
        <w:rPr>
          <w:rFonts w:hint="eastAsia" w:ascii="宋体" w:hAnsi="宋体" w:eastAsia="宋体" w:cs="宋体"/>
          <w:color w:val="auto"/>
          <w:sz w:val="24"/>
          <w:szCs w:val="24"/>
          <w:highlight w:val="none"/>
        </w:rPr>
      </w:pPr>
    </w:p>
    <w:p w14:paraId="1948D027">
      <w:pPr>
        <w:pStyle w:val="2"/>
        <w:rPr>
          <w:rFonts w:hint="eastAsia" w:ascii="宋体" w:hAnsi="宋体" w:eastAsia="宋体" w:cs="宋体"/>
          <w:color w:val="auto"/>
          <w:sz w:val="24"/>
          <w:szCs w:val="24"/>
          <w:highlight w:val="none"/>
        </w:rPr>
      </w:pPr>
    </w:p>
    <w:p w14:paraId="5EF189F6">
      <w:pPr>
        <w:pStyle w:val="2"/>
        <w:rPr>
          <w:rFonts w:hint="eastAsia" w:ascii="宋体" w:hAnsi="宋体" w:eastAsia="宋体" w:cs="宋体"/>
          <w:color w:val="auto"/>
          <w:sz w:val="24"/>
          <w:szCs w:val="24"/>
          <w:highlight w:val="none"/>
        </w:rPr>
      </w:pPr>
    </w:p>
    <w:p w14:paraId="73A90756">
      <w:pPr>
        <w:pStyle w:val="2"/>
        <w:rPr>
          <w:rFonts w:hint="eastAsia" w:ascii="宋体" w:hAnsi="宋体" w:eastAsia="宋体" w:cs="宋体"/>
          <w:color w:val="auto"/>
          <w:sz w:val="24"/>
          <w:szCs w:val="24"/>
          <w:highlight w:val="none"/>
        </w:rPr>
      </w:pPr>
    </w:p>
    <w:p w14:paraId="678A0F2F">
      <w:pPr>
        <w:pStyle w:val="2"/>
        <w:rPr>
          <w:rFonts w:hint="eastAsia" w:ascii="宋体" w:hAnsi="宋体" w:eastAsia="宋体" w:cs="宋体"/>
          <w:color w:val="auto"/>
          <w:sz w:val="24"/>
          <w:szCs w:val="24"/>
          <w:highlight w:val="none"/>
        </w:rPr>
      </w:pPr>
    </w:p>
    <w:p w14:paraId="4B1BA5D3">
      <w:pPr>
        <w:pStyle w:val="2"/>
        <w:rPr>
          <w:rFonts w:hint="eastAsia" w:ascii="宋体" w:hAnsi="宋体" w:eastAsia="宋体" w:cs="宋体"/>
          <w:color w:val="auto"/>
          <w:sz w:val="24"/>
          <w:szCs w:val="24"/>
          <w:highlight w:val="none"/>
        </w:rPr>
      </w:pPr>
    </w:p>
    <w:p w14:paraId="0A93CE61">
      <w:pPr>
        <w:pStyle w:val="2"/>
        <w:rPr>
          <w:rFonts w:hint="eastAsia" w:ascii="宋体" w:hAnsi="宋体" w:eastAsia="宋体" w:cs="宋体"/>
          <w:color w:val="auto"/>
          <w:sz w:val="24"/>
          <w:szCs w:val="24"/>
          <w:highlight w:val="none"/>
        </w:rPr>
      </w:pPr>
    </w:p>
    <w:p w14:paraId="0C2466E7">
      <w:pPr>
        <w:pStyle w:val="2"/>
        <w:rPr>
          <w:rFonts w:hint="eastAsia" w:ascii="宋体" w:hAnsi="宋体" w:eastAsia="宋体" w:cs="宋体"/>
          <w:color w:val="auto"/>
          <w:sz w:val="24"/>
          <w:szCs w:val="24"/>
          <w:highlight w:val="none"/>
        </w:rPr>
      </w:pPr>
    </w:p>
    <w:p w14:paraId="1F6D3BC4">
      <w:pPr>
        <w:pStyle w:val="2"/>
        <w:rPr>
          <w:rFonts w:hint="eastAsia" w:ascii="宋体" w:hAnsi="宋体" w:eastAsia="宋体" w:cs="宋体"/>
          <w:color w:val="auto"/>
          <w:sz w:val="24"/>
          <w:szCs w:val="24"/>
          <w:highlight w:val="none"/>
        </w:rPr>
      </w:pPr>
    </w:p>
    <w:p w14:paraId="5C5DAE5B">
      <w:pPr>
        <w:spacing w:line="360" w:lineRule="auto"/>
        <w:rPr>
          <w:color w:val="auto"/>
          <w:highlight w:val="none"/>
        </w:rPr>
      </w:pPr>
      <w:r>
        <w:rPr>
          <w:rFonts w:hint="eastAsia" w:ascii="宋体" w:hAnsi="宋体" w:eastAsia="宋体" w:cs="宋体"/>
          <w:color w:val="auto"/>
          <w:sz w:val="24"/>
          <w:szCs w:val="24"/>
          <w:highlight w:val="none"/>
        </w:rPr>
        <w:fldChar w:fldCharType="end"/>
      </w:r>
    </w:p>
    <w:p w14:paraId="23F6D280">
      <w:pPr>
        <w:keepNext/>
        <w:keepLines/>
        <w:pageBreakBefore w:val="0"/>
        <w:widowControl w:val="0"/>
        <w:kinsoku/>
        <w:wordWrap/>
        <w:overflowPunct/>
        <w:topLinePunct w:val="0"/>
        <w:autoSpaceDE/>
        <w:autoSpaceDN/>
        <w:bidi w:val="0"/>
        <w:adjustRightInd w:val="0"/>
        <w:snapToGrid w:val="0"/>
        <w:spacing w:after="0" w:afterLines="100" w:line="240" w:lineRule="auto"/>
        <w:jc w:val="center"/>
        <w:textAlignment w:val="auto"/>
        <w:outlineLvl w:val="9"/>
        <w:rPr>
          <w:rFonts w:hint="eastAsia" w:ascii="华文中宋" w:hAnsi="华文中宋" w:eastAsia="华文中宋" w:cs="华文中宋"/>
          <w:b/>
          <w:bCs/>
          <w:color w:val="auto"/>
          <w:kern w:val="44"/>
          <w:sz w:val="44"/>
          <w:szCs w:val="60"/>
          <w:highlight w:val="none"/>
          <w:lang w:val="en-US" w:eastAsia="zh-CN"/>
        </w:rPr>
      </w:pPr>
      <w:bookmarkStart w:id="9" w:name="_Toc12722"/>
      <w:bookmarkStart w:id="10" w:name="_Toc5607"/>
      <w:bookmarkStart w:id="11" w:name="_Toc11104"/>
      <w:r>
        <w:rPr>
          <w:rFonts w:hint="eastAsia" w:ascii="华文中宋" w:hAnsi="华文中宋" w:eastAsia="华文中宋" w:cs="华文中宋"/>
          <w:b/>
          <w:bCs/>
          <w:color w:val="auto"/>
          <w:sz w:val="44"/>
          <w:szCs w:val="40"/>
          <w:highlight w:val="none"/>
          <w:lang w:eastAsia="zh-CN"/>
        </w:rPr>
        <w:t>六安市中医院拟报废资产拍卖服务机构选聘项目</w:t>
      </w:r>
      <w:r>
        <w:rPr>
          <w:rFonts w:hint="eastAsia" w:ascii="华文中宋" w:hAnsi="华文中宋" w:eastAsia="华文中宋" w:cs="华文中宋"/>
          <w:b/>
          <w:bCs/>
          <w:color w:val="auto"/>
          <w:kern w:val="44"/>
          <w:sz w:val="44"/>
          <w:szCs w:val="60"/>
          <w:highlight w:val="none"/>
        </w:rPr>
        <w:t>竞争性磋商</w:t>
      </w:r>
      <w:bookmarkEnd w:id="5"/>
      <w:bookmarkEnd w:id="6"/>
      <w:bookmarkEnd w:id="9"/>
      <w:r>
        <w:rPr>
          <w:rFonts w:hint="eastAsia" w:ascii="华文中宋" w:hAnsi="华文中宋" w:eastAsia="华文中宋" w:cs="华文中宋"/>
          <w:b/>
          <w:bCs/>
          <w:color w:val="auto"/>
          <w:kern w:val="44"/>
          <w:sz w:val="44"/>
          <w:szCs w:val="60"/>
          <w:highlight w:val="none"/>
          <w:lang w:val="en-US" w:eastAsia="zh-CN"/>
        </w:rPr>
        <w:t>公告</w:t>
      </w:r>
      <w:bookmarkEnd w:id="10"/>
      <w:bookmarkEnd w:id="11"/>
    </w:p>
    <w:p w14:paraId="4B8D972E">
      <w:pPr>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8"/>
          <w:szCs w:val="28"/>
          <w:highlight w:val="none"/>
          <w:lang w:val="en-US" w:eastAsia="zh-CN"/>
        </w:rPr>
      </w:pPr>
      <w:bookmarkStart w:id="12" w:name="_Toc28359012"/>
      <w:bookmarkStart w:id="13" w:name="_Toc9864"/>
      <w:bookmarkStart w:id="14" w:name="_Toc28359089"/>
      <w:bookmarkStart w:id="15" w:name="_Toc25448"/>
      <w:bookmarkStart w:id="16" w:name="_Toc35393629"/>
      <w:bookmarkStart w:id="17" w:name="_Toc35393798"/>
      <w:r>
        <w:rPr>
          <w:rFonts w:hint="eastAsia" w:ascii="仿宋" w:hAnsi="仿宋" w:eastAsia="仿宋" w:cs="仿宋"/>
          <w:b/>
          <w:bCs/>
          <w:color w:val="auto"/>
          <w:sz w:val="28"/>
          <w:szCs w:val="28"/>
          <w:highlight w:val="none"/>
          <w:lang w:val="en-US" w:eastAsia="zh-CN"/>
        </w:rPr>
        <w:t>各潜在供应商：</w:t>
      </w:r>
    </w:p>
    <w:p w14:paraId="1EF792FB">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根据工作安排，六安市中医院拟对六安市中医院拟报废资产拍卖服务机构选聘项目以竞争性磋商方式选择供应商。本次采购已履行相关的审批程序，欢迎具备条件的供应商参加。</w:t>
      </w:r>
    </w:p>
    <w:p w14:paraId="330F17BD">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黑体" w:hAnsi="黑体" w:eastAsia="黑体" w:cs="黑体"/>
          <w:bCs/>
          <w:color w:val="auto"/>
          <w:kern w:val="0"/>
          <w:sz w:val="28"/>
          <w:szCs w:val="28"/>
          <w:highlight w:val="none"/>
        </w:rPr>
      </w:pPr>
      <w:bookmarkStart w:id="18" w:name="_Toc466"/>
      <w:r>
        <w:rPr>
          <w:rFonts w:hint="eastAsia" w:ascii="黑体" w:hAnsi="黑体" w:eastAsia="黑体" w:cs="黑体"/>
          <w:bCs/>
          <w:color w:val="auto"/>
          <w:kern w:val="0"/>
          <w:sz w:val="28"/>
          <w:szCs w:val="28"/>
          <w:highlight w:val="none"/>
        </w:rPr>
        <w:t>一、项目基本情况</w:t>
      </w:r>
      <w:bookmarkEnd w:id="12"/>
      <w:bookmarkEnd w:id="13"/>
      <w:bookmarkEnd w:id="14"/>
      <w:bookmarkEnd w:id="15"/>
      <w:bookmarkEnd w:id="16"/>
      <w:bookmarkEnd w:id="17"/>
      <w:bookmarkEnd w:id="18"/>
    </w:p>
    <w:p w14:paraId="2A70C250">
      <w:pPr>
        <w:tabs>
          <w:tab w:val="left" w:pos="420"/>
        </w:tabs>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w:t>
      </w:r>
      <w:r>
        <w:rPr>
          <w:rFonts w:hint="eastAsia" w:ascii="宋体" w:hAnsi="DotumChe" w:cs="宋体"/>
          <w:b w:val="0"/>
          <w:bCs/>
          <w:color w:val="auto"/>
          <w:spacing w:val="0"/>
          <w:kern w:val="0"/>
          <w:sz w:val="28"/>
          <w:szCs w:val="28"/>
          <w:highlight w:val="none"/>
          <w:lang w:val="en-US" w:eastAsia="zh-CN"/>
        </w:rPr>
        <w:t>LASZYY-</w:t>
      </w:r>
      <w:r>
        <w:rPr>
          <w:rFonts w:hint="eastAsia" w:hAnsi="DotumChe" w:cs="宋体"/>
          <w:b w:val="0"/>
          <w:bCs/>
          <w:color w:val="auto"/>
          <w:spacing w:val="0"/>
          <w:kern w:val="0"/>
          <w:sz w:val="28"/>
          <w:szCs w:val="28"/>
          <w:highlight w:val="none"/>
          <w:lang w:val="en-US" w:eastAsia="zh-CN"/>
        </w:rPr>
        <w:t>WLGLB</w:t>
      </w:r>
      <w:r>
        <w:rPr>
          <w:rFonts w:hint="eastAsia" w:ascii="宋体" w:hAnsi="DotumChe" w:cs="宋体"/>
          <w:b w:val="0"/>
          <w:bCs/>
          <w:color w:val="auto"/>
          <w:spacing w:val="0"/>
          <w:kern w:val="0"/>
          <w:sz w:val="28"/>
          <w:szCs w:val="28"/>
          <w:highlight w:val="none"/>
          <w:lang w:val="en-US" w:eastAsia="zh-CN"/>
        </w:rPr>
        <w:t>2026010</w:t>
      </w:r>
    </w:p>
    <w:p w14:paraId="54976608">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2、项目名称：六安市中医院拟报废资产拍卖服务机构选聘项目</w:t>
      </w:r>
    </w:p>
    <w:p w14:paraId="086A976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3、项目类型：服务类</w:t>
      </w:r>
    </w:p>
    <w:p w14:paraId="5DF54EC8">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4、采购方式：竞争性磋商</w:t>
      </w:r>
    </w:p>
    <w:p w14:paraId="2F398970">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5、预算金额：最终拍卖成交价的3.5%(不足1500元的，按1500元收取)；由买受人支付。</w:t>
      </w:r>
    </w:p>
    <w:p w14:paraId="4106CCA3">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6、最高限价：采取折扣方式报价，最高限价为最终拍卖成交价的3.5%(不足1500元的，按1500元收取)；由买受人支付。</w:t>
      </w:r>
    </w:p>
    <w:p w14:paraId="25E658ED">
      <w:pPr>
        <w:spacing w:line="360" w:lineRule="auto"/>
        <w:ind w:firstLine="560" w:firstLineChars="200"/>
        <w:rPr>
          <w:rFonts w:hint="eastAsia" w:ascii="仿宋" w:hAnsi="仿宋" w:eastAsia="仿宋" w:cs="仿宋"/>
          <w:bCs/>
          <w:color w:val="auto"/>
          <w:sz w:val="28"/>
          <w:szCs w:val="28"/>
          <w:highlight w:val="none"/>
          <w:lang w:val="en-US" w:eastAsia="zh-CN" w:bidi="ar"/>
        </w:rPr>
      </w:pPr>
      <w:r>
        <w:rPr>
          <w:rFonts w:hint="eastAsia" w:ascii="仿宋" w:hAnsi="仿宋" w:eastAsia="仿宋" w:cs="仿宋"/>
          <w:color w:val="auto"/>
          <w:sz w:val="28"/>
          <w:szCs w:val="28"/>
          <w:highlight w:val="none"/>
          <w:lang w:val="en-US" w:eastAsia="zh-CN"/>
        </w:rPr>
        <w:t>7、采购需求：为进一步加强报废国有资产管理，现采购一家拍卖服务机构通过公开拍卖方式处置部分报废资产。</w:t>
      </w:r>
      <w:r>
        <w:rPr>
          <w:rFonts w:hint="eastAsia" w:ascii="仿宋" w:hAnsi="仿宋" w:eastAsia="仿宋" w:cs="仿宋"/>
          <w:bCs/>
          <w:color w:val="auto"/>
          <w:sz w:val="28"/>
          <w:szCs w:val="28"/>
          <w:highlight w:val="none"/>
          <w:lang w:val="en-US" w:eastAsia="zh-CN" w:bidi="ar"/>
        </w:rPr>
        <w:t>具体要求详见采购文件。</w:t>
      </w:r>
    </w:p>
    <w:p w14:paraId="2CB7D48C">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8、合同履行期限：1年。年度考核合格后可续签合同，考核不合格不再续签，每次续签一年，最多续签两次。</w:t>
      </w:r>
    </w:p>
    <w:p w14:paraId="4F52BEB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、是否接受联合体：不接受联合体</w:t>
      </w:r>
      <w:r>
        <w:rPr>
          <w:rFonts w:hint="eastAsia" w:ascii="仿宋" w:hAnsi="仿宋" w:eastAsia="仿宋" w:cs="仿宋"/>
          <w:color w:val="auto"/>
          <w:sz w:val="28"/>
          <w:szCs w:val="28"/>
          <w:highlight w:val="none"/>
          <w:lang w:val="en-US" w:eastAsia="zh-CN"/>
        </w:rPr>
        <w:t>参加磋商。</w:t>
      </w:r>
    </w:p>
    <w:p w14:paraId="0FF47477">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黑体" w:hAnsi="黑体" w:eastAsia="黑体" w:cs="黑体"/>
          <w:bCs/>
          <w:color w:val="auto"/>
          <w:kern w:val="0"/>
          <w:sz w:val="28"/>
          <w:szCs w:val="28"/>
          <w:highlight w:val="none"/>
        </w:rPr>
      </w:pPr>
      <w:bookmarkStart w:id="19" w:name="_Toc35393630"/>
      <w:bookmarkStart w:id="20" w:name="_Toc28359013"/>
      <w:bookmarkStart w:id="21" w:name="_Toc28359090"/>
      <w:bookmarkStart w:id="22" w:name="_Toc35393799"/>
      <w:bookmarkStart w:id="23" w:name="_Toc19179"/>
      <w:bookmarkStart w:id="24" w:name="_Toc8072"/>
      <w:bookmarkStart w:id="25" w:name="_Toc25507"/>
      <w:bookmarkStart w:id="26" w:name="_Toc28359091"/>
      <w:bookmarkStart w:id="27" w:name="_Toc28359014"/>
      <w:r>
        <w:rPr>
          <w:rFonts w:hint="eastAsia" w:ascii="黑体" w:hAnsi="黑体" w:eastAsia="黑体" w:cs="黑体"/>
          <w:bCs/>
          <w:color w:val="auto"/>
          <w:kern w:val="0"/>
          <w:sz w:val="28"/>
          <w:szCs w:val="28"/>
          <w:highlight w:val="none"/>
        </w:rPr>
        <w:t>二、申请人的资格要求</w:t>
      </w:r>
      <w:bookmarkEnd w:id="19"/>
      <w:bookmarkEnd w:id="20"/>
      <w:bookmarkEnd w:id="21"/>
      <w:bookmarkEnd w:id="22"/>
      <w:bookmarkEnd w:id="23"/>
      <w:bookmarkEnd w:id="24"/>
      <w:bookmarkEnd w:id="25"/>
    </w:p>
    <w:p w14:paraId="1CBC715B">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eastAsia" w:ascii="仿宋" w:hAnsi="仿宋" w:eastAsia="仿宋" w:cs="仿宋"/>
          <w:color w:val="auto"/>
          <w:kern w:val="2"/>
          <w:sz w:val="28"/>
          <w:szCs w:val="28"/>
          <w:highlight w:val="none"/>
          <w:shd w:val="clear" w:color="auto" w:fill="FFFFFF"/>
          <w:lang w:val="en-US" w:eastAsia="zh-CN" w:bidi="ar-SA"/>
        </w:rPr>
      </w:pPr>
      <w:bookmarkStart w:id="28" w:name="_Toc35393800"/>
      <w:bookmarkStart w:id="29" w:name="_Toc35393631"/>
      <w:bookmarkStart w:id="30" w:name="_Toc32583"/>
      <w:r>
        <w:rPr>
          <w:rFonts w:hint="eastAsia" w:ascii="仿宋" w:hAnsi="仿宋" w:eastAsia="仿宋" w:cs="仿宋"/>
          <w:color w:val="auto"/>
          <w:kern w:val="2"/>
          <w:sz w:val="28"/>
          <w:szCs w:val="28"/>
          <w:highlight w:val="none"/>
          <w:shd w:val="clear" w:color="auto" w:fill="FFFFFF"/>
          <w:lang w:val="en-US" w:eastAsia="zh-CN" w:bidi="ar-SA"/>
        </w:rPr>
        <w:t>（一）供应商参加本次采购应当具备下列条件；</w:t>
      </w:r>
    </w:p>
    <w:p w14:paraId="2D12857D">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1、具有独立承担民事责任的能力；</w:t>
      </w:r>
    </w:p>
    <w:p w14:paraId="6F33061B">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2、具有良好的商业信誉和健全的财务会计制度；</w:t>
      </w:r>
    </w:p>
    <w:p w14:paraId="099103A1">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3、具有履行合同所必需的设备和专业技术能力；</w:t>
      </w:r>
    </w:p>
    <w:p w14:paraId="25BFAC6E">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4、有依法缴纳税收和社会保障资金的良好记录；</w:t>
      </w:r>
    </w:p>
    <w:p w14:paraId="5CDBBBD8">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default" w:ascii="仿宋" w:hAnsi="仿宋" w:eastAsia="仿宋" w:cs="仿宋"/>
          <w:color w:val="auto"/>
          <w:kern w:val="2"/>
          <w:sz w:val="28"/>
          <w:szCs w:val="28"/>
          <w:highlight w:val="none"/>
          <w:shd w:val="clear" w:color="auto" w:fill="FFFFFF"/>
          <w:lang w:val="en-US" w:eastAsia="zh-CN" w:bidi="ar-SA"/>
        </w:rPr>
      </w:pPr>
      <w:r>
        <w:rPr>
          <w:rFonts w:hint="default" w:ascii="仿宋" w:hAnsi="仿宋" w:eastAsia="仿宋" w:cs="仿宋"/>
          <w:color w:val="auto"/>
          <w:kern w:val="2"/>
          <w:sz w:val="28"/>
          <w:szCs w:val="28"/>
          <w:highlight w:val="none"/>
          <w:shd w:val="clear" w:color="auto" w:fill="FFFFFF"/>
          <w:lang w:val="en-US" w:eastAsia="zh-CN" w:bidi="ar-SA"/>
        </w:rPr>
        <w:t>5、参加</w:t>
      </w:r>
      <w:r>
        <w:rPr>
          <w:rFonts w:hint="eastAsia" w:ascii="仿宋" w:hAnsi="仿宋" w:eastAsia="仿宋" w:cs="仿宋"/>
          <w:strike w:val="0"/>
          <w:dstrike w:val="0"/>
          <w:color w:val="auto"/>
          <w:kern w:val="2"/>
          <w:sz w:val="28"/>
          <w:szCs w:val="28"/>
          <w:highlight w:val="none"/>
          <w:shd w:val="clear" w:color="auto" w:fill="FFFFFF"/>
          <w:lang w:val="en-US" w:eastAsia="zh-CN" w:bidi="ar-SA"/>
        </w:rPr>
        <w:t>（本次采购）</w:t>
      </w:r>
      <w:r>
        <w:rPr>
          <w:rFonts w:hint="default" w:ascii="仿宋" w:hAnsi="仿宋" w:eastAsia="仿宋" w:cs="仿宋"/>
          <w:color w:val="auto"/>
          <w:kern w:val="2"/>
          <w:sz w:val="28"/>
          <w:szCs w:val="28"/>
          <w:highlight w:val="none"/>
          <w:shd w:val="clear" w:color="auto" w:fill="FFFFFF"/>
          <w:lang w:val="en-US" w:eastAsia="zh-CN" w:bidi="ar-SA"/>
        </w:rPr>
        <w:t>前三年内，在经营活动中没有重大违法记录；</w:t>
      </w:r>
    </w:p>
    <w:p w14:paraId="53140775">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shd w:val="clear" w:color="auto" w:fill="FFFFFF"/>
          <w:lang w:val="en-US" w:eastAsia="zh-CN" w:bidi="ar-SA"/>
        </w:rPr>
        <w:t>6</w:t>
      </w:r>
      <w:r>
        <w:rPr>
          <w:rFonts w:hint="default" w:ascii="仿宋" w:hAnsi="仿宋" w:eastAsia="仿宋" w:cs="仿宋"/>
          <w:color w:val="auto"/>
          <w:kern w:val="2"/>
          <w:sz w:val="28"/>
          <w:szCs w:val="28"/>
          <w:highlight w:val="none"/>
          <w:shd w:val="clear" w:color="auto" w:fill="FFFFFF"/>
          <w:lang w:val="en-US" w:eastAsia="zh-CN" w:bidi="ar-SA"/>
        </w:rPr>
        <w:t>、法律、行政法规规定的其他条件。</w:t>
      </w:r>
    </w:p>
    <w:p w14:paraId="662CC527">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bookmarkStart w:id="212" w:name="_GoBack"/>
      <w:bookmarkEnd w:id="212"/>
      <w:r>
        <w:rPr>
          <w:rFonts w:hint="default" w:ascii="仿宋" w:hAnsi="仿宋" w:eastAsia="仿宋" w:cs="仿宋"/>
          <w:color w:val="auto"/>
          <w:sz w:val="28"/>
          <w:szCs w:val="28"/>
          <w:highlight w:val="none"/>
          <w:lang w:val="en-US" w:eastAsia="zh-CN"/>
        </w:rPr>
        <w:t>、本项目的特定资格要求：具有行政主管部门颁发的《拍卖经营批准证书》</w:t>
      </w:r>
      <w:r>
        <w:rPr>
          <w:rFonts w:hint="eastAsia" w:ascii="仿宋" w:hAnsi="仿宋" w:eastAsia="仿宋" w:cs="仿宋"/>
          <w:color w:val="auto"/>
          <w:sz w:val="28"/>
          <w:szCs w:val="28"/>
          <w:highlight w:val="none"/>
          <w:lang w:val="en-US" w:eastAsia="zh-CN"/>
        </w:rPr>
        <w:t>。</w:t>
      </w:r>
    </w:p>
    <w:p w14:paraId="557C76EE">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黑体" w:hAnsi="黑体" w:eastAsia="黑体" w:cs="黑体"/>
          <w:bCs/>
          <w:color w:val="auto"/>
          <w:kern w:val="0"/>
          <w:sz w:val="28"/>
          <w:szCs w:val="28"/>
          <w:highlight w:val="none"/>
        </w:rPr>
      </w:pPr>
      <w:bookmarkStart w:id="31" w:name="_Toc27595"/>
      <w:bookmarkStart w:id="32" w:name="_Toc16323"/>
      <w:r>
        <w:rPr>
          <w:rFonts w:hint="eastAsia" w:ascii="黑体" w:hAnsi="黑体" w:eastAsia="黑体" w:cs="黑体"/>
          <w:bCs/>
          <w:color w:val="auto"/>
          <w:kern w:val="0"/>
          <w:sz w:val="28"/>
          <w:szCs w:val="28"/>
          <w:highlight w:val="none"/>
        </w:rPr>
        <w:t>三、获取采购文件</w:t>
      </w:r>
      <w:bookmarkEnd w:id="26"/>
      <w:bookmarkEnd w:id="27"/>
      <w:bookmarkEnd w:id="28"/>
      <w:bookmarkEnd w:id="29"/>
      <w:bookmarkEnd w:id="30"/>
      <w:bookmarkEnd w:id="31"/>
      <w:bookmarkEnd w:id="32"/>
    </w:p>
    <w:p w14:paraId="625FB3E4">
      <w:pPr>
        <w:spacing w:line="360" w:lineRule="auto"/>
        <w:ind w:firstLine="560" w:firstLineChars="200"/>
        <w:rPr>
          <w:rFonts w:hint="eastAsia" w:ascii="仿宋" w:hAnsi="仿宋" w:eastAsia="仿宋" w:cs="仿宋"/>
          <w:color w:val="auto"/>
          <w:sz w:val="28"/>
          <w:szCs w:val="28"/>
          <w:highlight w:val="none"/>
          <w:lang w:val="en-US" w:eastAsia="zh-CN"/>
        </w:rPr>
      </w:pPr>
      <w:bookmarkStart w:id="33" w:name="_Toc28359015"/>
      <w:bookmarkStart w:id="34" w:name="_Toc28359092"/>
      <w:bookmarkStart w:id="35" w:name="_Toc35393801"/>
      <w:bookmarkStart w:id="36" w:name="_Toc35393632"/>
      <w:bookmarkStart w:id="37" w:name="_Toc26077"/>
      <w:bookmarkStart w:id="38" w:name="_Toc7675"/>
      <w:r>
        <w:rPr>
          <w:rFonts w:hint="eastAsia" w:ascii="仿宋" w:hAnsi="仿宋" w:eastAsia="仿宋" w:cs="仿宋"/>
          <w:color w:val="auto"/>
          <w:sz w:val="28"/>
          <w:szCs w:val="28"/>
          <w:highlight w:val="none"/>
          <w:lang w:val="en-US" w:eastAsia="zh-CN"/>
        </w:rPr>
        <w:t>1、时间：自公告发布之日起至响应文件递交截至时间前</w:t>
      </w:r>
    </w:p>
    <w:p w14:paraId="6AB41B5F">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2、获取方式：自行前往</w:t>
      </w:r>
      <w:r>
        <w:rPr>
          <w:rFonts w:hint="eastAsia" w:ascii="仿宋" w:hAnsi="仿宋" w:eastAsia="仿宋" w:cs="仿宋"/>
          <w:sz w:val="28"/>
          <w:szCs w:val="28"/>
          <w:highlight w:val="none"/>
          <w:shd w:val="clear" w:color="auto" w:fill="FFFFFF"/>
        </w:rPr>
        <w:t>六安市中医院官网（https://www.laszyy.cn/）</w:t>
      </w:r>
      <w:r>
        <w:rPr>
          <w:rFonts w:hint="eastAsia" w:ascii="仿宋" w:hAnsi="仿宋" w:eastAsia="仿宋" w:cs="仿宋"/>
          <w:sz w:val="28"/>
          <w:szCs w:val="28"/>
          <w:highlight w:val="none"/>
          <w:shd w:val="clear" w:color="auto" w:fill="FFFFFF"/>
          <w:lang w:eastAsia="zh-CN"/>
        </w:rPr>
        <w:t>下载</w:t>
      </w:r>
      <w:r>
        <w:rPr>
          <w:rFonts w:hint="eastAsia" w:ascii="仿宋" w:hAnsi="仿宋" w:eastAsia="仿宋" w:cs="仿宋"/>
          <w:color w:val="auto"/>
          <w:sz w:val="28"/>
          <w:szCs w:val="28"/>
          <w:highlight w:val="none"/>
          <w:lang w:val="en-US" w:eastAsia="zh-CN"/>
        </w:rPr>
        <w:t>。</w:t>
      </w:r>
    </w:p>
    <w:p w14:paraId="682C26E3">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黑体" w:hAnsi="黑体" w:eastAsia="黑体" w:cs="黑体"/>
          <w:bCs/>
          <w:color w:val="auto"/>
          <w:kern w:val="0"/>
          <w:sz w:val="28"/>
          <w:szCs w:val="28"/>
          <w:highlight w:val="none"/>
        </w:rPr>
      </w:pPr>
      <w:bookmarkStart w:id="39" w:name="_Toc4224"/>
      <w:r>
        <w:rPr>
          <w:rFonts w:hint="eastAsia" w:ascii="黑体" w:hAnsi="黑体" w:eastAsia="黑体" w:cs="黑体"/>
          <w:bCs/>
          <w:color w:val="auto"/>
          <w:kern w:val="0"/>
          <w:sz w:val="28"/>
          <w:szCs w:val="28"/>
          <w:highlight w:val="none"/>
        </w:rPr>
        <w:t>四、</w:t>
      </w:r>
      <w:bookmarkEnd w:id="33"/>
      <w:bookmarkEnd w:id="34"/>
      <w:bookmarkEnd w:id="35"/>
      <w:bookmarkEnd w:id="36"/>
      <w:bookmarkEnd w:id="37"/>
      <w:r>
        <w:rPr>
          <w:rFonts w:hint="eastAsia" w:ascii="黑体" w:hAnsi="黑体" w:eastAsia="黑体" w:cs="黑体"/>
          <w:bCs/>
          <w:color w:val="auto"/>
          <w:kern w:val="0"/>
          <w:sz w:val="28"/>
          <w:szCs w:val="28"/>
          <w:highlight w:val="none"/>
        </w:rPr>
        <w:t>响应文件递交截止时间、开标时间和地点</w:t>
      </w:r>
      <w:bookmarkEnd w:id="38"/>
      <w:bookmarkEnd w:id="39"/>
    </w:p>
    <w:p w14:paraId="582E1E30">
      <w:pPr>
        <w:spacing w:line="360" w:lineRule="auto"/>
        <w:ind w:firstLine="560" w:firstLineChars="200"/>
        <w:rPr>
          <w:rFonts w:hint="eastAsia" w:ascii="仿宋" w:hAnsi="仿宋" w:eastAsia="仿宋" w:cs="仿宋"/>
          <w:color w:val="auto"/>
          <w:sz w:val="28"/>
          <w:szCs w:val="28"/>
          <w:highlight w:val="none"/>
          <w:lang w:val="en-US" w:eastAsia="zh-CN"/>
        </w:rPr>
      </w:pPr>
      <w:bookmarkStart w:id="40" w:name="_Toc28359016"/>
      <w:bookmarkStart w:id="41" w:name="_Toc28359093"/>
      <w:bookmarkStart w:id="42" w:name="_Toc35393802"/>
      <w:bookmarkStart w:id="43" w:name="_Toc11900"/>
      <w:bookmarkStart w:id="44" w:name="_Toc35393633"/>
      <w:r>
        <w:rPr>
          <w:rFonts w:hint="eastAsia" w:ascii="仿宋" w:hAnsi="仿宋" w:eastAsia="仿宋" w:cs="仿宋"/>
          <w:color w:val="auto"/>
          <w:sz w:val="28"/>
          <w:szCs w:val="28"/>
          <w:highlight w:val="none"/>
          <w:lang w:val="en-US" w:eastAsia="zh-CN"/>
        </w:rPr>
        <w:t>1、时间：2026年4月2日9点00分（北京时间）</w:t>
      </w:r>
    </w:p>
    <w:p w14:paraId="0B6B47D5">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2、地点：</w:t>
      </w:r>
      <w:r>
        <w:rPr>
          <w:rFonts w:hint="eastAsia" w:ascii="仿宋" w:hAnsi="仿宋" w:eastAsia="仿宋" w:cs="仿宋"/>
          <w:sz w:val="28"/>
          <w:szCs w:val="28"/>
          <w:highlight w:val="none"/>
          <w:shd w:val="clear" w:color="auto" w:fill="FFFFFF"/>
        </w:rPr>
        <w:t>六安市中医院</w:t>
      </w:r>
      <w:r>
        <w:rPr>
          <w:rFonts w:hint="eastAsia" w:ascii="仿宋" w:hAnsi="仿宋" w:eastAsia="仿宋" w:cs="仿宋"/>
          <w:sz w:val="28"/>
          <w:szCs w:val="28"/>
          <w:highlight w:val="none"/>
          <w:shd w:val="clear" w:color="auto" w:fill="FFFFFF"/>
          <w:lang w:val="en-US" w:eastAsia="zh-CN"/>
        </w:rPr>
        <w:t xml:space="preserve"> 1</w:t>
      </w:r>
      <w:r>
        <w:rPr>
          <w:rFonts w:hint="eastAsia" w:ascii="仿宋" w:hAnsi="仿宋" w:eastAsia="仿宋" w:cs="仿宋"/>
          <w:sz w:val="28"/>
          <w:szCs w:val="28"/>
          <w:highlight w:val="none"/>
          <w:shd w:val="clear" w:color="auto" w:fill="FFFFFF"/>
        </w:rPr>
        <w:t>号楼</w:t>
      </w:r>
      <w:r>
        <w:rPr>
          <w:rFonts w:hint="eastAsia" w:ascii="仿宋" w:hAnsi="仿宋" w:eastAsia="仿宋" w:cs="仿宋"/>
          <w:sz w:val="28"/>
          <w:szCs w:val="28"/>
          <w:highlight w:val="none"/>
          <w:shd w:val="clear" w:color="auto" w:fill="FFFFFF"/>
          <w:lang w:val="en-US" w:eastAsia="zh-CN"/>
        </w:rPr>
        <w:t>5楼物流管理</w:t>
      </w:r>
      <w:r>
        <w:rPr>
          <w:rFonts w:hint="eastAsia" w:ascii="仿宋" w:hAnsi="仿宋" w:eastAsia="仿宋" w:cs="仿宋"/>
          <w:sz w:val="28"/>
          <w:szCs w:val="28"/>
          <w:highlight w:val="none"/>
          <w:shd w:val="clear" w:color="auto" w:fill="FFFFFF"/>
        </w:rPr>
        <w:t>部</w:t>
      </w:r>
    </w:p>
    <w:p w14:paraId="50CB2D4D">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3、响应文件递交方式：纸质响应文件于响应文件递交截止时间前在开标地点现场递交。</w:t>
      </w:r>
    </w:p>
    <w:p w14:paraId="2C30FFED">
      <w:pPr>
        <w:pStyle w:val="5"/>
        <w:keepNext/>
        <w:keepLines/>
        <w:pageBreakBefore w:val="0"/>
        <w:widowControl w:val="0"/>
        <w:kinsoku/>
        <w:wordWrap/>
        <w:overflowPunct/>
        <w:topLinePunct w:val="0"/>
        <w:autoSpaceDE/>
        <w:autoSpaceDN/>
        <w:bidi w:val="0"/>
        <w:adjustRightInd/>
        <w:snapToGrid/>
        <w:spacing w:before="0" w:after="0" w:line="360" w:lineRule="auto"/>
        <w:ind w:firstLine="560" w:firstLineChars="200"/>
        <w:jc w:val="both"/>
        <w:textAlignment w:val="auto"/>
        <w:rPr>
          <w:rFonts w:hint="eastAsia" w:ascii="黑体" w:hAnsi="黑体" w:cs="黑体"/>
          <w:b w:val="0"/>
          <w:bCs/>
          <w:color w:val="auto"/>
          <w:sz w:val="28"/>
          <w:szCs w:val="28"/>
          <w:highlight w:val="none"/>
        </w:rPr>
      </w:pPr>
      <w:bookmarkStart w:id="45" w:name="_Toc829"/>
      <w:bookmarkStart w:id="46" w:name="_Toc4225"/>
      <w:bookmarkStart w:id="47" w:name="_Toc29039"/>
      <w:r>
        <w:rPr>
          <w:rFonts w:hint="eastAsia" w:ascii="黑体" w:hAnsi="黑体" w:cs="黑体"/>
          <w:b w:val="0"/>
          <w:bCs/>
          <w:color w:val="auto"/>
          <w:sz w:val="28"/>
          <w:szCs w:val="28"/>
          <w:highlight w:val="none"/>
        </w:rPr>
        <w:t>五、</w:t>
      </w:r>
      <w:bookmarkStart w:id="48" w:name="_Toc35393634"/>
      <w:bookmarkStart w:id="49" w:name="_Toc28359017"/>
      <w:bookmarkStart w:id="50" w:name="_Toc6439"/>
      <w:bookmarkStart w:id="51" w:name="_Toc35393803"/>
      <w:bookmarkStart w:id="52" w:name="_Toc28359094"/>
      <w:r>
        <w:rPr>
          <w:rFonts w:hint="eastAsia" w:ascii="黑体" w:hAnsi="黑体" w:cs="黑体"/>
          <w:b w:val="0"/>
          <w:bCs/>
          <w:color w:val="auto"/>
          <w:sz w:val="28"/>
          <w:szCs w:val="28"/>
          <w:highlight w:val="none"/>
        </w:rPr>
        <w:t>公告期限</w:t>
      </w:r>
      <w:bookmarkEnd w:id="45"/>
      <w:bookmarkEnd w:id="46"/>
      <w:bookmarkEnd w:id="47"/>
      <w:bookmarkEnd w:id="48"/>
      <w:bookmarkEnd w:id="49"/>
      <w:bookmarkEnd w:id="50"/>
      <w:bookmarkEnd w:id="51"/>
      <w:bookmarkEnd w:id="52"/>
    </w:p>
    <w:p w14:paraId="1E79DF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rPr>
      </w:pPr>
      <w:bookmarkStart w:id="53" w:name="_Toc19215"/>
      <w:r>
        <w:rPr>
          <w:rFonts w:hint="eastAsia" w:ascii="仿宋" w:hAnsi="仿宋" w:eastAsia="仿宋" w:cs="仿宋"/>
          <w:color w:val="auto"/>
          <w:kern w:val="0"/>
          <w:sz w:val="28"/>
          <w:szCs w:val="28"/>
          <w:highlight w:val="none"/>
        </w:rPr>
        <w:t>自本公告发布之日起3个工作日</w:t>
      </w:r>
      <w:bookmarkEnd w:id="53"/>
    </w:p>
    <w:bookmarkEnd w:id="40"/>
    <w:bookmarkEnd w:id="41"/>
    <w:bookmarkEnd w:id="42"/>
    <w:bookmarkEnd w:id="43"/>
    <w:bookmarkEnd w:id="44"/>
    <w:p w14:paraId="3D5C82E9">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黑体" w:hAnsi="黑体" w:eastAsia="黑体" w:cs="黑体"/>
          <w:bCs/>
          <w:color w:val="auto"/>
          <w:kern w:val="0"/>
          <w:sz w:val="28"/>
          <w:szCs w:val="28"/>
          <w:highlight w:val="none"/>
        </w:rPr>
      </w:pPr>
      <w:bookmarkStart w:id="54" w:name="_Toc14304"/>
      <w:bookmarkStart w:id="55" w:name="_Toc29279"/>
      <w:r>
        <w:rPr>
          <w:rFonts w:hint="eastAsia" w:ascii="黑体" w:hAnsi="黑体" w:eastAsia="黑体" w:cs="黑体"/>
          <w:bCs/>
          <w:color w:val="auto"/>
          <w:kern w:val="0"/>
          <w:sz w:val="28"/>
          <w:szCs w:val="28"/>
          <w:highlight w:val="none"/>
          <w:lang w:val="en-US" w:eastAsia="zh-CN"/>
        </w:rPr>
        <w:t>六</w:t>
      </w:r>
      <w:r>
        <w:rPr>
          <w:rFonts w:hint="eastAsia" w:ascii="黑体" w:hAnsi="黑体" w:eastAsia="黑体" w:cs="黑体"/>
          <w:bCs/>
          <w:color w:val="auto"/>
          <w:kern w:val="0"/>
          <w:sz w:val="28"/>
          <w:szCs w:val="28"/>
          <w:highlight w:val="none"/>
        </w:rPr>
        <w:t>、</w:t>
      </w:r>
      <w:bookmarkStart w:id="56" w:name="_Toc35393635"/>
      <w:bookmarkStart w:id="57" w:name="_Toc35393804"/>
      <w:r>
        <w:rPr>
          <w:rFonts w:hint="eastAsia" w:ascii="黑体" w:hAnsi="黑体" w:eastAsia="黑体" w:cs="黑体"/>
          <w:bCs/>
          <w:color w:val="auto"/>
          <w:kern w:val="0"/>
          <w:sz w:val="28"/>
          <w:szCs w:val="28"/>
          <w:highlight w:val="none"/>
        </w:rPr>
        <w:t>其他事宜</w:t>
      </w:r>
      <w:bookmarkEnd w:id="54"/>
      <w:bookmarkEnd w:id="55"/>
      <w:bookmarkEnd w:id="56"/>
      <w:bookmarkEnd w:id="57"/>
      <w:bookmarkStart w:id="58" w:name="_Toc35393805"/>
      <w:bookmarkStart w:id="59" w:name="_Toc35393636"/>
      <w:bookmarkStart w:id="60" w:name="_Toc28359018"/>
      <w:bookmarkStart w:id="61" w:name="_Toc28359095"/>
    </w:p>
    <w:p w14:paraId="1BA65E0C">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本项目</w:t>
      </w:r>
      <w:r>
        <w:rPr>
          <w:rFonts w:hint="eastAsia" w:ascii="仿宋" w:hAnsi="仿宋" w:eastAsia="仿宋" w:cs="仿宋"/>
          <w:color w:val="auto"/>
          <w:kern w:val="0"/>
          <w:sz w:val="28"/>
          <w:szCs w:val="28"/>
          <w:highlight w:val="none"/>
        </w:rPr>
        <w:t>资格审查方式为资格后审</w:t>
      </w:r>
    </w:p>
    <w:p w14:paraId="4FE11027">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黑体" w:hAnsi="黑体" w:eastAsia="黑体" w:cs="黑体"/>
          <w:bCs/>
          <w:color w:val="auto"/>
          <w:kern w:val="0"/>
          <w:sz w:val="28"/>
          <w:szCs w:val="28"/>
          <w:highlight w:val="none"/>
          <w:lang w:val="en-US" w:eastAsia="zh-CN"/>
        </w:rPr>
      </w:pPr>
      <w:bookmarkStart w:id="62" w:name="_Toc26502"/>
      <w:bookmarkStart w:id="63" w:name="_Toc21256"/>
      <w:bookmarkStart w:id="64" w:name="_Toc7807"/>
      <w:bookmarkStart w:id="65" w:name="_Toc27841"/>
      <w:r>
        <w:rPr>
          <w:rFonts w:hint="eastAsia" w:ascii="黑体" w:hAnsi="黑体" w:eastAsia="黑体" w:cs="黑体"/>
          <w:bCs/>
          <w:color w:val="auto"/>
          <w:kern w:val="0"/>
          <w:sz w:val="28"/>
          <w:szCs w:val="28"/>
          <w:highlight w:val="none"/>
          <w:lang w:val="en-US" w:eastAsia="zh-CN"/>
        </w:rPr>
        <w:t>七</w:t>
      </w:r>
      <w:r>
        <w:rPr>
          <w:rFonts w:hint="eastAsia" w:ascii="黑体" w:hAnsi="黑体" w:eastAsia="黑体" w:cs="黑体"/>
          <w:bCs/>
          <w:color w:val="auto"/>
          <w:kern w:val="0"/>
          <w:sz w:val="28"/>
          <w:szCs w:val="28"/>
          <w:highlight w:val="none"/>
        </w:rPr>
        <w:t>、</w:t>
      </w:r>
      <w:bookmarkEnd w:id="58"/>
      <w:bookmarkEnd w:id="59"/>
      <w:bookmarkEnd w:id="60"/>
      <w:bookmarkEnd w:id="61"/>
      <w:bookmarkEnd w:id="62"/>
      <w:bookmarkEnd w:id="63"/>
      <w:bookmarkEnd w:id="64"/>
      <w:r>
        <w:rPr>
          <w:rFonts w:hint="eastAsia" w:ascii="黑体" w:hAnsi="黑体" w:eastAsia="黑体" w:cs="黑体"/>
          <w:bCs/>
          <w:color w:val="auto"/>
          <w:kern w:val="0"/>
          <w:sz w:val="28"/>
          <w:szCs w:val="28"/>
          <w:highlight w:val="none"/>
          <w:lang w:val="en-US" w:eastAsia="zh-CN"/>
        </w:rPr>
        <w:t>联系方式</w:t>
      </w:r>
      <w:bookmarkEnd w:id="65"/>
    </w:p>
    <w:p w14:paraId="4A5304A3">
      <w:pPr>
        <w:pStyle w:val="5"/>
        <w:pageBreakBefore w:val="0"/>
        <w:kinsoku/>
        <w:overflowPunct/>
        <w:topLinePunct w:val="0"/>
        <w:autoSpaceDE/>
        <w:autoSpaceDN/>
        <w:bidi w:val="0"/>
        <w:adjustRightInd/>
        <w:snapToGrid/>
        <w:spacing w:before="0" w:after="0" w:line="500" w:lineRule="exact"/>
        <w:ind w:firstLine="562" w:firstLineChars="200"/>
        <w:jc w:val="both"/>
        <w:textAlignment w:val="auto"/>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b w:val="0"/>
          <w:bCs/>
          <w:color w:val="000000" w:themeColor="text1"/>
          <w:sz w:val="28"/>
          <w:szCs w:val="28"/>
          <w:highlight w:val="none"/>
          <w14:textFill>
            <w14:solidFill>
              <w14:schemeClr w14:val="tx1"/>
            </w14:solidFill>
          </w14:textFill>
        </w:rPr>
        <w:t>采购人信息</w:t>
      </w:r>
    </w:p>
    <w:p w14:paraId="5302DFC8">
      <w:pPr>
        <w:pageBreakBefore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14:textFill>
            <w14:solidFill>
              <w14:schemeClr w14:val="tx1"/>
            </w14:solidFill>
          </w14:textFill>
        </w:rPr>
        <w:t>六安市</w:t>
      </w:r>
      <w:r>
        <w:rPr>
          <w:rFonts w:hint="eastAsia" w:ascii="仿宋" w:hAnsi="仿宋" w:eastAsia="仿宋" w:cs="仿宋"/>
          <w:color w:val="000000" w:themeColor="text1"/>
          <w:sz w:val="28"/>
          <w:szCs w:val="28"/>
          <w:highlight w:val="none"/>
          <w:lang w:val="en-US" w:eastAsia="zh-CN"/>
          <w14:textFill>
            <w14:solidFill>
              <w14:schemeClr w14:val="tx1"/>
            </w14:solidFill>
          </w14:textFill>
        </w:rPr>
        <w:t>中医院</w:t>
      </w:r>
    </w:p>
    <w:p w14:paraId="677A401B">
      <w:pPr>
        <w:pageBreakBefore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    址：</w:t>
      </w:r>
      <w:r>
        <w:rPr>
          <w:rFonts w:hint="eastAsia" w:ascii="仿宋" w:hAnsi="仿宋" w:eastAsia="仿宋" w:cs="仿宋"/>
          <w:color w:val="auto"/>
          <w:sz w:val="28"/>
          <w:szCs w:val="28"/>
          <w:highlight w:val="none"/>
        </w:rPr>
        <w:t>六安市金安区人民东路76号</w:t>
      </w:r>
    </w:p>
    <w:p w14:paraId="60911E16">
      <w:pPr>
        <w:pageBreakBefore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Cs/>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highlight w:val="none"/>
          <w14:textFill>
            <w14:solidFill>
              <w14:schemeClr w14:val="tx1"/>
            </w14:solidFill>
          </w14:textFill>
        </w:rPr>
        <w:t>0564</w:t>
      </w:r>
      <w:r>
        <w:rPr>
          <w:rFonts w:hint="eastAsia" w:ascii="仿宋" w:hAnsi="仿宋" w:eastAsia="仿宋" w:cs="仿宋"/>
          <w:color w:val="auto"/>
          <w:sz w:val="28"/>
          <w:szCs w:val="28"/>
          <w:highlight w:val="none"/>
        </w:rPr>
        <w:t>-3597</w:t>
      </w:r>
      <w:r>
        <w:rPr>
          <w:rFonts w:hint="eastAsia" w:ascii="仿宋" w:hAnsi="仿宋" w:eastAsia="仿宋" w:cs="仿宋"/>
          <w:color w:val="auto"/>
          <w:sz w:val="28"/>
          <w:szCs w:val="28"/>
          <w:highlight w:val="none"/>
          <w:lang w:val="en-US" w:eastAsia="zh-CN"/>
        </w:rPr>
        <w:t>287</w:t>
      </w:r>
    </w:p>
    <w:p w14:paraId="033CF48B">
      <w:pPr>
        <w:pStyle w:val="2"/>
        <w:ind w:firstLine="845" w:firstLineChars="302"/>
        <w:rPr>
          <w:rFonts w:hint="default"/>
          <w:highlight w:val="none"/>
          <w:lang w:val="en-US" w:eastAsia="zh-CN"/>
        </w:rPr>
      </w:pPr>
      <w:r>
        <w:rPr>
          <w:rFonts w:hint="eastAsia" w:ascii="仿宋" w:hAnsi="仿宋" w:eastAsia="仿宋" w:cs="仿宋"/>
          <w:color w:val="auto"/>
          <w:sz w:val="28"/>
          <w:szCs w:val="28"/>
          <w:highlight w:val="none"/>
          <w:lang w:val="en-US" w:eastAsia="zh-CN"/>
        </w:rPr>
        <w:t>联系人：夏主任</w:t>
      </w:r>
    </w:p>
    <w:p w14:paraId="71D174D3">
      <w:pPr>
        <w:spacing w:line="360" w:lineRule="auto"/>
        <w:ind w:firstLine="560" w:firstLineChars="200"/>
        <w:rPr>
          <w:rFonts w:hint="default" w:ascii="仿宋" w:hAnsi="仿宋" w:eastAsia="仿宋" w:cs="仿宋"/>
          <w:color w:val="auto"/>
          <w:kern w:val="0"/>
          <w:sz w:val="28"/>
          <w:szCs w:val="28"/>
          <w:highlight w:val="none"/>
          <w:lang w:val="en-US" w:eastAsia="zh-CN"/>
        </w:rPr>
      </w:pPr>
    </w:p>
    <w:p w14:paraId="0DB54530">
      <w:pPr>
        <w:spacing w:line="360" w:lineRule="auto"/>
        <w:jc w:val="righ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3月23日</w:t>
      </w:r>
    </w:p>
    <w:p w14:paraId="3BDB51C5">
      <w:pPr>
        <w:pStyle w:val="3"/>
        <w:rPr>
          <w:rFonts w:hint="eastAsia" w:ascii="仿宋" w:hAnsi="仿宋" w:eastAsia="仿宋" w:cs="仿宋"/>
          <w:color w:val="auto"/>
          <w:kern w:val="0"/>
          <w:sz w:val="28"/>
          <w:szCs w:val="28"/>
          <w:highlight w:val="none"/>
        </w:rPr>
      </w:pPr>
    </w:p>
    <w:p w14:paraId="50CC5257">
      <w:pPr>
        <w:pStyle w:val="3"/>
        <w:rPr>
          <w:rFonts w:hint="eastAsia" w:ascii="仿宋" w:hAnsi="仿宋" w:eastAsia="仿宋" w:cs="仿宋"/>
          <w:color w:val="auto"/>
          <w:kern w:val="0"/>
          <w:sz w:val="28"/>
          <w:szCs w:val="28"/>
          <w:highlight w:val="none"/>
        </w:rPr>
      </w:pPr>
    </w:p>
    <w:p w14:paraId="055C9F71">
      <w:pPr>
        <w:pStyle w:val="4"/>
        <w:keepLines/>
        <w:spacing w:after="120" w:afterLines="50" w:line="360" w:lineRule="auto"/>
        <w:jc w:val="center"/>
        <w:rPr>
          <w:b/>
          <w:bCs/>
          <w:color w:val="auto"/>
          <w:kern w:val="44"/>
          <w:sz w:val="30"/>
          <w:szCs w:val="44"/>
          <w:highlight w:val="none"/>
        </w:rPr>
      </w:pPr>
      <w:bookmarkStart w:id="66" w:name="_Toc29653"/>
      <w:bookmarkStart w:id="67" w:name="_Toc10791"/>
      <w:bookmarkStart w:id="68" w:name="_Toc29829"/>
      <w:bookmarkStart w:id="69" w:name="_Toc3253"/>
      <w:r>
        <w:rPr>
          <w:rFonts w:hint="eastAsia"/>
          <w:b/>
          <w:bCs/>
          <w:color w:val="auto"/>
          <w:kern w:val="44"/>
          <w:sz w:val="30"/>
          <w:szCs w:val="44"/>
          <w:highlight w:val="none"/>
        </w:rPr>
        <w:t>一、供应商须知</w:t>
      </w:r>
      <w:bookmarkEnd w:id="7"/>
      <w:bookmarkEnd w:id="8"/>
      <w:bookmarkEnd w:id="66"/>
      <w:bookmarkEnd w:id="67"/>
      <w:bookmarkEnd w:id="68"/>
      <w:bookmarkEnd w:id="69"/>
    </w:p>
    <w:p w14:paraId="3B073BC8">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70" w:name="_Toc32223"/>
      <w:bookmarkStart w:id="71" w:name="_Toc11131"/>
      <w:r>
        <w:rPr>
          <w:rFonts w:hint="eastAsia" w:ascii="宋体" w:hAnsi="宋体" w:eastAsia="宋体" w:cs="宋体"/>
          <w:bCs/>
          <w:color w:val="auto"/>
          <w:kern w:val="2"/>
          <w:sz w:val="24"/>
          <w:szCs w:val="24"/>
          <w:highlight w:val="none"/>
        </w:rPr>
        <w:t>（一）须知前附表</w:t>
      </w:r>
      <w:bookmarkEnd w:id="70"/>
      <w:bookmarkEnd w:id="71"/>
    </w:p>
    <w:tbl>
      <w:tblPr>
        <w:tblStyle w:val="34"/>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7"/>
        <w:gridCol w:w="1928"/>
        <w:gridCol w:w="7257"/>
      </w:tblGrid>
      <w:tr w14:paraId="49AF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1FE49F7B">
            <w:pPr>
              <w:spacing w:line="240" w:lineRule="auto"/>
              <w:jc w:val="center"/>
              <w:rPr>
                <w:rFonts w:ascii="宋体" w:hAnsi="宋体"/>
                <w:b/>
                <w:color w:val="auto"/>
                <w:sz w:val="24"/>
                <w:szCs w:val="24"/>
                <w:highlight w:val="none"/>
              </w:rPr>
            </w:pPr>
            <w:bookmarkStart w:id="72" w:name="_Toc438107743"/>
            <w:bookmarkStart w:id="73" w:name="_Toc363199267"/>
            <w:bookmarkStart w:id="74" w:name="_Toc216158627"/>
            <w:r>
              <w:rPr>
                <w:rFonts w:hint="eastAsia" w:ascii="宋体" w:hAnsi="宋体"/>
                <w:b/>
                <w:color w:val="auto"/>
                <w:sz w:val="24"/>
                <w:szCs w:val="24"/>
                <w:highlight w:val="none"/>
              </w:rPr>
              <w:t>序号</w:t>
            </w:r>
          </w:p>
        </w:tc>
        <w:tc>
          <w:tcPr>
            <w:tcW w:w="1928" w:type="dxa"/>
            <w:vAlign w:val="center"/>
          </w:tcPr>
          <w:p w14:paraId="23A82139">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257" w:type="dxa"/>
            <w:vAlign w:val="center"/>
          </w:tcPr>
          <w:p w14:paraId="243FF615">
            <w:pPr>
              <w:pStyle w:val="89"/>
              <w:widowControl w:val="0"/>
              <w:spacing w:before="0" w:beforeAutospacing="0" w:after="0" w:afterAutospacing="0" w:line="240" w:lineRule="auto"/>
              <w:rPr>
                <w:bCs w:val="0"/>
                <w:color w:val="auto"/>
                <w:kern w:val="2"/>
                <w:sz w:val="24"/>
                <w:szCs w:val="24"/>
                <w:highlight w:val="none"/>
              </w:rPr>
            </w:pPr>
            <w:r>
              <w:rPr>
                <w:rFonts w:hint="eastAsia"/>
                <w:bCs w:val="0"/>
                <w:color w:val="auto"/>
                <w:kern w:val="2"/>
                <w:sz w:val="24"/>
                <w:szCs w:val="24"/>
                <w:highlight w:val="none"/>
              </w:rPr>
              <w:t>说明与要求</w:t>
            </w:r>
          </w:p>
        </w:tc>
      </w:tr>
      <w:tr w14:paraId="7CD3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52D6459E">
            <w:pPr>
              <w:pStyle w:val="87"/>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928" w:type="dxa"/>
            <w:vAlign w:val="center"/>
          </w:tcPr>
          <w:p w14:paraId="27E49DCB">
            <w:pPr>
              <w:spacing w:line="240" w:lineRule="auto"/>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257" w:type="dxa"/>
            <w:vAlign w:val="center"/>
          </w:tcPr>
          <w:p w14:paraId="2215D858">
            <w:pPr>
              <w:spacing w:line="240" w:lineRule="auto"/>
              <w:rPr>
                <w:rFonts w:hint="eastAsia" w:eastAsia="宋体"/>
                <w:color w:val="auto"/>
                <w:sz w:val="24"/>
                <w:szCs w:val="24"/>
                <w:highlight w:val="none"/>
                <w:lang w:eastAsia="zh-CN"/>
              </w:rPr>
            </w:pPr>
            <w:r>
              <w:rPr>
                <w:rFonts w:hint="eastAsia"/>
                <w:color w:val="auto"/>
                <w:sz w:val="24"/>
                <w:szCs w:val="24"/>
                <w:highlight w:val="none"/>
                <w:lang w:eastAsia="zh-CN"/>
              </w:rPr>
              <w:t>六安市中医院</w:t>
            </w:r>
          </w:p>
        </w:tc>
      </w:tr>
      <w:tr w14:paraId="0854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20A50B2B">
            <w:pPr>
              <w:pStyle w:val="8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2</w:t>
            </w:r>
          </w:p>
        </w:tc>
        <w:tc>
          <w:tcPr>
            <w:tcW w:w="1928" w:type="dxa"/>
            <w:vAlign w:val="center"/>
          </w:tcPr>
          <w:p w14:paraId="1CAAD0AA">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257" w:type="dxa"/>
            <w:vAlign w:val="center"/>
          </w:tcPr>
          <w:p w14:paraId="7F9488C9">
            <w:pPr>
              <w:pStyle w:val="89"/>
              <w:widowControl w:val="0"/>
              <w:spacing w:before="0" w:beforeAutospacing="0" w:after="0" w:afterAutospacing="0" w:line="240" w:lineRule="auto"/>
              <w:jc w:val="both"/>
              <w:rPr>
                <w:b w:val="0"/>
                <w:bCs w:val="0"/>
                <w:color w:val="auto"/>
                <w:sz w:val="24"/>
                <w:szCs w:val="24"/>
                <w:highlight w:val="none"/>
              </w:rPr>
            </w:pPr>
            <w:r>
              <w:rPr>
                <w:rFonts w:hint="eastAsia"/>
                <w:b w:val="0"/>
                <w:bCs w:val="0"/>
                <w:color w:val="auto"/>
                <w:sz w:val="24"/>
                <w:szCs w:val="24"/>
                <w:highlight w:val="none"/>
              </w:rPr>
              <w:t>响应文件提交截止日后</w:t>
            </w:r>
            <w:r>
              <w:rPr>
                <w:rFonts w:hint="eastAsia"/>
                <w:b w:val="0"/>
                <w:bCs w:val="0"/>
                <w:color w:val="auto"/>
                <w:sz w:val="24"/>
                <w:szCs w:val="24"/>
                <w:highlight w:val="none"/>
                <w:lang w:val="en-US" w:eastAsia="zh-CN"/>
              </w:rPr>
              <w:t>9</w:t>
            </w:r>
            <w:r>
              <w:rPr>
                <w:rFonts w:hint="eastAsia"/>
                <w:b w:val="0"/>
                <w:bCs w:val="0"/>
                <w:color w:val="auto"/>
                <w:sz w:val="24"/>
                <w:szCs w:val="24"/>
                <w:highlight w:val="none"/>
              </w:rPr>
              <w:t>0天</w:t>
            </w:r>
          </w:p>
        </w:tc>
      </w:tr>
      <w:tr w14:paraId="0FE1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2D52E39C">
            <w:pPr>
              <w:pStyle w:val="8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3</w:t>
            </w:r>
          </w:p>
        </w:tc>
        <w:tc>
          <w:tcPr>
            <w:tcW w:w="1928" w:type="dxa"/>
            <w:vAlign w:val="center"/>
          </w:tcPr>
          <w:p w14:paraId="0E9DD722">
            <w:pPr>
              <w:spacing w:line="240" w:lineRule="auto"/>
              <w:jc w:val="center"/>
              <w:rPr>
                <w:rFonts w:ascii="宋体" w:hAnsi="宋体"/>
                <w:b/>
                <w:color w:val="auto"/>
                <w:sz w:val="24"/>
                <w:szCs w:val="24"/>
                <w:highlight w:val="none"/>
              </w:rPr>
            </w:pPr>
            <w:r>
              <w:rPr>
                <w:rFonts w:hint="eastAsia" w:ascii="宋体" w:hAnsi="宋体"/>
                <w:bCs/>
                <w:color w:val="auto"/>
                <w:sz w:val="24"/>
                <w:szCs w:val="24"/>
                <w:highlight w:val="none"/>
              </w:rPr>
              <w:t>项目类型</w:t>
            </w:r>
          </w:p>
        </w:tc>
        <w:tc>
          <w:tcPr>
            <w:tcW w:w="7257" w:type="dxa"/>
            <w:vAlign w:val="center"/>
          </w:tcPr>
          <w:p w14:paraId="44AA6D9B">
            <w:pPr>
              <w:pStyle w:val="89"/>
              <w:widowControl w:val="0"/>
              <w:spacing w:before="0" w:beforeAutospacing="0" w:after="0" w:afterAutospacing="0" w:line="240" w:lineRule="auto"/>
              <w:jc w:val="both"/>
              <w:rPr>
                <w:b w:val="0"/>
                <w:bCs w:val="0"/>
                <w:color w:val="auto"/>
                <w:sz w:val="24"/>
                <w:szCs w:val="24"/>
                <w:highlight w:val="none"/>
              </w:rPr>
            </w:pPr>
            <w:r>
              <w:rPr>
                <w:rFonts w:hint="eastAsia"/>
                <w:b w:val="0"/>
                <w:bCs w:val="0"/>
                <w:color w:val="auto"/>
                <w:sz w:val="24"/>
                <w:szCs w:val="24"/>
                <w:highlight w:val="none"/>
              </w:rPr>
              <w:t>服务类</w:t>
            </w:r>
          </w:p>
        </w:tc>
      </w:tr>
      <w:tr w14:paraId="7F90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56162678">
            <w:pPr>
              <w:pStyle w:val="8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4</w:t>
            </w:r>
          </w:p>
        </w:tc>
        <w:tc>
          <w:tcPr>
            <w:tcW w:w="1928" w:type="dxa"/>
            <w:vAlign w:val="center"/>
          </w:tcPr>
          <w:p w14:paraId="2B8DBCF6">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257" w:type="dxa"/>
            <w:vAlign w:val="center"/>
          </w:tcPr>
          <w:p w14:paraId="086D5E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六安市中医院拟报废资产拍卖服务机构选聘项目</w:t>
            </w:r>
          </w:p>
        </w:tc>
      </w:tr>
      <w:tr w14:paraId="48E2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2EF4C279">
            <w:pPr>
              <w:pStyle w:val="8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5</w:t>
            </w:r>
          </w:p>
        </w:tc>
        <w:tc>
          <w:tcPr>
            <w:tcW w:w="1928" w:type="dxa"/>
            <w:vAlign w:val="center"/>
          </w:tcPr>
          <w:p w14:paraId="5780DC00">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257" w:type="dxa"/>
            <w:vAlign w:val="center"/>
          </w:tcPr>
          <w:p w14:paraId="497EC021">
            <w:pPr>
              <w:pStyle w:val="89"/>
              <w:widowControl w:val="0"/>
              <w:spacing w:before="0" w:beforeAutospacing="0" w:after="0" w:afterAutospacing="0" w:line="240" w:lineRule="auto"/>
              <w:jc w:val="both"/>
              <w:rPr>
                <w:rFonts w:hint="eastAsia" w:eastAsia="宋体"/>
                <w:b w:val="0"/>
                <w:color w:val="auto"/>
                <w:sz w:val="24"/>
                <w:szCs w:val="24"/>
                <w:highlight w:val="none"/>
                <w:lang w:eastAsia="zh-CN"/>
              </w:rPr>
            </w:pPr>
            <w:r>
              <w:rPr>
                <w:rFonts w:hint="eastAsia" w:ascii="宋体" w:hAnsi="DotumChe" w:cs="宋体"/>
                <w:b w:val="0"/>
                <w:bCs/>
                <w:color w:val="auto"/>
                <w:spacing w:val="0"/>
                <w:kern w:val="0"/>
                <w:sz w:val="28"/>
                <w:szCs w:val="28"/>
                <w:highlight w:val="none"/>
                <w:lang w:val="en-US" w:eastAsia="zh-CN"/>
              </w:rPr>
              <w:t>LASZYY-</w:t>
            </w:r>
            <w:r>
              <w:rPr>
                <w:rFonts w:hint="eastAsia" w:hAnsi="DotumChe" w:cs="宋体"/>
                <w:b w:val="0"/>
                <w:bCs/>
                <w:color w:val="auto"/>
                <w:spacing w:val="0"/>
                <w:kern w:val="0"/>
                <w:sz w:val="28"/>
                <w:szCs w:val="28"/>
                <w:highlight w:val="none"/>
                <w:lang w:val="en-US" w:eastAsia="zh-CN"/>
              </w:rPr>
              <w:t>WLGLB</w:t>
            </w:r>
            <w:r>
              <w:rPr>
                <w:rFonts w:hint="eastAsia" w:ascii="宋体" w:hAnsi="DotumChe" w:cs="宋体"/>
                <w:b w:val="0"/>
                <w:bCs/>
                <w:color w:val="auto"/>
                <w:spacing w:val="0"/>
                <w:kern w:val="0"/>
                <w:sz w:val="28"/>
                <w:szCs w:val="28"/>
                <w:highlight w:val="none"/>
                <w:lang w:val="en-US" w:eastAsia="zh-CN"/>
              </w:rPr>
              <w:t>2026010</w:t>
            </w:r>
          </w:p>
        </w:tc>
      </w:tr>
      <w:tr w14:paraId="7230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269213A1">
            <w:pPr>
              <w:pStyle w:val="87"/>
              <w:pBdr>
                <w:bottom w:val="none" w:color="auto" w:sz="0" w:space="0"/>
              </w:pBdr>
              <w:tabs>
                <w:tab w:val="clear" w:pos="4153"/>
                <w:tab w:val="clear" w:pos="8306"/>
              </w:tabs>
              <w:adjustRightInd/>
              <w:spacing w:line="440" w:lineRule="exac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6</w:t>
            </w:r>
          </w:p>
        </w:tc>
        <w:tc>
          <w:tcPr>
            <w:tcW w:w="1928" w:type="dxa"/>
            <w:vAlign w:val="center"/>
          </w:tcPr>
          <w:p w14:paraId="6CC94044">
            <w:pPr>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付款方式</w:t>
            </w:r>
          </w:p>
        </w:tc>
        <w:tc>
          <w:tcPr>
            <w:tcW w:w="7257" w:type="dxa"/>
            <w:vAlign w:val="center"/>
          </w:tcPr>
          <w:p w14:paraId="403758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s="宋体"/>
                <w:b w:val="0"/>
                <w:bCs w:val="0"/>
                <w:color w:val="auto"/>
                <w:sz w:val="24"/>
                <w:highlight w:val="none"/>
                <w:lang w:val="en-US" w:eastAsia="zh-CN"/>
              </w:rPr>
            </w:pPr>
            <w:r>
              <w:rPr>
                <w:rFonts w:hint="eastAsia" w:ascii="宋体" w:hAnsi="宋体" w:cs="宋体"/>
                <w:sz w:val="24"/>
                <w:szCs w:val="24"/>
                <w:highlight w:val="none"/>
                <w:lang w:val="en-US" w:eastAsia="zh-CN"/>
              </w:rPr>
              <w:t>拍卖佣金</w:t>
            </w:r>
            <w:r>
              <w:rPr>
                <w:rFonts w:hint="eastAsia" w:ascii="新宋体" w:hAnsi="新宋体" w:eastAsia="新宋体" w:cs="新宋体"/>
                <w:color w:val="auto"/>
                <w:sz w:val="24"/>
                <w:highlight w:val="none"/>
              </w:rPr>
              <w:t>根据</w:t>
            </w:r>
            <w:r>
              <w:rPr>
                <w:rFonts w:hint="eastAsia" w:ascii="新宋体" w:hAnsi="新宋体" w:eastAsia="新宋体" w:cs="新宋体"/>
                <w:color w:val="auto"/>
                <w:sz w:val="24"/>
                <w:highlight w:val="none"/>
                <w:lang w:val="en-US" w:eastAsia="zh-CN"/>
              </w:rPr>
              <w:t>每场次最终拍卖成交价乘以成交折扣计算，由买受人支付</w:t>
            </w:r>
            <w:r>
              <w:rPr>
                <w:rFonts w:hint="eastAsia" w:ascii="新宋体" w:hAnsi="新宋体" w:eastAsia="新宋体" w:cs="新宋体"/>
                <w:color w:val="auto"/>
                <w:sz w:val="24"/>
                <w:highlight w:val="none"/>
              </w:rPr>
              <w:t>。</w:t>
            </w:r>
          </w:p>
          <w:p w14:paraId="1834D9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cs="宋体"/>
                <w:b/>
                <w:bCs/>
                <w:color w:val="auto"/>
                <w:sz w:val="24"/>
                <w:highlight w:val="none"/>
              </w:rPr>
              <w:t>（供应商提交的</w:t>
            </w:r>
            <w:r>
              <w:rPr>
                <w:rFonts w:hint="eastAsia" w:cs="宋体"/>
                <w:b/>
                <w:bCs/>
                <w:color w:val="auto"/>
                <w:sz w:val="24"/>
                <w:highlight w:val="none"/>
                <w:lang w:val="en-US" w:eastAsia="zh-CN"/>
              </w:rPr>
              <w:t>响应</w:t>
            </w:r>
            <w:r>
              <w:rPr>
                <w:rFonts w:hint="eastAsia" w:cs="宋体"/>
                <w:b/>
                <w:bCs/>
                <w:color w:val="auto"/>
                <w:sz w:val="24"/>
                <w:highlight w:val="none"/>
              </w:rPr>
              <w:t>文件中</w:t>
            </w:r>
            <w:r>
              <w:rPr>
                <w:rFonts w:hint="eastAsia" w:cs="宋体"/>
                <w:b/>
                <w:bCs/>
                <w:color w:val="auto"/>
                <w:sz w:val="24"/>
                <w:highlight w:val="none"/>
                <w:lang w:eastAsia="zh-CN"/>
              </w:rPr>
              <w:t>，</w:t>
            </w:r>
            <w:r>
              <w:rPr>
                <w:rFonts w:hint="eastAsia" w:cs="宋体"/>
                <w:b/>
                <w:bCs/>
                <w:color w:val="auto"/>
                <w:sz w:val="24"/>
                <w:highlight w:val="none"/>
              </w:rPr>
              <w:t>如有关于付款条件的表述与</w:t>
            </w:r>
            <w:r>
              <w:rPr>
                <w:rFonts w:hint="eastAsia" w:cs="宋体"/>
                <w:b/>
                <w:bCs/>
                <w:color w:val="auto"/>
                <w:sz w:val="24"/>
                <w:highlight w:val="none"/>
                <w:lang w:val="en-US" w:eastAsia="zh-CN"/>
              </w:rPr>
              <w:t>采购</w:t>
            </w:r>
            <w:r>
              <w:rPr>
                <w:rFonts w:hint="eastAsia" w:cs="宋体"/>
                <w:b/>
                <w:bCs/>
                <w:color w:val="auto"/>
                <w:sz w:val="24"/>
                <w:highlight w:val="none"/>
              </w:rPr>
              <w:t>文件规定不符，将被视为实质性不响应，将导致响应无效）</w:t>
            </w:r>
          </w:p>
        </w:tc>
      </w:tr>
      <w:tr w14:paraId="012B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50500C47">
            <w:pPr>
              <w:pStyle w:val="8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7</w:t>
            </w:r>
          </w:p>
        </w:tc>
        <w:tc>
          <w:tcPr>
            <w:tcW w:w="1928" w:type="dxa"/>
            <w:vAlign w:val="center"/>
          </w:tcPr>
          <w:p w14:paraId="4F8D919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服务期</w:t>
            </w:r>
          </w:p>
        </w:tc>
        <w:tc>
          <w:tcPr>
            <w:tcW w:w="7257" w:type="dxa"/>
            <w:vAlign w:val="center"/>
          </w:tcPr>
          <w:p w14:paraId="571821BE">
            <w:pPr>
              <w:pStyle w:val="8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b w:val="0"/>
                <w:bCs w:val="0"/>
                <w:color w:val="auto"/>
                <w:sz w:val="24"/>
                <w:szCs w:val="24"/>
                <w:highlight w:val="none"/>
                <w:lang w:val="en-US"/>
              </w:rPr>
            </w:pPr>
            <w:r>
              <w:rPr>
                <w:rFonts w:hint="default"/>
                <w:b w:val="0"/>
                <w:bCs w:val="0"/>
                <w:color w:val="auto"/>
                <w:sz w:val="24"/>
                <w:szCs w:val="24"/>
                <w:highlight w:val="none"/>
                <w:lang w:val="en-US" w:eastAsia="zh-CN"/>
              </w:rPr>
              <w:t>1年（若服务期满时，服务期内所承接拍卖项目未完成，则须全部完成）。年度考核合格后可续签合同，考核不合格不再续签，每次续签一年，最多续签两次。</w:t>
            </w:r>
          </w:p>
        </w:tc>
      </w:tr>
      <w:tr w14:paraId="6604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518C43E7">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8</w:t>
            </w:r>
          </w:p>
        </w:tc>
        <w:tc>
          <w:tcPr>
            <w:tcW w:w="1928" w:type="dxa"/>
            <w:vAlign w:val="center"/>
          </w:tcPr>
          <w:p w14:paraId="0D7BD176">
            <w:pPr>
              <w:pStyle w:val="87"/>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lang w:val="en-US" w:eastAsia="zh-CN"/>
              </w:rPr>
              <w:t>成交</w:t>
            </w:r>
            <w:r>
              <w:rPr>
                <w:rFonts w:hint="eastAsia" w:ascii="宋体" w:hAnsi="宋体"/>
                <w:bCs/>
                <w:color w:val="auto"/>
                <w:kern w:val="2"/>
                <w:szCs w:val="24"/>
                <w:highlight w:val="none"/>
              </w:rPr>
              <w:t>服务费</w:t>
            </w:r>
          </w:p>
        </w:tc>
        <w:tc>
          <w:tcPr>
            <w:tcW w:w="7257" w:type="dxa"/>
            <w:vAlign w:val="center"/>
          </w:tcPr>
          <w:p w14:paraId="6A10EE45">
            <w:pPr>
              <w:pStyle w:val="87"/>
              <w:pBdr>
                <w:bottom w:val="none" w:color="auto" w:sz="0" w:space="0"/>
              </w:pBdr>
              <w:tabs>
                <w:tab w:val="clear" w:pos="4153"/>
                <w:tab w:val="clear" w:pos="8306"/>
              </w:tabs>
              <w:adjustRightInd/>
              <w:spacing w:line="440" w:lineRule="exact"/>
              <w:jc w:val="both"/>
              <w:textAlignment w:val="auto"/>
              <w:rPr>
                <w:rFonts w:hint="default" w:eastAsia="宋体"/>
                <w:bCs/>
                <w:color w:val="auto"/>
                <w:szCs w:val="24"/>
                <w:highlight w:val="none"/>
                <w:lang w:val="en-US" w:eastAsia="zh-CN"/>
              </w:rPr>
            </w:pPr>
            <w:r>
              <w:rPr>
                <w:rFonts w:hint="eastAsia" w:ascii="宋体" w:hAnsi="宋体" w:cs="宋体"/>
                <w:color w:val="auto"/>
                <w:szCs w:val="24"/>
                <w:highlight w:val="none"/>
                <w:lang w:val="en-US" w:eastAsia="zh-CN"/>
              </w:rPr>
              <w:t>无</w:t>
            </w:r>
          </w:p>
        </w:tc>
      </w:tr>
      <w:tr w14:paraId="2DA5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42CB9942">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9</w:t>
            </w:r>
          </w:p>
        </w:tc>
        <w:tc>
          <w:tcPr>
            <w:tcW w:w="1928" w:type="dxa"/>
            <w:vAlign w:val="center"/>
          </w:tcPr>
          <w:p w14:paraId="6EE1E217">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257" w:type="dxa"/>
            <w:vAlign w:val="center"/>
          </w:tcPr>
          <w:p w14:paraId="4781AFE9">
            <w:pPr>
              <w:pStyle w:val="8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成交</w:t>
            </w:r>
            <w:r>
              <w:rPr>
                <w:rFonts w:hint="eastAsia" w:ascii="宋体" w:hAnsi="宋体"/>
                <w:bCs/>
                <w:color w:val="auto"/>
                <w:kern w:val="2"/>
                <w:szCs w:val="24"/>
                <w:highlight w:val="none"/>
              </w:rPr>
              <w:t>人在签订合同时向</w:t>
            </w:r>
            <w:r>
              <w:rPr>
                <w:rFonts w:hint="eastAsia" w:ascii="宋体" w:hAnsi="宋体"/>
                <w:bCs/>
                <w:color w:val="auto"/>
                <w:kern w:val="2"/>
                <w:szCs w:val="24"/>
                <w:highlight w:val="none"/>
                <w:lang w:val="en-US" w:eastAsia="zh-CN"/>
              </w:rPr>
              <w:t>采购人</w:t>
            </w:r>
            <w:r>
              <w:rPr>
                <w:rFonts w:hint="eastAsia" w:ascii="宋体" w:hAnsi="宋体"/>
                <w:bCs/>
                <w:color w:val="auto"/>
                <w:kern w:val="2"/>
                <w:szCs w:val="24"/>
                <w:highlight w:val="none"/>
              </w:rPr>
              <w:t>提交</w:t>
            </w:r>
            <w:r>
              <w:rPr>
                <w:rFonts w:hint="eastAsia" w:ascii="宋体" w:hAnsi="宋体"/>
                <w:bCs/>
                <w:color w:val="auto"/>
                <w:kern w:val="2"/>
                <w:szCs w:val="24"/>
                <w:highlight w:val="none"/>
                <w:lang w:val="en-US" w:eastAsia="zh-CN"/>
              </w:rPr>
              <w:t>合同价款</w:t>
            </w:r>
            <w:r>
              <w:rPr>
                <w:rFonts w:hint="eastAsia" w:ascii="宋体" w:hAnsi="宋体"/>
                <w:bCs/>
                <w:color w:val="auto"/>
                <w:kern w:val="2"/>
                <w:szCs w:val="24"/>
                <w:highlight w:val="none"/>
                <w:u w:val="single"/>
                <w:lang w:val="en-US" w:eastAsia="zh-CN"/>
              </w:rPr>
              <w:t>/%</w:t>
            </w:r>
            <w:r>
              <w:rPr>
                <w:rFonts w:hint="eastAsia" w:ascii="宋体" w:hAnsi="宋体"/>
                <w:bCs/>
                <w:color w:val="auto"/>
                <w:kern w:val="2"/>
                <w:szCs w:val="24"/>
                <w:highlight w:val="none"/>
              </w:rPr>
              <w:t>的履约保证金。</w:t>
            </w:r>
          </w:p>
          <w:p w14:paraId="11AF9210">
            <w:pPr>
              <w:pStyle w:val="8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2、</w:t>
            </w:r>
            <w:r>
              <w:rPr>
                <w:rFonts w:hint="eastAsia" w:ascii="宋体" w:hAnsi="宋体"/>
                <w:bCs/>
                <w:color w:val="auto"/>
                <w:kern w:val="2"/>
                <w:szCs w:val="24"/>
                <w:highlight w:val="none"/>
                <w:lang w:val="en-US" w:eastAsia="zh-CN"/>
              </w:rPr>
              <w:t>成交</w:t>
            </w:r>
            <w:r>
              <w:rPr>
                <w:rFonts w:hint="eastAsia" w:ascii="宋体" w:hAnsi="宋体"/>
                <w:bCs/>
                <w:color w:val="auto"/>
                <w:kern w:val="2"/>
                <w:szCs w:val="24"/>
                <w:highlight w:val="none"/>
              </w:rPr>
              <w:t>人可以通过转账、网银支付、汇票、支票、保证保险、担保保函、银行履约保函等方式提交履约保证金。</w:t>
            </w:r>
          </w:p>
          <w:p w14:paraId="77FAA6B6">
            <w:pPr>
              <w:pStyle w:val="2"/>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color w:val="auto"/>
                <w:highlight w:val="none"/>
              </w:rPr>
            </w:pPr>
            <w:r>
              <w:rPr>
                <w:rFonts w:hint="eastAsia" w:ascii="宋体" w:hAnsi="宋体"/>
                <w:bCs/>
                <w:color w:val="auto"/>
                <w:kern w:val="2"/>
                <w:szCs w:val="24"/>
                <w:highlight w:val="none"/>
              </w:rPr>
              <w:t>3、</w:t>
            </w:r>
            <w:r>
              <w:rPr>
                <w:rFonts w:hint="eastAsia"/>
                <w:color w:val="auto"/>
                <w:highlight w:val="none"/>
              </w:rPr>
              <w:t>项目验收结束后应及时退还履约保证金</w:t>
            </w:r>
            <w:r>
              <w:rPr>
                <w:rFonts w:hint="eastAsia" w:ascii="宋体" w:hAnsi="宋体"/>
                <w:bCs/>
                <w:color w:val="auto"/>
                <w:kern w:val="2"/>
                <w:szCs w:val="24"/>
                <w:highlight w:val="none"/>
              </w:rPr>
              <w:t>。</w:t>
            </w:r>
          </w:p>
        </w:tc>
      </w:tr>
      <w:tr w14:paraId="0ED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409E1EF4">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0</w:t>
            </w:r>
          </w:p>
        </w:tc>
        <w:tc>
          <w:tcPr>
            <w:tcW w:w="1928" w:type="dxa"/>
            <w:vAlign w:val="center"/>
          </w:tcPr>
          <w:p w14:paraId="28766CAB">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257" w:type="dxa"/>
            <w:vAlign w:val="center"/>
          </w:tcPr>
          <w:p w14:paraId="27888928">
            <w:pPr>
              <w:pStyle w:val="87"/>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1888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44D5D589">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1</w:t>
            </w:r>
          </w:p>
        </w:tc>
        <w:tc>
          <w:tcPr>
            <w:tcW w:w="1928" w:type="dxa"/>
            <w:vAlign w:val="center"/>
          </w:tcPr>
          <w:p w14:paraId="4F65E923">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257" w:type="dxa"/>
            <w:vAlign w:val="center"/>
          </w:tcPr>
          <w:p w14:paraId="34F52D8B">
            <w:pPr>
              <w:pStyle w:val="87"/>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bCs/>
                <w:color w:val="000000" w:themeColor="text1"/>
                <w:kern w:val="2"/>
                <w:szCs w:val="24"/>
                <w:highlight w:val="none"/>
                <w14:textFill>
                  <w14:solidFill>
                    <w14:schemeClr w14:val="tx1"/>
                  </w14:solidFill>
                </w14:textFill>
              </w:rPr>
              <w:t>供应商如果对采购文件内容有相关疑问，向采购人以书面形式提出（联系方式见磋商公告）。采购人对磋商文件进行的澄清、更正或更改，将在网站上及时发布，该公告内容为磋商文件的组成部分，对</w:t>
            </w:r>
            <w:r>
              <w:rPr>
                <w:rFonts w:hint="eastAsia" w:ascii="宋体" w:hAnsi="宋体"/>
                <w:bCs/>
                <w:color w:val="000000" w:themeColor="text1"/>
                <w:kern w:val="2"/>
                <w:szCs w:val="24"/>
                <w:highlight w:val="none"/>
                <w:lang w:eastAsia="zh-CN"/>
                <w14:textFill>
                  <w14:solidFill>
                    <w14:schemeClr w14:val="tx1"/>
                  </w14:solidFill>
                </w14:textFill>
              </w:rPr>
              <w:t>供应商</w:t>
            </w:r>
            <w:r>
              <w:rPr>
                <w:rFonts w:hint="eastAsia" w:ascii="宋体" w:hAnsi="宋体"/>
                <w:bCs/>
                <w:color w:val="000000" w:themeColor="text1"/>
                <w:kern w:val="2"/>
                <w:szCs w:val="24"/>
                <w:highlight w:val="none"/>
                <w14:textFill>
                  <w14:solidFill>
                    <w14:schemeClr w14:val="tx1"/>
                  </w14:solidFill>
                </w14:textFill>
              </w:rPr>
              <w:t>具有同样约束力效力。</w:t>
            </w:r>
            <w:r>
              <w:rPr>
                <w:rFonts w:hint="eastAsia" w:ascii="宋体" w:hAnsi="宋体"/>
                <w:bCs/>
                <w:color w:val="000000" w:themeColor="text1"/>
                <w:kern w:val="2"/>
                <w:szCs w:val="24"/>
                <w:highlight w:val="none"/>
                <w:lang w:eastAsia="zh-CN"/>
                <w14:textFill>
                  <w14:solidFill>
                    <w14:schemeClr w14:val="tx1"/>
                  </w14:solidFill>
                </w14:textFill>
              </w:rPr>
              <w:t>供应商</w:t>
            </w:r>
            <w:r>
              <w:rPr>
                <w:rFonts w:hint="eastAsia" w:ascii="宋体" w:hAnsi="宋体"/>
                <w:bCs/>
                <w:color w:val="000000" w:themeColor="text1"/>
                <w:kern w:val="2"/>
                <w:szCs w:val="24"/>
                <w:highlight w:val="none"/>
                <w14:textFill>
                  <w14:solidFill>
                    <w14:schemeClr w14:val="tx1"/>
                  </w14:solidFill>
                </w14:textFill>
              </w:rPr>
              <w:t>应主动上网查询，</w:t>
            </w:r>
            <w:r>
              <w:rPr>
                <w:rFonts w:hint="eastAsia" w:ascii="宋体" w:hAnsi="宋体"/>
                <w:bCs/>
                <w:color w:val="000000" w:themeColor="text1"/>
                <w:kern w:val="2"/>
                <w:szCs w:val="24"/>
                <w:highlight w:val="none"/>
                <w:lang w:eastAsia="zh-CN"/>
                <w14:textFill>
                  <w14:solidFill>
                    <w14:schemeClr w14:val="tx1"/>
                  </w14:solidFill>
                </w14:textFill>
              </w:rPr>
              <w:t>供应商</w:t>
            </w:r>
            <w:r>
              <w:rPr>
                <w:rFonts w:hint="eastAsia" w:ascii="宋体" w:hAnsi="宋体"/>
                <w:bCs/>
                <w:color w:val="000000" w:themeColor="text1"/>
                <w:kern w:val="2"/>
                <w:szCs w:val="24"/>
                <w:highlight w:val="none"/>
                <w14:textFill>
                  <w14:solidFill>
                    <w14:schemeClr w14:val="tx1"/>
                  </w14:solidFill>
                </w14:textFill>
              </w:rPr>
              <w:t>须自行承担因未及时关注相关信息而引发的相关责任。</w:t>
            </w:r>
          </w:p>
        </w:tc>
      </w:tr>
      <w:tr w14:paraId="1D94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46E5F178">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2</w:t>
            </w:r>
          </w:p>
        </w:tc>
        <w:tc>
          <w:tcPr>
            <w:tcW w:w="1928" w:type="dxa"/>
            <w:vAlign w:val="center"/>
          </w:tcPr>
          <w:p w14:paraId="0A165E96">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257" w:type="dxa"/>
            <w:vAlign w:val="center"/>
          </w:tcPr>
          <w:p w14:paraId="0BE1DDE0">
            <w:pPr>
              <w:pStyle w:val="87"/>
              <w:pBdr>
                <w:bottom w:val="none" w:color="auto" w:sz="0" w:space="0"/>
              </w:pBdr>
              <w:tabs>
                <w:tab w:val="clear" w:pos="4153"/>
                <w:tab w:val="clear" w:pos="8306"/>
              </w:tabs>
              <w:adjustRightInd/>
              <w:spacing w:line="440" w:lineRule="exact"/>
              <w:jc w:val="both"/>
              <w:textAlignment w:val="auto"/>
              <w:rPr>
                <w:rFonts w:ascii="宋体" w:hAnsi="宋体"/>
                <w:color w:val="auto"/>
                <w:kern w:val="2"/>
                <w:szCs w:val="24"/>
                <w:highlight w:val="none"/>
                <w:shd w:val="clear" w:color="auto" w:fill="auto"/>
                <w:lang w:val="en-US"/>
              </w:rPr>
            </w:pPr>
            <w:r>
              <w:rPr>
                <w:rFonts w:hint="eastAsia" w:ascii="宋体" w:hAnsi="宋体"/>
                <w:color w:val="auto"/>
                <w:kern w:val="2"/>
                <w:szCs w:val="24"/>
                <w:highlight w:val="none"/>
                <w:shd w:val="clear" w:color="auto" w:fill="auto"/>
                <w:lang w:val="en-US"/>
              </w:rPr>
              <w:t>1、纸质版</w:t>
            </w:r>
            <w:r>
              <w:rPr>
                <w:rFonts w:hint="eastAsia" w:ascii="宋体" w:hAnsi="宋体"/>
                <w:color w:val="auto"/>
                <w:kern w:val="2"/>
                <w:szCs w:val="24"/>
                <w:highlight w:val="none"/>
                <w:shd w:val="clear" w:color="auto" w:fill="auto"/>
                <w:lang w:val="en-US" w:eastAsia="zh-CN"/>
              </w:rPr>
              <w:t>响应</w:t>
            </w:r>
            <w:r>
              <w:rPr>
                <w:rFonts w:hint="eastAsia" w:ascii="宋体" w:hAnsi="宋体"/>
                <w:color w:val="auto"/>
                <w:kern w:val="2"/>
                <w:szCs w:val="24"/>
                <w:highlight w:val="none"/>
                <w:shd w:val="clear" w:color="auto" w:fill="auto"/>
                <w:lang w:val="en-US"/>
              </w:rPr>
              <w:t>文件，正本与副本分册、独立胶装装订，标识“正本”、“副本”字样，正本</w:t>
            </w:r>
            <w:r>
              <w:rPr>
                <w:rFonts w:hint="eastAsia" w:ascii="宋体" w:hAnsi="宋体"/>
                <w:color w:val="auto"/>
                <w:kern w:val="2"/>
                <w:szCs w:val="24"/>
                <w:highlight w:val="none"/>
                <w:u w:val="single"/>
                <w:shd w:val="clear" w:color="auto" w:fill="auto"/>
                <w:lang w:val="en-US"/>
              </w:rPr>
              <w:t>壹</w:t>
            </w:r>
            <w:r>
              <w:rPr>
                <w:rFonts w:hint="eastAsia" w:ascii="宋体" w:hAnsi="宋体"/>
                <w:color w:val="auto"/>
                <w:kern w:val="2"/>
                <w:szCs w:val="24"/>
                <w:highlight w:val="none"/>
                <w:shd w:val="clear" w:color="auto" w:fill="auto"/>
                <w:lang w:val="en-US"/>
              </w:rPr>
              <w:t>份、副本</w:t>
            </w:r>
            <w:r>
              <w:rPr>
                <w:rFonts w:hint="eastAsia" w:ascii="宋体" w:hAnsi="宋体"/>
                <w:color w:val="auto"/>
                <w:kern w:val="2"/>
                <w:szCs w:val="24"/>
                <w:highlight w:val="none"/>
                <w:u w:val="single"/>
                <w:shd w:val="clear" w:color="auto" w:fill="auto"/>
                <w:lang w:val="en-US"/>
              </w:rPr>
              <w:t>贰</w:t>
            </w:r>
            <w:r>
              <w:rPr>
                <w:rFonts w:hint="eastAsia" w:ascii="宋体" w:hAnsi="宋体"/>
                <w:color w:val="auto"/>
                <w:kern w:val="2"/>
                <w:szCs w:val="24"/>
                <w:highlight w:val="none"/>
                <w:shd w:val="clear" w:color="auto" w:fill="auto"/>
                <w:lang w:val="en-US"/>
              </w:rPr>
              <w:t>份。不得采用活页装订。</w:t>
            </w:r>
          </w:p>
          <w:p w14:paraId="67105318">
            <w:pPr>
              <w:pStyle w:val="87"/>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shd w:val="clear" w:color="FFFFFF" w:fill="D9D9D9"/>
              </w:rPr>
            </w:pPr>
            <w:r>
              <w:rPr>
                <w:rFonts w:hint="eastAsia" w:ascii="宋体" w:hAnsi="宋体"/>
                <w:b w:val="0"/>
                <w:bCs w:val="0"/>
                <w:color w:val="auto"/>
                <w:kern w:val="2"/>
                <w:szCs w:val="24"/>
                <w:highlight w:val="none"/>
                <w:shd w:val="clear" w:color="auto" w:fill="auto"/>
                <w:lang w:val="en-US" w:eastAsia="zh-CN"/>
              </w:rPr>
              <w:t>2、电子版响应文件</w:t>
            </w:r>
            <w:r>
              <w:rPr>
                <w:rFonts w:hint="eastAsia" w:ascii="宋体" w:hAnsi="宋体"/>
                <w:b w:val="0"/>
                <w:bCs w:val="0"/>
                <w:color w:val="auto"/>
                <w:highlight w:val="none"/>
                <w:shd w:val="clear" w:color="auto" w:fill="auto"/>
              </w:rPr>
              <w:t>（</w:t>
            </w:r>
            <w:r>
              <w:rPr>
                <w:rFonts w:ascii="宋体" w:hAnsi="宋体"/>
                <w:b w:val="0"/>
                <w:bCs w:val="0"/>
                <w:color w:val="auto"/>
                <w:highlight w:val="none"/>
                <w:shd w:val="clear" w:color="auto" w:fill="auto"/>
                <w:lang w:val="en-US"/>
              </w:rPr>
              <w:t>U</w:t>
            </w:r>
            <w:r>
              <w:rPr>
                <w:rFonts w:hint="eastAsia" w:ascii="宋体" w:hAnsi="宋体"/>
                <w:b w:val="0"/>
                <w:bCs w:val="0"/>
                <w:color w:val="auto"/>
                <w:highlight w:val="none"/>
                <w:shd w:val="clear" w:color="auto" w:fill="auto"/>
                <w:lang w:val="en-US"/>
              </w:rPr>
              <w:t>盘</w:t>
            </w:r>
            <w:r>
              <w:rPr>
                <w:rFonts w:hint="eastAsia" w:ascii="宋体" w:hAnsi="宋体"/>
                <w:b w:val="0"/>
                <w:bCs w:val="0"/>
                <w:color w:val="auto"/>
                <w:highlight w:val="none"/>
                <w:shd w:val="clear" w:color="auto" w:fill="auto"/>
              </w:rPr>
              <w:t>）</w:t>
            </w:r>
            <w:r>
              <w:rPr>
                <w:rFonts w:hint="eastAsia" w:ascii="宋体" w:hAnsi="宋体"/>
                <w:b w:val="0"/>
                <w:bCs w:val="0"/>
                <w:color w:val="auto"/>
                <w:kern w:val="2"/>
                <w:szCs w:val="24"/>
                <w:highlight w:val="none"/>
                <w:shd w:val="clear" w:color="auto" w:fill="auto"/>
                <w:lang w:val="en-US" w:eastAsia="zh-CN"/>
              </w:rPr>
              <w:t>壹份，</w:t>
            </w:r>
            <w:r>
              <w:rPr>
                <w:rFonts w:hint="eastAsia" w:ascii="宋体" w:hAnsi="宋体"/>
                <w:b w:val="0"/>
                <w:bCs w:val="0"/>
                <w:color w:val="auto"/>
                <w:highlight w:val="none"/>
                <w:shd w:val="clear" w:color="auto" w:fill="auto"/>
                <w:lang w:val="en-US"/>
              </w:rPr>
              <w:t>电子版</w:t>
            </w:r>
            <w:r>
              <w:rPr>
                <w:rFonts w:hint="eastAsia" w:ascii="宋体" w:hAnsi="宋体"/>
                <w:b w:val="0"/>
                <w:bCs w:val="0"/>
                <w:color w:val="auto"/>
                <w:highlight w:val="none"/>
                <w:shd w:val="clear" w:color="auto" w:fill="auto"/>
                <w:lang w:val="en-US" w:eastAsia="zh-CN"/>
              </w:rPr>
              <w:t>响应</w:t>
            </w:r>
            <w:r>
              <w:rPr>
                <w:rFonts w:hint="eastAsia" w:ascii="宋体" w:hAnsi="宋体"/>
                <w:b w:val="0"/>
                <w:bCs w:val="0"/>
                <w:color w:val="auto"/>
                <w:highlight w:val="none"/>
                <w:shd w:val="clear" w:color="auto" w:fill="auto"/>
                <w:lang w:val="en-US"/>
              </w:rPr>
              <w:t>文件</w:t>
            </w:r>
            <w:r>
              <w:rPr>
                <w:rFonts w:hint="eastAsia" w:ascii="宋体" w:hAnsi="宋体"/>
                <w:b w:val="0"/>
                <w:bCs w:val="0"/>
                <w:color w:val="auto"/>
                <w:highlight w:val="none"/>
                <w:shd w:val="clear" w:color="auto" w:fill="auto"/>
              </w:rPr>
              <w:t>（</w:t>
            </w:r>
            <w:r>
              <w:rPr>
                <w:rFonts w:ascii="宋体" w:hAnsi="宋体"/>
                <w:b w:val="0"/>
                <w:bCs w:val="0"/>
                <w:color w:val="auto"/>
                <w:highlight w:val="none"/>
                <w:shd w:val="clear" w:color="auto" w:fill="auto"/>
                <w:lang w:val="en-US"/>
              </w:rPr>
              <w:t>U</w:t>
            </w:r>
            <w:r>
              <w:rPr>
                <w:rFonts w:hint="eastAsia" w:ascii="宋体" w:hAnsi="宋体"/>
                <w:b w:val="0"/>
                <w:bCs w:val="0"/>
                <w:color w:val="auto"/>
                <w:highlight w:val="none"/>
                <w:shd w:val="clear" w:color="auto" w:fill="auto"/>
                <w:lang w:val="en-US"/>
              </w:rPr>
              <w:t>盘</w:t>
            </w:r>
            <w:r>
              <w:rPr>
                <w:rFonts w:hint="eastAsia" w:ascii="宋体" w:hAnsi="宋体"/>
                <w:b w:val="0"/>
                <w:bCs w:val="0"/>
                <w:color w:val="auto"/>
                <w:highlight w:val="none"/>
                <w:shd w:val="clear" w:color="auto" w:fill="auto"/>
              </w:rPr>
              <w:t>）须与纸质版</w:t>
            </w:r>
            <w:r>
              <w:rPr>
                <w:rFonts w:hint="eastAsia" w:ascii="宋体" w:hAnsi="宋体"/>
                <w:b w:val="0"/>
                <w:bCs w:val="0"/>
                <w:color w:val="auto"/>
                <w:highlight w:val="none"/>
                <w:shd w:val="clear" w:color="auto" w:fill="auto"/>
                <w:lang w:val="en-US" w:eastAsia="zh-CN"/>
              </w:rPr>
              <w:t>响应</w:t>
            </w:r>
            <w:r>
              <w:rPr>
                <w:rFonts w:hint="eastAsia" w:ascii="宋体" w:hAnsi="宋体"/>
                <w:b w:val="0"/>
                <w:bCs w:val="0"/>
                <w:color w:val="auto"/>
                <w:highlight w:val="none"/>
                <w:shd w:val="clear" w:color="auto" w:fill="auto"/>
                <w:lang w:val="en-US"/>
              </w:rPr>
              <w:t>文件</w:t>
            </w:r>
            <w:r>
              <w:rPr>
                <w:rFonts w:hint="eastAsia" w:ascii="宋体" w:hAnsi="宋体"/>
                <w:b w:val="0"/>
                <w:bCs w:val="0"/>
                <w:color w:val="auto"/>
                <w:highlight w:val="none"/>
                <w:shd w:val="clear" w:color="auto" w:fill="auto"/>
                <w:lang w:val="en-US" w:eastAsia="zh-CN"/>
              </w:rPr>
              <w:t>内容</w:t>
            </w:r>
            <w:r>
              <w:rPr>
                <w:rFonts w:hint="eastAsia" w:ascii="宋体" w:hAnsi="宋体"/>
                <w:b w:val="0"/>
                <w:bCs w:val="0"/>
                <w:color w:val="auto"/>
                <w:highlight w:val="none"/>
                <w:shd w:val="clear" w:color="auto" w:fill="auto"/>
              </w:rPr>
              <w:t>完全一致。</w:t>
            </w:r>
            <w:r>
              <w:rPr>
                <w:rFonts w:hint="eastAsia" w:ascii="宋体" w:hAnsi="宋体"/>
                <w:b w:val="0"/>
                <w:bCs w:val="0"/>
                <w:color w:val="auto"/>
                <w:highlight w:val="none"/>
                <w:shd w:val="clear" w:color="auto" w:fill="auto"/>
                <w:lang w:val="en-US"/>
              </w:rPr>
              <w:t>电子版</w:t>
            </w:r>
            <w:r>
              <w:rPr>
                <w:rFonts w:hint="eastAsia" w:ascii="宋体" w:hAnsi="宋体"/>
                <w:b w:val="0"/>
                <w:bCs w:val="0"/>
                <w:color w:val="auto"/>
                <w:highlight w:val="none"/>
                <w:shd w:val="clear" w:color="auto" w:fill="auto"/>
                <w:lang w:val="en-US" w:eastAsia="zh-CN"/>
              </w:rPr>
              <w:t>响应</w:t>
            </w:r>
            <w:r>
              <w:rPr>
                <w:rFonts w:hint="eastAsia" w:ascii="宋体" w:hAnsi="宋体"/>
                <w:b w:val="0"/>
                <w:bCs w:val="0"/>
                <w:color w:val="auto"/>
                <w:highlight w:val="none"/>
                <w:shd w:val="clear" w:color="auto" w:fill="auto"/>
                <w:lang w:val="en-US"/>
              </w:rPr>
              <w:t>文件</w:t>
            </w:r>
            <w:r>
              <w:rPr>
                <w:rFonts w:hint="eastAsia" w:ascii="宋体" w:hAnsi="宋体"/>
                <w:b w:val="0"/>
                <w:bCs w:val="0"/>
                <w:color w:val="auto"/>
                <w:highlight w:val="none"/>
                <w:shd w:val="clear" w:color="auto" w:fill="auto"/>
              </w:rPr>
              <w:t>（</w:t>
            </w:r>
            <w:r>
              <w:rPr>
                <w:rFonts w:ascii="宋体" w:hAnsi="宋体"/>
                <w:b w:val="0"/>
                <w:bCs w:val="0"/>
                <w:color w:val="auto"/>
                <w:highlight w:val="none"/>
                <w:shd w:val="clear" w:color="auto" w:fill="auto"/>
                <w:lang w:val="en-US"/>
              </w:rPr>
              <w:t>U</w:t>
            </w:r>
            <w:r>
              <w:rPr>
                <w:rFonts w:hint="eastAsia" w:ascii="宋体" w:hAnsi="宋体"/>
                <w:b w:val="0"/>
                <w:bCs w:val="0"/>
                <w:color w:val="auto"/>
                <w:highlight w:val="none"/>
                <w:shd w:val="clear" w:color="auto" w:fill="auto"/>
                <w:lang w:val="en-US"/>
              </w:rPr>
              <w:t>盘</w:t>
            </w:r>
            <w:r>
              <w:rPr>
                <w:rFonts w:hint="eastAsia" w:ascii="宋体" w:hAnsi="宋体"/>
                <w:b w:val="0"/>
                <w:bCs w:val="0"/>
                <w:color w:val="auto"/>
                <w:highlight w:val="none"/>
                <w:shd w:val="clear" w:color="auto" w:fill="auto"/>
              </w:rPr>
              <w:t>）</w:t>
            </w:r>
            <w:r>
              <w:rPr>
                <w:rFonts w:hint="eastAsia" w:ascii="宋体" w:hAnsi="宋体"/>
                <w:b w:val="0"/>
                <w:bCs w:val="0"/>
                <w:color w:val="auto"/>
                <w:highlight w:val="none"/>
                <w:shd w:val="clear" w:color="auto" w:fill="auto"/>
                <w:lang w:val="en-US" w:eastAsia="zh-CN"/>
              </w:rPr>
              <w:t>只作为采购人存档使用，相关内容不作为评审依据。</w:t>
            </w:r>
          </w:p>
        </w:tc>
      </w:tr>
      <w:tr w14:paraId="6FD6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2616D534">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3</w:t>
            </w:r>
          </w:p>
        </w:tc>
        <w:tc>
          <w:tcPr>
            <w:tcW w:w="1928" w:type="dxa"/>
            <w:vAlign w:val="center"/>
          </w:tcPr>
          <w:p w14:paraId="52EDC8E0">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257" w:type="dxa"/>
            <w:vAlign w:val="center"/>
          </w:tcPr>
          <w:p w14:paraId="133FA330">
            <w:pPr>
              <w:pStyle w:val="87"/>
              <w:pBdr>
                <w:bottom w:val="none" w:color="auto" w:sz="0" w:space="0"/>
              </w:pBdr>
              <w:tabs>
                <w:tab w:val="clear" w:pos="4153"/>
                <w:tab w:val="clear" w:pos="8306"/>
              </w:tabs>
              <w:adjustRightInd/>
              <w:spacing w:line="360" w:lineRule="auto"/>
              <w:jc w:val="both"/>
              <w:textAlignment w:val="auto"/>
              <w:rPr>
                <w:rFonts w:ascii="宋体" w:hAnsi="宋体"/>
                <w:color w:val="auto"/>
                <w:kern w:val="2"/>
                <w:szCs w:val="24"/>
                <w:highlight w:val="none"/>
              </w:rPr>
            </w:pPr>
            <w:r>
              <w:rPr>
                <w:rFonts w:hint="eastAsia" w:ascii="宋体" w:hAnsi="宋体"/>
                <w:bCs/>
                <w:color w:val="auto"/>
                <w:highlight w:val="none"/>
                <w:lang w:val="en-US"/>
              </w:rPr>
              <w:t>1、建议将纸质版</w:t>
            </w:r>
            <w:r>
              <w:rPr>
                <w:rFonts w:hint="eastAsia" w:ascii="宋体" w:hAnsi="宋体"/>
                <w:bCs/>
                <w:color w:val="auto"/>
                <w:highlight w:val="none"/>
                <w:lang w:val="en-US" w:eastAsia="zh-CN"/>
              </w:rPr>
              <w:t>响应</w:t>
            </w:r>
            <w:r>
              <w:rPr>
                <w:rFonts w:hint="eastAsia" w:ascii="宋体" w:hAnsi="宋体"/>
                <w:bCs/>
                <w:color w:val="auto"/>
                <w:highlight w:val="none"/>
                <w:lang w:val="en-US"/>
              </w:rPr>
              <w:t>文件正本和全部副本、电子版</w:t>
            </w:r>
            <w:r>
              <w:rPr>
                <w:rFonts w:hint="eastAsia" w:ascii="宋体" w:hAnsi="宋体"/>
                <w:bCs/>
                <w:color w:val="auto"/>
                <w:highlight w:val="none"/>
                <w:lang w:val="en-US" w:eastAsia="zh-CN"/>
              </w:rPr>
              <w:t>响应</w:t>
            </w:r>
            <w:r>
              <w:rPr>
                <w:rFonts w:hint="eastAsia" w:ascii="宋体" w:hAnsi="宋体"/>
                <w:bCs/>
                <w:color w:val="auto"/>
                <w:highlight w:val="none"/>
                <w:lang w:val="en-US"/>
              </w:rPr>
              <w:t>文件</w:t>
            </w:r>
            <w:r>
              <w:rPr>
                <w:rFonts w:hint="eastAsia" w:ascii="宋体" w:hAnsi="宋体"/>
                <w:bCs/>
                <w:color w:val="auto"/>
                <w:highlight w:val="none"/>
              </w:rPr>
              <w:t>（</w:t>
            </w:r>
            <w:r>
              <w:rPr>
                <w:rFonts w:ascii="宋体" w:hAnsi="宋体"/>
                <w:bCs/>
                <w:color w:val="auto"/>
                <w:highlight w:val="none"/>
                <w:lang w:val="en-US"/>
              </w:rPr>
              <w:t>U</w:t>
            </w:r>
            <w:r>
              <w:rPr>
                <w:rFonts w:hint="eastAsia" w:ascii="宋体" w:hAnsi="宋体"/>
                <w:bCs/>
                <w:color w:val="auto"/>
                <w:highlight w:val="none"/>
                <w:lang w:val="en-US"/>
              </w:rPr>
              <w:t>盘</w:t>
            </w:r>
            <w:r>
              <w:rPr>
                <w:rFonts w:hint="eastAsia" w:ascii="宋体" w:hAnsi="宋体"/>
                <w:bCs/>
                <w:color w:val="auto"/>
                <w:highlight w:val="none"/>
              </w:rPr>
              <w:t>）</w:t>
            </w:r>
            <w:r>
              <w:rPr>
                <w:rFonts w:hint="eastAsia" w:ascii="宋体" w:hAnsi="宋体"/>
                <w:bCs/>
                <w:color w:val="auto"/>
                <w:highlight w:val="none"/>
                <w:lang w:val="en-US"/>
              </w:rPr>
              <w:t>一起密封递交，</w:t>
            </w:r>
            <w:r>
              <w:rPr>
                <w:rFonts w:hint="eastAsia" w:ascii="宋体" w:hAnsi="宋体"/>
                <w:color w:val="auto"/>
                <w:kern w:val="2"/>
                <w:szCs w:val="24"/>
                <w:highlight w:val="none"/>
              </w:rPr>
              <w:t>并在封口处加盖供应商单位公章。没有密封的</w:t>
            </w:r>
            <w:r>
              <w:rPr>
                <w:rFonts w:hint="eastAsia" w:ascii="宋体" w:hAnsi="宋体"/>
                <w:color w:val="auto"/>
                <w:kern w:val="2"/>
                <w:szCs w:val="24"/>
                <w:highlight w:val="none"/>
                <w:lang w:val="en-US" w:eastAsia="zh-CN"/>
              </w:rPr>
              <w:t>响应</w:t>
            </w:r>
            <w:r>
              <w:rPr>
                <w:rFonts w:hint="eastAsia" w:ascii="宋体" w:hAnsi="宋体"/>
                <w:color w:val="auto"/>
                <w:kern w:val="2"/>
                <w:szCs w:val="24"/>
                <w:highlight w:val="none"/>
              </w:rPr>
              <w:t>文件</w:t>
            </w:r>
            <w:r>
              <w:rPr>
                <w:rFonts w:hint="eastAsia" w:ascii="宋体" w:hAnsi="宋体"/>
                <w:color w:val="auto"/>
                <w:kern w:val="2"/>
                <w:szCs w:val="24"/>
                <w:highlight w:val="none"/>
                <w:lang w:val="en-US"/>
              </w:rPr>
              <w:t>将被</w:t>
            </w:r>
            <w:r>
              <w:rPr>
                <w:rFonts w:hint="eastAsia" w:ascii="宋体" w:hAnsi="宋体"/>
                <w:color w:val="auto"/>
                <w:kern w:val="2"/>
                <w:szCs w:val="24"/>
                <w:highlight w:val="none"/>
              </w:rPr>
              <w:t>拒绝接受。</w:t>
            </w:r>
          </w:p>
          <w:p w14:paraId="39E56668">
            <w:pPr>
              <w:pStyle w:val="87"/>
              <w:pBdr>
                <w:bottom w:val="none" w:color="auto" w:sz="0" w:space="0"/>
              </w:pBdr>
              <w:tabs>
                <w:tab w:val="clear" w:pos="4153"/>
                <w:tab w:val="clear" w:pos="8306"/>
              </w:tabs>
              <w:adjustRightInd/>
              <w:spacing w:line="360" w:lineRule="auto"/>
              <w:jc w:val="both"/>
              <w:textAlignment w:val="auto"/>
              <w:rPr>
                <w:rFonts w:ascii="新宋体" w:hAnsi="新宋体" w:eastAsia="新宋体" w:cs="新宋体"/>
                <w:b/>
                <w:bCs/>
                <w:color w:val="auto"/>
                <w:szCs w:val="24"/>
                <w:highlight w:val="none"/>
              </w:rPr>
            </w:pPr>
            <w:r>
              <w:rPr>
                <w:rFonts w:hint="eastAsia" w:ascii="宋体" w:hAnsi="宋体"/>
                <w:b/>
                <w:bCs/>
                <w:color w:val="auto"/>
                <w:kern w:val="2"/>
                <w:szCs w:val="32"/>
                <w:highlight w:val="none"/>
                <w:lang w:val="en-US"/>
              </w:rPr>
              <w:t>2、</w:t>
            </w:r>
            <w:r>
              <w:rPr>
                <w:rFonts w:hint="eastAsia" w:ascii="新宋体" w:hAnsi="新宋体" w:eastAsia="新宋体" w:cs="新宋体"/>
                <w:b/>
                <w:bCs/>
                <w:color w:val="auto"/>
                <w:szCs w:val="24"/>
                <w:highlight w:val="none"/>
              </w:rPr>
              <w:t>套封上写明</w:t>
            </w:r>
          </w:p>
          <w:p w14:paraId="3B8CFBA4">
            <w:pPr>
              <w:pStyle w:val="87"/>
              <w:pBdr>
                <w:bottom w:val="none" w:color="auto" w:sz="0" w:space="0"/>
              </w:pBdr>
              <w:tabs>
                <w:tab w:val="clear" w:pos="4153"/>
                <w:tab w:val="clear" w:pos="8306"/>
              </w:tabs>
              <w:adjustRightInd/>
              <w:spacing w:line="360" w:lineRule="auto"/>
              <w:jc w:val="both"/>
              <w:textAlignment w:val="auto"/>
              <w:rPr>
                <w:rFonts w:ascii="新宋体" w:hAnsi="新宋体" w:eastAsia="新宋体" w:cs="新宋体"/>
                <w:color w:val="auto"/>
                <w:szCs w:val="24"/>
                <w:highlight w:val="none"/>
                <w:u w:val="single"/>
                <w:lang w:val="en-US"/>
              </w:rPr>
            </w:pPr>
            <w:r>
              <w:rPr>
                <w:rFonts w:hint="eastAsia" w:ascii="新宋体" w:hAnsi="新宋体" w:eastAsia="新宋体" w:cs="新宋体"/>
                <w:color w:val="auto"/>
                <w:szCs w:val="24"/>
                <w:highlight w:val="none"/>
                <w:lang w:val="en-US"/>
              </w:rPr>
              <w:t>采购人</w:t>
            </w:r>
            <w:r>
              <w:rPr>
                <w:rFonts w:hint="eastAsia" w:ascii="新宋体" w:hAnsi="新宋体" w:eastAsia="新宋体" w:cs="新宋体"/>
                <w:color w:val="auto"/>
                <w:szCs w:val="24"/>
                <w:highlight w:val="none"/>
              </w:rPr>
              <w:t>名称：</w:t>
            </w:r>
            <w:r>
              <w:rPr>
                <w:rFonts w:hint="eastAsia" w:ascii="新宋体" w:hAnsi="新宋体" w:eastAsia="新宋体" w:cs="新宋体"/>
                <w:color w:val="auto"/>
                <w:szCs w:val="24"/>
                <w:highlight w:val="none"/>
                <w:u w:val="single"/>
                <w:lang w:val="en-US"/>
              </w:rPr>
              <w:t xml:space="preserve">                              </w:t>
            </w:r>
          </w:p>
          <w:p w14:paraId="40704DEE">
            <w:pPr>
              <w:spacing w:line="360" w:lineRule="auto"/>
              <w:rPr>
                <w:rFonts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项目名称：</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项目编号：</w:t>
            </w:r>
            <w:r>
              <w:rPr>
                <w:rFonts w:hint="eastAsia" w:ascii="新宋体" w:hAnsi="新宋体" w:eastAsia="新宋体" w:cs="新宋体"/>
                <w:color w:val="auto"/>
                <w:sz w:val="24"/>
                <w:szCs w:val="24"/>
                <w:highlight w:val="none"/>
                <w:u w:val="single"/>
              </w:rPr>
              <w:t xml:space="preserve">            </w:t>
            </w:r>
          </w:p>
          <w:p w14:paraId="0EEAA1F9">
            <w:pPr>
              <w:spacing w:line="36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响应文件 </w:t>
            </w:r>
          </w:p>
          <w:p w14:paraId="1CCC77EF">
            <w:pPr>
              <w:spacing w:line="36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在</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时</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分前不得开启</w:t>
            </w:r>
          </w:p>
          <w:p w14:paraId="6ED74EE6">
            <w:pPr>
              <w:spacing w:line="360" w:lineRule="auto"/>
              <w:rPr>
                <w:rFonts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供应商名称（单位盖章）：</w:t>
            </w:r>
            <w:r>
              <w:rPr>
                <w:rFonts w:hint="eastAsia" w:ascii="新宋体" w:hAnsi="新宋体" w:eastAsia="新宋体" w:cs="新宋体"/>
                <w:color w:val="auto"/>
                <w:sz w:val="24"/>
                <w:szCs w:val="24"/>
                <w:highlight w:val="none"/>
                <w:u w:val="single"/>
              </w:rPr>
              <w:t xml:space="preserve">                  </w:t>
            </w:r>
          </w:p>
          <w:p w14:paraId="1BE39450">
            <w:pPr>
              <w:spacing w:line="360" w:lineRule="auto"/>
              <w:rPr>
                <w:rFonts w:ascii="宋体"/>
                <w:bCs/>
                <w:color w:val="auto"/>
                <w:szCs w:val="24"/>
                <w:highlight w:val="none"/>
              </w:rPr>
            </w:pPr>
            <w:r>
              <w:rPr>
                <w:rFonts w:hint="eastAsia" w:ascii="新宋体" w:hAnsi="新宋体" w:eastAsia="新宋体" w:cs="新宋体"/>
                <w:color w:val="auto"/>
                <w:sz w:val="24"/>
                <w:szCs w:val="24"/>
                <w:highlight w:val="none"/>
              </w:rPr>
              <w:t>供应商地址：</w:t>
            </w:r>
            <w:r>
              <w:rPr>
                <w:rFonts w:hint="eastAsia" w:ascii="新宋体" w:hAnsi="新宋体" w:eastAsia="新宋体" w:cs="新宋体"/>
                <w:color w:val="auto"/>
                <w:sz w:val="24"/>
                <w:szCs w:val="24"/>
                <w:highlight w:val="none"/>
                <w:u w:val="single"/>
              </w:rPr>
              <w:t xml:space="preserve">                              </w:t>
            </w:r>
          </w:p>
          <w:p w14:paraId="5C40C345">
            <w:pPr>
              <w:pStyle w:val="87"/>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p>
        </w:tc>
      </w:tr>
      <w:tr w14:paraId="6FF4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6203952D">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4</w:t>
            </w:r>
          </w:p>
        </w:tc>
        <w:tc>
          <w:tcPr>
            <w:tcW w:w="1928" w:type="dxa"/>
            <w:vAlign w:val="center"/>
          </w:tcPr>
          <w:p w14:paraId="6F109546">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lang w:val="en-US"/>
              </w:rPr>
            </w:pPr>
            <w:r>
              <w:rPr>
                <w:rFonts w:hint="eastAsia" w:ascii="宋体" w:hAnsi="宋体"/>
                <w:bCs/>
                <w:color w:val="auto"/>
                <w:kern w:val="2"/>
                <w:szCs w:val="24"/>
                <w:highlight w:val="none"/>
                <w:lang w:val="en-US"/>
              </w:rPr>
              <w:t>开标时间及地点</w:t>
            </w:r>
          </w:p>
        </w:tc>
        <w:tc>
          <w:tcPr>
            <w:tcW w:w="7257" w:type="dxa"/>
            <w:vAlign w:val="center"/>
          </w:tcPr>
          <w:p w14:paraId="2E56F53F">
            <w:pPr>
              <w:pStyle w:val="87"/>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rPr>
              <w:t>见竞争性磋商</w:t>
            </w:r>
            <w:r>
              <w:rPr>
                <w:rFonts w:hint="eastAsia" w:ascii="宋体" w:hAnsi="宋体"/>
                <w:bCs/>
                <w:color w:val="auto"/>
                <w:kern w:val="2"/>
                <w:szCs w:val="24"/>
                <w:highlight w:val="none"/>
                <w:lang w:val="en-US" w:eastAsia="zh-CN"/>
              </w:rPr>
              <w:t>公告</w:t>
            </w:r>
          </w:p>
        </w:tc>
      </w:tr>
      <w:tr w14:paraId="65AF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2E913768">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val="en-US" w:eastAsia="zh-CN"/>
              </w:rPr>
            </w:pPr>
            <w:r>
              <w:rPr>
                <w:rFonts w:hint="eastAsia" w:ascii="宋体" w:hAnsi="宋体"/>
                <w:bCs/>
                <w:color w:val="auto"/>
                <w:kern w:val="2"/>
                <w:szCs w:val="24"/>
                <w:highlight w:val="none"/>
              </w:rPr>
              <w:t>1</w:t>
            </w:r>
            <w:r>
              <w:rPr>
                <w:rFonts w:hint="eastAsia" w:ascii="宋体" w:hAnsi="宋体"/>
                <w:bCs/>
                <w:color w:val="auto"/>
                <w:kern w:val="2"/>
                <w:szCs w:val="24"/>
                <w:highlight w:val="none"/>
                <w:lang w:val="en-US" w:eastAsia="zh-CN"/>
              </w:rPr>
              <w:t>5</w:t>
            </w:r>
          </w:p>
        </w:tc>
        <w:tc>
          <w:tcPr>
            <w:tcW w:w="1928" w:type="dxa"/>
            <w:vAlign w:val="center"/>
          </w:tcPr>
          <w:p w14:paraId="797D1E85">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eastAsia="zh-CN"/>
              </w:rPr>
            </w:pPr>
            <w:r>
              <w:rPr>
                <w:rFonts w:hint="eastAsia" w:ascii="Times New Roman" w:hAnsi="Times New Roman"/>
                <w:highlight w:val="none"/>
                <w:lang w:val="en-US" w:eastAsia="zh-CN"/>
              </w:rPr>
              <w:t>异常低价响应审查</w:t>
            </w:r>
          </w:p>
        </w:tc>
        <w:tc>
          <w:tcPr>
            <w:tcW w:w="7257" w:type="dxa"/>
            <w:vAlign w:val="center"/>
          </w:tcPr>
          <w:p w14:paraId="231EAE98">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30" w:lineRule="exact"/>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参照财政部《关于推动解决政府采购异常低价问题的通知》（财库〔2026〕2号），评审中出现下列情形之一的，</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61A3E788">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eastAsia="宋体" w:cs="宋体"/>
                <w:color w:val="auto"/>
                <w:highlight w:val="none"/>
                <w:u w:val="single"/>
                <w:lang w:val="en-US" w:eastAsia="zh-CN"/>
              </w:rPr>
              <w:t xml:space="preserve">  50</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eastAsia="宋体" w:cs="宋体"/>
                <w:color w:val="auto"/>
                <w:highlight w:val="none"/>
                <w:u w:val="single"/>
                <w:lang w:val="en-US" w:eastAsia="zh-CN"/>
              </w:rPr>
              <w:t xml:space="preserve"> 50</w:t>
            </w:r>
            <w:r>
              <w:rPr>
                <w:rFonts w:hint="eastAsia" w:ascii="宋体" w:hAnsi="宋体" w:eastAsia="宋体" w:cs="宋体"/>
                <w:color w:val="auto"/>
                <w:highlight w:val="none"/>
                <w:lang w:val="en-US" w:eastAsia="zh-CN"/>
              </w:rPr>
              <w:t>%；</w:t>
            </w:r>
          </w:p>
          <w:p w14:paraId="4FC8058C">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eastAsia="宋体" w:cs="宋体"/>
                <w:color w:val="auto"/>
                <w:highlight w:val="none"/>
                <w:u w:val="single"/>
                <w:lang w:val="en-US" w:eastAsia="zh-CN"/>
              </w:rPr>
              <w:t>50</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eastAsia="宋体" w:cs="宋体"/>
                <w:color w:val="auto"/>
                <w:highlight w:val="none"/>
                <w:u w:val="single"/>
                <w:lang w:val="en-US" w:eastAsia="zh-CN"/>
              </w:rPr>
              <w:t xml:space="preserve"> 50</w:t>
            </w:r>
            <w:r>
              <w:rPr>
                <w:rFonts w:hint="eastAsia" w:ascii="宋体" w:hAnsi="宋体" w:eastAsia="宋体" w:cs="宋体"/>
                <w:color w:val="auto"/>
                <w:highlight w:val="none"/>
                <w:lang w:val="en-US" w:eastAsia="zh-CN"/>
              </w:rPr>
              <w:t>%；</w:t>
            </w:r>
          </w:p>
          <w:p w14:paraId="63DDD0DC">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eastAsia="宋体" w:cs="宋体"/>
                <w:color w:val="auto"/>
                <w:highlight w:val="none"/>
                <w:u w:val="single"/>
                <w:lang w:val="en-US" w:eastAsia="zh-CN"/>
              </w:rPr>
              <w:t>45</w:t>
            </w:r>
            <w:r>
              <w:rPr>
                <w:rFonts w:hint="eastAsia" w:ascii="宋体" w:hAnsi="宋体" w:eastAsia="宋体" w:cs="宋体"/>
                <w:color w:val="auto"/>
                <w:highlight w:val="none"/>
                <w:lang w:val="en-US" w:eastAsia="zh-CN"/>
              </w:rPr>
              <w:t>%的，即响应报价&lt;采购项目最高限价×</w:t>
            </w:r>
            <w:r>
              <w:rPr>
                <w:rFonts w:hint="eastAsia" w:ascii="宋体" w:hAnsi="宋体" w:eastAsia="宋体" w:cs="宋体"/>
                <w:color w:val="auto"/>
                <w:highlight w:val="none"/>
                <w:u w:val="single"/>
                <w:lang w:val="en-US" w:eastAsia="zh-CN"/>
              </w:rPr>
              <w:t xml:space="preserve"> 45 </w:t>
            </w:r>
            <w:r>
              <w:rPr>
                <w:rFonts w:hint="eastAsia" w:ascii="宋体" w:hAnsi="宋体" w:eastAsia="宋体" w:cs="宋体"/>
                <w:color w:val="auto"/>
                <w:highlight w:val="none"/>
                <w:lang w:val="en-US" w:eastAsia="zh-CN"/>
              </w:rPr>
              <w:t>%</w:t>
            </w:r>
          </w:p>
          <w:p w14:paraId="114E4D0E">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4.磋商小组基于专业判断，认为供应商报价过低，有可能影响产品质量或者不能诚信履约的其他情形。</w:t>
            </w:r>
          </w:p>
          <w:p w14:paraId="51FB1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3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DCDA490">
            <w:pPr>
              <w:pStyle w:val="87"/>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r w14:paraId="7A32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37" w:type="dxa"/>
            <w:vAlign w:val="center"/>
          </w:tcPr>
          <w:p w14:paraId="65C24332">
            <w:pPr>
              <w:pStyle w:val="87"/>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bookmarkStart w:id="75" w:name="_Toc1086"/>
            <w:bookmarkStart w:id="76" w:name="_Toc3957"/>
          </w:p>
        </w:tc>
        <w:tc>
          <w:tcPr>
            <w:tcW w:w="1928" w:type="dxa"/>
            <w:vAlign w:val="center"/>
          </w:tcPr>
          <w:p w14:paraId="239842B3">
            <w:pPr>
              <w:pStyle w:val="87"/>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备注</w:t>
            </w:r>
          </w:p>
        </w:tc>
        <w:tc>
          <w:tcPr>
            <w:tcW w:w="7257" w:type="dxa"/>
            <w:vAlign w:val="center"/>
          </w:tcPr>
          <w:p w14:paraId="034035A0">
            <w:pPr>
              <w:pStyle w:val="87"/>
              <w:pBdr>
                <w:bottom w:val="none" w:color="auto" w:sz="0" w:space="0"/>
              </w:pBdr>
              <w:tabs>
                <w:tab w:val="clear" w:pos="4153"/>
                <w:tab w:val="clear" w:pos="8306"/>
              </w:tabs>
              <w:adjustRightInd/>
              <w:spacing w:line="440" w:lineRule="exact"/>
              <w:jc w:val="both"/>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特别提醒：供应商参与</w:t>
            </w:r>
            <w:r>
              <w:rPr>
                <w:rFonts w:hint="eastAsia" w:ascii="宋体" w:hAnsi="宋体"/>
                <w:bCs/>
                <w:color w:val="auto"/>
                <w:kern w:val="2"/>
                <w:szCs w:val="24"/>
                <w:highlight w:val="none"/>
                <w:lang w:val="en-US"/>
              </w:rPr>
              <w:t>本次</w:t>
            </w:r>
            <w:r>
              <w:rPr>
                <w:rFonts w:hint="eastAsia" w:ascii="宋体" w:hAnsi="宋体"/>
                <w:bCs/>
                <w:color w:val="auto"/>
                <w:kern w:val="2"/>
                <w:szCs w:val="24"/>
                <w:highlight w:val="none"/>
              </w:rPr>
              <w:t>采购</w:t>
            </w:r>
            <w:r>
              <w:rPr>
                <w:rFonts w:hint="eastAsia" w:ascii="宋体" w:hAnsi="宋体"/>
                <w:bCs/>
                <w:color w:val="auto"/>
                <w:kern w:val="2"/>
                <w:szCs w:val="24"/>
                <w:highlight w:val="none"/>
                <w:lang w:val="en-US"/>
              </w:rPr>
              <w:t>活动</w:t>
            </w:r>
            <w:r>
              <w:rPr>
                <w:rFonts w:hint="eastAsia" w:ascii="宋体" w:hAnsi="宋体"/>
                <w:bCs/>
                <w:color w:val="auto"/>
                <w:kern w:val="2"/>
                <w:szCs w:val="24"/>
                <w:highlight w:val="none"/>
              </w:rPr>
              <w:t>，应当诚信守法、公平竞争。如有以提供虚假材料（包括但不限于虚假技术参数响应、虚假业绩、虚假证书、虚假检测报告等）、串通投标、隐瞒失信信息等谋取中标</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val="en-US" w:eastAsia="zh-CN"/>
              </w:rPr>
              <w:t>成交</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rPr>
              <w:t>的行为，一经发现，</w:t>
            </w:r>
            <w:r>
              <w:rPr>
                <w:rFonts w:hint="eastAsia" w:ascii="宋体" w:hAnsi="宋体"/>
                <w:bCs/>
                <w:color w:val="auto"/>
                <w:kern w:val="2"/>
                <w:szCs w:val="24"/>
                <w:highlight w:val="none"/>
                <w:lang w:val="en-US"/>
              </w:rPr>
              <w:t>调查核实后取消</w:t>
            </w:r>
            <w:r>
              <w:rPr>
                <w:rFonts w:hint="eastAsia" w:ascii="宋体" w:hAnsi="宋体"/>
                <w:bCs/>
                <w:color w:val="auto"/>
                <w:kern w:val="2"/>
                <w:szCs w:val="24"/>
                <w:highlight w:val="none"/>
                <w:lang w:val="en-US" w:eastAsia="zh-CN"/>
              </w:rPr>
              <w:t>成交</w:t>
            </w:r>
            <w:r>
              <w:rPr>
                <w:rFonts w:hint="eastAsia" w:ascii="宋体" w:hAnsi="宋体"/>
                <w:bCs/>
                <w:color w:val="auto"/>
                <w:kern w:val="2"/>
                <w:szCs w:val="24"/>
                <w:highlight w:val="none"/>
                <w:lang w:val="en-US"/>
              </w:rPr>
              <w:t>资格并</w:t>
            </w:r>
            <w:r>
              <w:rPr>
                <w:rFonts w:hint="eastAsia" w:ascii="宋体" w:hAnsi="宋体"/>
                <w:bCs/>
                <w:color w:val="auto"/>
                <w:kern w:val="2"/>
                <w:szCs w:val="24"/>
                <w:highlight w:val="none"/>
                <w:lang w:val="en-US" w:eastAsia="zh-CN"/>
              </w:rPr>
              <w:t>视情况列入六安市中医院负面清单</w:t>
            </w:r>
            <w:r>
              <w:rPr>
                <w:rFonts w:hint="eastAsia" w:ascii="宋体" w:hAnsi="宋体"/>
                <w:bCs/>
                <w:color w:val="auto"/>
                <w:kern w:val="2"/>
                <w:szCs w:val="24"/>
                <w:highlight w:val="none"/>
              </w:rPr>
              <w:t>。</w:t>
            </w:r>
            <w:r>
              <w:rPr>
                <w:rFonts w:hint="eastAsia" w:ascii="宋体" w:hAnsi="宋体" w:eastAsia="宋体" w:cs="宋体"/>
                <w:color w:val="auto"/>
                <w:highlight w:val="none"/>
                <w:lang w:val="en-US" w:eastAsia="zh-CN"/>
              </w:rPr>
              <w:t>监管部门指</w:t>
            </w:r>
            <w:r>
              <w:rPr>
                <w:rFonts w:hint="eastAsia" w:ascii="宋体" w:hAnsi="宋体"/>
                <w:bCs/>
                <w:color w:val="auto"/>
                <w:sz w:val="24"/>
                <w:highlight w:val="none"/>
                <w:lang w:val="en-US" w:eastAsia="zh-CN"/>
              </w:rPr>
              <w:t>六安市中医院审计室。</w:t>
            </w:r>
          </w:p>
        </w:tc>
      </w:tr>
    </w:tbl>
    <w:p w14:paraId="035087BE">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（二）供应商资格</w:t>
      </w:r>
      <w:bookmarkEnd w:id="75"/>
      <w:bookmarkEnd w:id="76"/>
    </w:p>
    <w:bookmarkEnd w:id="72"/>
    <w:p w14:paraId="60913DC6">
      <w:pPr>
        <w:pStyle w:val="2"/>
        <w:spacing w:after="0" w:line="360" w:lineRule="auto"/>
        <w:ind w:firstLine="480" w:firstLineChars="200"/>
        <w:rPr>
          <w:rFonts w:ascii="宋体" w:hAnsi="宋体" w:cs="宋体"/>
          <w:color w:val="auto"/>
          <w:highlight w:val="none"/>
        </w:rPr>
      </w:pPr>
      <w:bookmarkStart w:id="77" w:name="_Toc438648662"/>
      <w:bookmarkStart w:id="78" w:name="_Toc216158625"/>
      <w:bookmarkStart w:id="79" w:name="_Toc363199266"/>
      <w:r>
        <w:rPr>
          <w:rFonts w:hint="eastAsia" w:ascii="宋体" w:hAnsi="宋体" w:cs="宋体"/>
          <w:color w:val="auto"/>
          <w:highlight w:val="none"/>
        </w:rPr>
        <w:t>1、合格的供应商应符合竞争性磋商公告载明的资格。</w:t>
      </w:r>
    </w:p>
    <w:p w14:paraId="7E1A78F7">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2、除非采购文件认可，否则母、子公司之间的业绩、资质不得互用。</w:t>
      </w:r>
    </w:p>
    <w:p w14:paraId="55522801">
      <w:pPr>
        <w:pStyle w:val="2"/>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3、单位负责人为同一人或者存在直接控股、管理关系的不同供应商，不得参加同一合同项下的采购活动。</w:t>
      </w:r>
    </w:p>
    <w:p w14:paraId="41A0E1D5">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供应商被行政监督部门作出禁止</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处罚且在有效期内的，或其他违反法律法</w:t>
      </w:r>
      <w:r>
        <w:rPr>
          <w:rFonts w:hint="eastAsia" w:ascii="Times New Roman" w:hAnsi="Times New Roman" w:eastAsia="宋体" w:cs="Times New Roman"/>
          <w:color w:val="auto"/>
          <w:highlight w:val="none"/>
        </w:rPr>
        <w:t>规和</w:t>
      </w:r>
      <w:r>
        <w:rPr>
          <w:rFonts w:hint="eastAsia" w:ascii="Times New Roman" w:hAnsi="Times New Roman" w:eastAsia="宋体" w:cs="Times New Roman"/>
          <w:color w:val="auto"/>
          <w:highlight w:val="none"/>
          <w:lang w:val="en-US" w:eastAsia="zh-CN"/>
        </w:rPr>
        <w:t>磋商</w:t>
      </w:r>
      <w:r>
        <w:rPr>
          <w:rFonts w:hint="eastAsia" w:ascii="Times New Roman" w:hAnsi="Times New Roman" w:eastAsia="宋体" w:cs="Times New Roman"/>
          <w:color w:val="auto"/>
          <w:highlight w:val="none"/>
        </w:rPr>
        <w:t>文件规定的</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按无效</w:t>
      </w:r>
      <w:r>
        <w:rPr>
          <w:rFonts w:hint="eastAsia" w:ascii="Times New Roman" w:hAnsi="Times New Roman" w:eastAsia="宋体" w:cs="Times New Roman"/>
          <w:color w:val="auto"/>
          <w:highlight w:val="none"/>
          <w:lang w:val="en-US" w:eastAsia="zh-CN"/>
        </w:rPr>
        <w:t>响应</w:t>
      </w:r>
      <w:r>
        <w:rPr>
          <w:rFonts w:hint="eastAsia" w:ascii="Times New Roman" w:hAnsi="Times New Roman" w:eastAsia="宋体" w:cs="Times New Roman"/>
          <w:color w:val="auto"/>
          <w:highlight w:val="none"/>
        </w:rPr>
        <w:t>处理</w:t>
      </w:r>
      <w:r>
        <w:rPr>
          <w:rFonts w:hint="eastAsia" w:ascii="Times New Roman" w:hAnsi="Times New Roman" w:eastAsia="宋体" w:cs="Times New Roman"/>
          <w:color w:val="auto"/>
          <w:highlight w:val="none"/>
          <w:lang w:eastAsia="zh-CN"/>
        </w:rPr>
        <w:t>。</w:t>
      </w:r>
    </w:p>
    <w:p w14:paraId="18D11F3C">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80" w:name="_Toc12170"/>
      <w:bookmarkStart w:id="81" w:name="_Toc11795"/>
      <w:r>
        <w:rPr>
          <w:rFonts w:hint="eastAsia" w:ascii="宋体" w:hAnsi="宋体" w:eastAsia="宋体" w:cs="宋体"/>
          <w:bCs/>
          <w:color w:val="auto"/>
          <w:kern w:val="2"/>
          <w:sz w:val="24"/>
          <w:szCs w:val="24"/>
          <w:highlight w:val="none"/>
        </w:rPr>
        <w:t>（三）供应商必须提交的响应文件内容</w:t>
      </w:r>
      <w:bookmarkEnd w:id="77"/>
      <w:bookmarkEnd w:id="78"/>
      <w:bookmarkEnd w:id="79"/>
      <w:bookmarkEnd w:id="80"/>
      <w:bookmarkEnd w:id="81"/>
    </w:p>
    <w:p w14:paraId="0181B552">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1、报价单；</w:t>
      </w:r>
    </w:p>
    <w:p w14:paraId="042C106D">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2、供应商基本信息；</w:t>
      </w:r>
    </w:p>
    <w:p w14:paraId="7609EC67">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3、磋商授权书；</w:t>
      </w:r>
    </w:p>
    <w:p w14:paraId="649AD3F6">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4、磋商响应函；</w:t>
      </w:r>
    </w:p>
    <w:p w14:paraId="15ED266A">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5、无重大违法记录声明函、无不良信用记录承诺函；</w:t>
      </w:r>
    </w:p>
    <w:p w14:paraId="58CCC7A1">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6、响应情况表；</w:t>
      </w:r>
    </w:p>
    <w:p w14:paraId="23640F64">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7、相关服务承诺函；</w:t>
      </w:r>
    </w:p>
    <w:p w14:paraId="6F7114A0">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8、磋商文件要求和供应商认为需要提供的其它说明和资料。 </w:t>
      </w:r>
    </w:p>
    <w:p w14:paraId="3F2803AC">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82" w:name="_Toc16735"/>
      <w:bookmarkStart w:id="83" w:name="_Toc4167"/>
      <w:r>
        <w:rPr>
          <w:rFonts w:hint="eastAsia" w:ascii="宋体" w:hAnsi="宋体" w:eastAsia="宋体" w:cs="宋体"/>
          <w:bCs/>
          <w:color w:val="auto"/>
          <w:kern w:val="2"/>
          <w:sz w:val="24"/>
          <w:szCs w:val="24"/>
          <w:highlight w:val="none"/>
        </w:rPr>
        <w:t>（四）响应文件的提交</w:t>
      </w:r>
      <w:bookmarkEnd w:id="82"/>
      <w:bookmarkEnd w:id="83"/>
    </w:p>
    <w:p w14:paraId="0738290B">
      <w:pPr>
        <w:pStyle w:val="2"/>
        <w:spacing w:after="0" w:line="360" w:lineRule="auto"/>
        <w:ind w:firstLine="480" w:firstLineChars="200"/>
        <w:rPr>
          <w:rFonts w:ascii="宋体" w:hAnsi="宋体" w:cs="宋体"/>
          <w:color w:val="auto"/>
          <w:highlight w:val="none"/>
        </w:rPr>
      </w:pPr>
      <w:bookmarkStart w:id="84" w:name="_Toc16381"/>
      <w:r>
        <w:rPr>
          <w:rFonts w:hint="eastAsia" w:ascii="宋体" w:hAnsi="宋体" w:cs="宋体"/>
          <w:color w:val="auto"/>
          <w:highlight w:val="none"/>
        </w:rPr>
        <w:t>1、响应文件的提交</w:t>
      </w:r>
      <w:bookmarkEnd w:id="84"/>
    </w:p>
    <w:p w14:paraId="4F7FE585">
      <w:pPr>
        <w:pStyle w:val="2"/>
        <w:spacing w:after="0" w:line="360" w:lineRule="auto"/>
        <w:ind w:firstLine="480" w:firstLineChars="200"/>
        <w:rPr>
          <w:rFonts w:ascii="宋体" w:hAnsi="宋体" w:cs="宋体"/>
          <w:color w:val="auto"/>
          <w:highlight w:val="none"/>
        </w:rPr>
      </w:pPr>
      <w:bookmarkStart w:id="85" w:name="_Toc28899"/>
      <w:r>
        <w:rPr>
          <w:rFonts w:hint="eastAsia" w:ascii="宋体" w:hAnsi="宋体" w:cs="宋体"/>
          <w:color w:val="auto"/>
          <w:highlight w:val="none"/>
        </w:rPr>
        <w:t>详见供应商须知前附表。</w:t>
      </w:r>
    </w:p>
    <w:bookmarkEnd w:id="73"/>
    <w:bookmarkEnd w:id="74"/>
    <w:bookmarkEnd w:id="85"/>
    <w:p w14:paraId="73BD8B89">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86" w:name="_Toc15950"/>
      <w:bookmarkStart w:id="87" w:name="_Toc9183"/>
      <w:bookmarkStart w:id="88" w:name="_Toc5749"/>
      <w:r>
        <w:rPr>
          <w:rFonts w:hint="eastAsia" w:ascii="宋体" w:hAnsi="宋体" w:eastAsia="宋体" w:cs="宋体"/>
          <w:bCs/>
          <w:color w:val="auto"/>
          <w:kern w:val="2"/>
          <w:sz w:val="24"/>
          <w:szCs w:val="24"/>
          <w:highlight w:val="none"/>
        </w:rPr>
        <w:t>（五）磋商程序</w:t>
      </w:r>
      <w:bookmarkEnd w:id="86"/>
      <w:bookmarkEnd w:id="87"/>
      <w:bookmarkEnd w:id="88"/>
    </w:p>
    <w:p w14:paraId="2F54D8D1">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1、磋商人员是按规定组成的三人或三人以上的磋商小组。</w:t>
      </w:r>
    </w:p>
    <w:p w14:paraId="015AEBFB">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2、在掌握了供应商的基本情况后，磋商小组将按供应商签到顺序，与供应商分别进行磋商。</w:t>
      </w:r>
    </w:p>
    <w:p w14:paraId="4D0A1D5B">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3、磋商是分别单独进行的。供应商不得与其他参与磋商的供应商相互串通；磋商小组也不得将与某一供应商的磋商情况向其他供应商及其关系人透露。</w:t>
      </w:r>
    </w:p>
    <w:p w14:paraId="32EB3C83">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4、磋商采用一轮磋商、两轮报价的方式进行。但最终采取多少轮磋商，由磋商小组视情况而定。</w:t>
      </w:r>
    </w:p>
    <w:p w14:paraId="03B3F24A">
      <w:pPr>
        <w:pStyle w:val="2"/>
        <w:spacing w:after="0" w:line="360" w:lineRule="auto"/>
        <w:ind w:firstLine="480" w:firstLineChars="200"/>
        <w:rPr>
          <w:rFonts w:hint="eastAsia" w:ascii="宋体" w:hAnsi="宋体" w:cs="宋体"/>
          <w:color w:val="auto"/>
          <w:highlight w:val="none"/>
        </w:rPr>
      </w:pPr>
      <w:bookmarkStart w:id="89" w:name="_Toc8817"/>
      <w:bookmarkStart w:id="90" w:name="_Toc6912"/>
      <w:r>
        <w:rPr>
          <w:rFonts w:hint="eastAsia" w:ascii="宋体" w:hAnsi="宋体" w:cs="宋体"/>
          <w:color w:val="auto"/>
          <w:highlight w:val="none"/>
        </w:rPr>
        <w:t>5、磋商结束后，磋商小组将要求所有符合条件的供应商在规定的时间内进行最后的报价。供应商应在磋商小组发出二轮报价要求后30分钟内通过现场完成报价并提交。</w:t>
      </w:r>
      <w:bookmarkEnd w:id="89"/>
      <w:bookmarkEnd w:id="90"/>
    </w:p>
    <w:p w14:paraId="6D8598CF">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6、供应商必须在规定的时间内将自己在磋商中作出的澄清、变动以及最终的报价，经供应商的法定代表人或委托代理人签字或盖章后，提交给磋商小组。</w:t>
      </w:r>
    </w:p>
    <w:p w14:paraId="1D229450">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91" w:name="_Toc7501"/>
      <w:bookmarkStart w:id="92" w:name="_Toc31442"/>
      <w:bookmarkStart w:id="93" w:name="_Toc2239"/>
      <w:r>
        <w:rPr>
          <w:rFonts w:hint="eastAsia" w:ascii="宋体" w:hAnsi="宋体" w:eastAsia="宋体" w:cs="宋体"/>
          <w:bCs/>
          <w:color w:val="auto"/>
          <w:kern w:val="2"/>
          <w:sz w:val="24"/>
          <w:szCs w:val="24"/>
          <w:highlight w:val="none"/>
        </w:rPr>
        <w:t>（六）评审及异常情况处理</w:t>
      </w:r>
      <w:bookmarkEnd w:id="91"/>
      <w:bookmarkEnd w:id="92"/>
      <w:bookmarkEnd w:id="93"/>
    </w:p>
    <w:p w14:paraId="64FEB25C">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1、磋商小组将遵循公平、公正的原则，对供应商最终提交的确认价进行综合评审，根据得分由高到低顺序推荐不少于3名成交候选供应商。</w:t>
      </w:r>
    </w:p>
    <w:p w14:paraId="79527526">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2、磋商时出现以下情况之一的，将予以废标：</w:t>
      </w:r>
    </w:p>
    <w:p w14:paraId="5C97525B">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（1）符合专业条件的供应商或者对采购文件作实质性响应的供应商不足</w:t>
      </w:r>
      <w:r>
        <w:rPr>
          <w:rFonts w:hint="eastAsia" w:ascii="宋体" w:hAnsi="宋体" w:cs="宋体"/>
          <w:color w:val="auto"/>
          <w:highlight w:val="none"/>
          <w:lang w:val="en-US" w:eastAsia="zh-CN"/>
        </w:rPr>
        <w:t>3家</w:t>
      </w:r>
      <w:r>
        <w:rPr>
          <w:rFonts w:hint="eastAsia" w:ascii="宋体" w:hAnsi="宋体" w:cs="宋体"/>
          <w:color w:val="auto"/>
          <w:highlight w:val="none"/>
        </w:rPr>
        <w:t>的；</w:t>
      </w:r>
    </w:p>
    <w:p w14:paraId="2CB3B88C">
      <w:pPr>
        <w:pStyle w:val="2"/>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 w:val="24"/>
          <w:szCs w:val="24"/>
          <w:highlight w:val="none"/>
        </w:rPr>
        <w:t>供应商的报价均超过了采购预算，经过多轮磋商仍不能降到预算内且采购人不能支付的；</w:t>
      </w:r>
    </w:p>
    <w:p w14:paraId="6D151B14">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（3）经过磋商，供应商所提供的服务仍无法满足磋商文件实质性要求、影响工作的；</w:t>
      </w:r>
    </w:p>
    <w:p w14:paraId="44D97D4A">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（4）出现影响采购公正的违法、违规行为的；</w:t>
      </w:r>
    </w:p>
    <w:p w14:paraId="1E110460">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（5）因重大变故，采购任务取消的。</w:t>
      </w:r>
    </w:p>
    <w:p w14:paraId="334F5AB2">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3、重新组织磋商，采购</w:t>
      </w:r>
      <w:r>
        <w:rPr>
          <w:rFonts w:hint="eastAsia" w:ascii="宋体" w:hAnsi="宋体" w:cs="宋体"/>
          <w:color w:val="auto"/>
          <w:highlight w:val="none"/>
          <w:lang w:val="en-US" w:eastAsia="zh-CN"/>
        </w:rPr>
        <w:t>人将另行</w:t>
      </w:r>
      <w:r>
        <w:rPr>
          <w:rFonts w:hint="eastAsia" w:ascii="宋体" w:hAnsi="宋体" w:cs="宋体"/>
          <w:color w:val="auto"/>
          <w:highlight w:val="none"/>
        </w:rPr>
        <w:t>公告</w:t>
      </w:r>
      <w:r>
        <w:rPr>
          <w:rFonts w:hint="eastAsia" w:ascii="宋体" w:hAnsi="宋体" w:cs="宋体"/>
          <w:color w:val="auto"/>
          <w:highlight w:val="none"/>
          <w:lang w:val="en-US" w:eastAsia="zh-CN"/>
        </w:rPr>
        <w:t>或通知</w:t>
      </w:r>
      <w:r>
        <w:rPr>
          <w:rFonts w:hint="eastAsia" w:ascii="宋体" w:hAnsi="宋体" w:cs="宋体"/>
          <w:color w:val="auto"/>
          <w:highlight w:val="none"/>
        </w:rPr>
        <w:t>。</w:t>
      </w:r>
    </w:p>
    <w:p w14:paraId="6CE5DA6D">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94" w:name="_Toc16849"/>
      <w:bookmarkStart w:id="95" w:name="_Toc26448"/>
      <w:r>
        <w:rPr>
          <w:rFonts w:hint="eastAsia" w:ascii="宋体" w:hAnsi="宋体" w:eastAsia="宋体" w:cs="宋体"/>
          <w:bCs/>
          <w:color w:val="auto"/>
          <w:kern w:val="2"/>
          <w:sz w:val="24"/>
          <w:szCs w:val="24"/>
          <w:highlight w:val="none"/>
        </w:rPr>
        <w:t>（七）报价响应及答疑</w:t>
      </w:r>
      <w:bookmarkEnd w:id="94"/>
      <w:bookmarkEnd w:id="95"/>
    </w:p>
    <w:p w14:paraId="5ADD0E50">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1、响应供应商的报价应包含所投服务、保险、税费、验收和交付后约定期限内免费售后服务等工作所发生的一切应有费用。</w:t>
      </w:r>
      <w:r>
        <w:rPr>
          <w:rFonts w:hint="eastAsia" w:ascii="宋体" w:hAnsi="宋体" w:cs="宋体"/>
          <w:color w:val="auto"/>
          <w:highlight w:val="none"/>
          <w:lang w:val="en-US" w:eastAsia="zh-CN"/>
        </w:rPr>
        <w:t>供应商的最后</w:t>
      </w:r>
      <w:r>
        <w:rPr>
          <w:rFonts w:hint="eastAsia" w:ascii="宋体" w:hAnsi="宋体" w:cs="宋体"/>
          <w:color w:val="auto"/>
          <w:highlight w:val="none"/>
        </w:rPr>
        <w:t>报价为签订合同的依据。</w:t>
      </w:r>
    </w:p>
    <w:p w14:paraId="38461A0D">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2、除非磋商文件另有规定或经采购人同意的，响应报价不得</w:t>
      </w:r>
      <w:r>
        <w:rPr>
          <w:rFonts w:hint="eastAsia" w:ascii="宋体" w:hAnsi="宋体" w:cs="宋体"/>
          <w:color w:val="auto"/>
          <w:highlight w:val="none"/>
          <w:lang w:val="en-US" w:eastAsia="zh-CN"/>
        </w:rPr>
        <w:t>高于</w:t>
      </w:r>
      <w:r>
        <w:rPr>
          <w:rFonts w:hint="eastAsia" w:ascii="宋体" w:hAnsi="宋体" w:cs="宋体"/>
          <w:color w:val="auto"/>
          <w:highlight w:val="none"/>
        </w:rPr>
        <w:t>磋商文件（</w:t>
      </w:r>
      <w:r>
        <w:rPr>
          <w:rFonts w:hint="eastAsia" w:ascii="宋体" w:hAnsi="宋体" w:cs="宋体"/>
          <w:color w:val="auto"/>
          <w:highlight w:val="none"/>
          <w:lang w:val="en-US" w:eastAsia="zh-CN"/>
        </w:rPr>
        <w:t>磋商邀请</w:t>
      </w:r>
      <w:r>
        <w:rPr>
          <w:rFonts w:hint="eastAsia" w:ascii="宋体" w:hAnsi="宋体" w:cs="宋体"/>
          <w:color w:val="auto"/>
          <w:highlight w:val="none"/>
        </w:rPr>
        <w:t>）列明的</w:t>
      </w:r>
      <w:r>
        <w:rPr>
          <w:rFonts w:hint="eastAsia" w:ascii="宋体" w:hAnsi="宋体" w:cs="宋体"/>
          <w:color w:val="auto"/>
          <w:highlight w:val="none"/>
          <w:lang w:val="en-US" w:eastAsia="zh-CN"/>
        </w:rPr>
        <w:t>最高限价</w:t>
      </w:r>
      <w:r>
        <w:rPr>
          <w:rFonts w:hint="eastAsia" w:ascii="宋体" w:hAnsi="宋体" w:cs="宋体"/>
          <w:color w:val="auto"/>
          <w:highlight w:val="none"/>
        </w:rPr>
        <w:t>。</w:t>
      </w:r>
    </w:p>
    <w:p w14:paraId="47810D75">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3、除非磋商文件另有规定，只允许有一个响应报价或最终报价，任何有选择的报价或替代方案将导致响应无效。</w:t>
      </w:r>
    </w:p>
    <w:p w14:paraId="209CF602">
      <w:pPr>
        <w:pStyle w:val="2"/>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4、供应商应自行对服务现场和周围环境进行勘察，以获取编制响应文件和签署合同所需的资料。勘察现场所发生的费用由供应商自己承担。采购人向供应商提供的有关</w:t>
      </w:r>
      <w:r>
        <w:rPr>
          <w:rFonts w:hint="eastAsia" w:ascii="宋体" w:hAnsi="宋体" w:cs="宋体"/>
          <w:color w:val="auto"/>
          <w:highlight w:val="none"/>
          <w:lang w:val="en-US" w:eastAsia="zh-CN"/>
        </w:rPr>
        <w:t>服务</w:t>
      </w:r>
      <w:r>
        <w:rPr>
          <w:rFonts w:hint="eastAsia" w:ascii="宋体" w:hAnsi="宋体" w:cs="宋体"/>
          <w:color w:val="auto"/>
          <w:highlight w:val="none"/>
        </w:rPr>
        <w:t>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w:t>
      </w:r>
      <w:r>
        <w:rPr>
          <w:rFonts w:hint="eastAsia" w:ascii="宋体" w:hAnsi="宋体" w:cs="宋体"/>
          <w:color w:val="auto"/>
          <w:highlight w:val="none"/>
          <w:lang w:val="en-US" w:eastAsia="zh-CN"/>
        </w:rPr>
        <w:t>增加</w:t>
      </w:r>
      <w:r>
        <w:rPr>
          <w:rFonts w:hint="eastAsia" w:ascii="宋体" w:hAnsi="宋体" w:cs="宋体"/>
          <w:color w:val="auto"/>
          <w:highlight w:val="none"/>
        </w:rPr>
        <w:t>合同</w:t>
      </w:r>
      <w:r>
        <w:rPr>
          <w:rFonts w:hint="eastAsia" w:ascii="宋体" w:hAnsi="宋体" w:cs="宋体"/>
          <w:color w:val="auto"/>
          <w:highlight w:val="none"/>
          <w:lang w:val="en-US" w:eastAsia="zh-CN"/>
        </w:rPr>
        <w:t>价格</w:t>
      </w:r>
      <w:r>
        <w:rPr>
          <w:rFonts w:hint="eastAsia" w:ascii="宋体" w:hAnsi="宋体" w:cs="宋体"/>
          <w:color w:val="auto"/>
          <w:highlight w:val="none"/>
        </w:rPr>
        <w:t>或索赔的要求。</w:t>
      </w:r>
    </w:p>
    <w:p w14:paraId="5DD590A2">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5、供应商如果对磋商文件的其他任何内容有相关疑问，可以按供应商须知前附表规定的方式提出（疑问文件以文档形式提供，如WORD文档等）。</w:t>
      </w:r>
    </w:p>
    <w:p w14:paraId="3F2EE63D">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6、供应商应确保其所提供的响应资料的真实性、有效性及合法性，否则，由此引起的任何责任由其自行承担。</w:t>
      </w:r>
    </w:p>
    <w:p w14:paraId="134B6832">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bookmarkStart w:id="96" w:name="_Toc19320"/>
      <w:bookmarkStart w:id="97" w:name="_Toc18372"/>
      <w:r>
        <w:rPr>
          <w:rFonts w:hint="eastAsia" w:ascii="宋体" w:hAnsi="宋体" w:eastAsia="宋体" w:cs="宋体"/>
          <w:bCs/>
          <w:color w:val="auto"/>
          <w:kern w:val="2"/>
          <w:sz w:val="24"/>
          <w:szCs w:val="24"/>
          <w:highlight w:val="none"/>
        </w:rPr>
        <w:t>（八）合同的签订</w:t>
      </w:r>
      <w:bookmarkEnd w:id="96"/>
      <w:bookmarkEnd w:id="97"/>
    </w:p>
    <w:p w14:paraId="6856E4A0">
      <w:pPr>
        <w:pageBreakBefore w:val="0"/>
        <w:kinsoku/>
        <w:wordWrap/>
        <w:overflowPunct/>
        <w:topLinePunct w:val="0"/>
        <w:autoSpaceDE/>
        <w:autoSpaceDN/>
        <w:bidi w:val="0"/>
        <w:snapToGrid/>
        <w:spacing w:line="490" w:lineRule="exact"/>
        <w:ind w:firstLine="480" w:firstLineChars="200"/>
        <w:jc w:val="left"/>
        <w:rPr>
          <w:rFonts w:ascii="宋体" w:hAnsi="宋体" w:eastAsia="宋体" w:cs="Arial"/>
          <w:color w:val="auto"/>
          <w:sz w:val="24"/>
          <w:szCs w:val="24"/>
          <w:highlight w:val="none"/>
        </w:rPr>
      </w:pPr>
      <w:bookmarkStart w:id="98" w:name="_Toc8672"/>
      <w:bookmarkStart w:id="99" w:name="_Toc1739"/>
      <w:r>
        <w:rPr>
          <w:rFonts w:hint="eastAsia" w:ascii="宋体" w:hAnsi="宋体" w:eastAsia="宋体" w:cs="Arial"/>
          <w:color w:val="auto"/>
          <w:sz w:val="24"/>
          <w:szCs w:val="24"/>
          <w:highlight w:val="none"/>
        </w:rPr>
        <w:t>1、采购人应尽量缩短采购合同签订时间，不得晚于中标（成交）通知书发放之日起</w:t>
      </w:r>
      <w:r>
        <w:rPr>
          <w:rFonts w:hint="eastAsia" w:ascii="宋体" w:hAnsi="宋体" w:cs="Arial"/>
          <w:color w:val="auto"/>
          <w:sz w:val="24"/>
          <w:szCs w:val="24"/>
          <w:highlight w:val="none"/>
          <w:lang w:val="en-US" w:eastAsia="zh-CN"/>
        </w:rPr>
        <w:t>一个月</w:t>
      </w:r>
      <w:r>
        <w:rPr>
          <w:rFonts w:hint="eastAsia" w:ascii="宋体" w:hAnsi="宋体" w:eastAsia="宋体" w:cs="Arial"/>
          <w:color w:val="auto"/>
          <w:sz w:val="24"/>
          <w:szCs w:val="24"/>
          <w:highlight w:val="none"/>
        </w:rPr>
        <w:t>。无正当理由不得拒绝或者拖延签订合同，因供应商自身原因导致无法及时签订的除外。采购文件、成交供应商的响应文件及澄清文件等，均作为合同的附件。</w:t>
      </w:r>
    </w:p>
    <w:p w14:paraId="7174343B">
      <w:pPr>
        <w:pageBreakBefore w:val="0"/>
        <w:kinsoku/>
        <w:wordWrap/>
        <w:overflowPunct/>
        <w:topLinePunct w:val="0"/>
        <w:autoSpaceDE/>
        <w:autoSpaceDN/>
        <w:bidi w:val="0"/>
        <w:snapToGrid/>
        <w:spacing w:line="490" w:lineRule="exact"/>
        <w:ind w:firstLine="480" w:firstLineChars="200"/>
        <w:jc w:val="left"/>
        <w:rPr>
          <w:rFonts w:ascii="宋体" w:hAnsi="宋体" w:eastAsia="宋体" w:cs="Arial"/>
          <w:color w:val="auto"/>
          <w:sz w:val="24"/>
          <w:szCs w:val="24"/>
          <w:highlight w:val="none"/>
        </w:rPr>
      </w:pPr>
      <w:r>
        <w:rPr>
          <w:rFonts w:hint="eastAsia" w:ascii="宋体" w:hAnsi="宋体" w:eastAsia="宋体" w:cs="Arial"/>
          <w:color w:val="auto"/>
          <w:sz w:val="24"/>
          <w:szCs w:val="24"/>
          <w:highlight w:val="none"/>
          <w:lang w:val="en-US" w:eastAsia="zh-CN"/>
        </w:rPr>
        <w:t>2</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eastAsia="宋体" w:cs="Arial"/>
          <w:color w:val="auto"/>
          <w:sz w:val="24"/>
          <w:szCs w:val="24"/>
          <w:highlight w:val="none"/>
        </w:rPr>
        <w:t>或重新组织采购。</w:t>
      </w:r>
    </w:p>
    <w:p w14:paraId="646988F8">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Arial"/>
          <w:color w:val="auto"/>
          <w:sz w:val="24"/>
          <w:szCs w:val="24"/>
          <w:highlight w:val="none"/>
          <w:lang w:eastAsia="zh-CN"/>
        </w:rPr>
      </w:pPr>
      <w:r>
        <w:rPr>
          <w:rFonts w:hint="eastAsia" w:ascii="宋体" w:hAnsi="宋体" w:eastAsia="宋体" w:cs="Arial"/>
          <w:color w:val="auto"/>
          <w:sz w:val="24"/>
          <w:szCs w:val="24"/>
          <w:highlight w:val="none"/>
          <w:lang w:val="en-US" w:eastAsia="zh-CN"/>
        </w:rPr>
        <w:t>3</w:t>
      </w:r>
      <w:r>
        <w:rPr>
          <w:rFonts w:hint="eastAsia" w:ascii="宋体" w:hAnsi="宋体" w:eastAsia="宋体" w:cs="Arial"/>
          <w:color w:val="auto"/>
          <w:sz w:val="24"/>
          <w:szCs w:val="24"/>
          <w:highlight w:val="none"/>
        </w:rPr>
        <w:t>、</w:t>
      </w:r>
      <w:r>
        <w:rPr>
          <w:rFonts w:hint="eastAsia" w:ascii="宋体" w:hAnsi="宋体" w:eastAsia="宋体" w:cs="Arial"/>
          <w:color w:val="auto"/>
          <w:sz w:val="24"/>
          <w:szCs w:val="24"/>
          <w:highlight w:val="none"/>
          <w:lang w:eastAsia="zh-CN"/>
        </w:rPr>
        <w:t>成交供应商无正当理由不与采购人订立合同的，</w:t>
      </w:r>
      <w:r>
        <w:rPr>
          <w:rFonts w:hint="eastAsia" w:ascii="宋体" w:hAnsi="宋体" w:cs="Arial"/>
          <w:color w:val="auto"/>
          <w:sz w:val="24"/>
          <w:szCs w:val="24"/>
          <w:highlight w:val="none"/>
          <w:lang w:val="en-US" w:eastAsia="zh-CN"/>
        </w:rPr>
        <w:t>视情况</w:t>
      </w:r>
      <w:r>
        <w:rPr>
          <w:rFonts w:hint="eastAsia" w:ascii="宋体" w:hAnsi="宋体" w:eastAsia="宋体" w:cs="Arial"/>
          <w:color w:val="auto"/>
          <w:sz w:val="24"/>
          <w:szCs w:val="24"/>
          <w:highlight w:val="none"/>
          <w:lang w:eastAsia="zh-CN"/>
        </w:rPr>
        <w:t>纳入六安市中医院负面清单。</w:t>
      </w:r>
    </w:p>
    <w:p w14:paraId="72E6C54D">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Arial"/>
          <w:color w:val="auto"/>
          <w:sz w:val="24"/>
          <w:szCs w:val="24"/>
          <w:highlight w:val="none"/>
          <w:lang w:eastAsia="zh-CN"/>
        </w:rPr>
      </w:pPr>
      <w:r>
        <w:rPr>
          <w:rFonts w:hint="eastAsia" w:ascii="宋体" w:hAnsi="宋体" w:eastAsia="宋体" w:cs="Arial"/>
          <w:color w:val="auto"/>
          <w:sz w:val="24"/>
          <w:szCs w:val="24"/>
          <w:highlight w:val="none"/>
          <w:lang w:eastAsia="zh-CN"/>
        </w:rPr>
        <w:t>依据：</w:t>
      </w:r>
    </w:p>
    <w:p w14:paraId="040C2D36">
      <w:pPr>
        <w:pageBreakBefore w:val="0"/>
        <w:kinsoku/>
        <w:wordWrap/>
        <w:overflowPunct/>
        <w:topLinePunct w:val="0"/>
        <w:autoSpaceDE/>
        <w:autoSpaceDN/>
        <w:bidi w:val="0"/>
        <w:snapToGrid/>
        <w:spacing w:line="490" w:lineRule="exact"/>
        <w:ind w:firstLine="480" w:firstLineChars="200"/>
        <w:jc w:val="lef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w:t>
      </w:r>
      <w:r>
        <w:rPr>
          <w:rFonts w:hint="eastAsia" w:ascii="宋体" w:hAnsi="宋体" w:eastAsia="宋体" w:cs="Arial"/>
          <w:color w:val="auto"/>
          <w:sz w:val="24"/>
          <w:szCs w:val="24"/>
          <w:highlight w:val="none"/>
          <w:lang w:val="en-US" w:eastAsia="zh-CN"/>
        </w:rPr>
        <w:t>1</w:t>
      </w:r>
      <w:r>
        <w:rPr>
          <w:rFonts w:hint="eastAsia" w:ascii="宋体" w:hAnsi="宋体" w:eastAsia="宋体" w:cs="Arial"/>
          <w:color w:val="auto"/>
          <w:sz w:val="24"/>
          <w:szCs w:val="24"/>
          <w:highlight w:val="none"/>
        </w:rPr>
        <w:t>）</w:t>
      </w:r>
      <w:r>
        <w:rPr>
          <w:rFonts w:hint="eastAsia" w:ascii="宋体" w:hAnsi="宋体" w:eastAsia="宋体" w:cs="Arial"/>
          <w:color w:val="auto"/>
          <w:sz w:val="24"/>
          <w:szCs w:val="24"/>
          <w:highlight w:val="none"/>
          <w:lang w:val="en-US" w:eastAsia="zh-CN"/>
        </w:rPr>
        <w:t>参照</w:t>
      </w:r>
      <w:r>
        <w:rPr>
          <w:rFonts w:hint="eastAsia" w:ascii="宋体" w:hAnsi="宋体" w:eastAsia="宋体" w:cs="Arial"/>
          <w:color w:val="auto"/>
          <w:sz w:val="24"/>
          <w:szCs w:val="24"/>
          <w:highlight w:val="none"/>
        </w:rPr>
        <w:t>《中华人民共和国政府采购法实施条例》</w:t>
      </w:r>
    </w:p>
    <w:p w14:paraId="0695DFFF">
      <w:pPr>
        <w:pageBreakBefore w:val="0"/>
        <w:kinsoku/>
        <w:wordWrap/>
        <w:overflowPunct/>
        <w:topLinePunct w:val="0"/>
        <w:autoSpaceDE/>
        <w:autoSpaceDN/>
        <w:bidi w:val="0"/>
        <w:snapToGrid/>
        <w:spacing w:line="490" w:lineRule="exact"/>
        <w:ind w:firstLine="480" w:firstLineChars="200"/>
        <w:jc w:val="lef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第七十二条 供应商有下列情形之一的，依照政府采购法第七十七条第一款的规定追究法律责任：……</w:t>
      </w:r>
    </w:p>
    <w:p w14:paraId="79A8C315">
      <w:pPr>
        <w:pageBreakBefore w:val="0"/>
        <w:kinsoku/>
        <w:wordWrap/>
        <w:overflowPunct/>
        <w:topLinePunct w:val="0"/>
        <w:autoSpaceDE/>
        <w:autoSpaceDN/>
        <w:bidi w:val="0"/>
        <w:snapToGrid/>
        <w:spacing w:line="490" w:lineRule="exact"/>
        <w:ind w:firstLine="480" w:firstLineChars="200"/>
        <w:jc w:val="lef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（二）中标或者成交后无正当理由拒不与采购人签订政府采购合同；……</w:t>
      </w:r>
    </w:p>
    <w:p w14:paraId="598EC95B">
      <w:pPr>
        <w:pageBreakBefore w:val="0"/>
        <w:kinsoku/>
        <w:wordWrap/>
        <w:overflowPunct/>
        <w:topLinePunct w:val="0"/>
        <w:autoSpaceDE/>
        <w:autoSpaceDN/>
        <w:bidi w:val="0"/>
        <w:snapToGrid/>
        <w:spacing w:line="490" w:lineRule="exact"/>
        <w:ind w:firstLine="480" w:firstLineChars="200"/>
        <w:jc w:val="lef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w:t>
      </w:r>
      <w:r>
        <w:rPr>
          <w:rFonts w:hint="eastAsia" w:ascii="宋体" w:hAnsi="宋体" w:eastAsia="宋体" w:cs="Arial"/>
          <w:color w:val="auto"/>
          <w:sz w:val="24"/>
          <w:szCs w:val="24"/>
          <w:highlight w:val="none"/>
          <w:lang w:val="en-US" w:eastAsia="zh-CN"/>
        </w:rPr>
        <w:t>2</w:t>
      </w:r>
      <w:r>
        <w:rPr>
          <w:rFonts w:hint="eastAsia" w:ascii="宋体" w:hAnsi="宋体" w:eastAsia="宋体" w:cs="Arial"/>
          <w:color w:val="auto"/>
          <w:sz w:val="24"/>
          <w:szCs w:val="24"/>
          <w:highlight w:val="none"/>
        </w:rPr>
        <w:t>）</w:t>
      </w:r>
      <w:r>
        <w:rPr>
          <w:rFonts w:hint="eastAsia" w:ascii="宋体" w:hAnsi="宋体" w:eastAsia="宋体" w:cs="Arial"/>
          <w:color w:val="auto"/>
          <w:sz w:val="24"/>
          <w:szCs w:val="24"/>
          <w:highlight w:val="none"/>
          <w:lang w:val="en-US" w:eastAsia="zh-CN"/>
        </w:rPr>
        <w:t>参照</w:t>
      </w:r>
      <w:r>
        <w:rPr>
          <w:rFonts w:hint="eastAsia" w:ascii="宋体" w:hAnsi="宋体" w:eastAsia="宋体" w:cs="Arial"/>
          <w:color w:val="auto"/>
          <w:sz w:val="24"/>
          <w:szCs w:val="24"/>
          <w:highlight w:val="none"/>
        </w:rPr>
        <w:t>《中华人民共和国政府采购法》</w:t>
      </w:r>
    </w:p>
    <w:p w14:paraId="60DB7DA4">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E90460D">
      <w:pPr>
        <w:pageBreakBefore w:val="0"/>
        <w:widowControl w:val="0"/>
        <w:kinsoku/>
        <w:wordWrap/>
        <w:overflowPunct/>
        <w:topLinePunct w:val="0"/>
        <w:autoSpaceDE/>
        <w:autoSpaceDN/>
        <w:bidi w:val="0"/>
        <w:snapToGrid/>
        <w:spacing w:after="0" w:line="490" w:lineRule="exact"/>
        <w:ind w:firstLine="480" w:firstLineChars="200"/>
        <w:jc w:val="both"/>
        <w:rPr>
          <w:rFonts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（3）参照《政府采购非招标采购方式管理办法》（财政部令第74号）</w:t>
      </w:r>
    </w:p>
    <w:p w14:paraId="7D175893">
      <w:pPr>
        <w:pageBreakBefore w:val="0"/>
        <w:widowControl w:val="0"/>
        <w:kinsoku/>
        <w:wordWrap/>
        <w:overflowPunct/>
        <w:topLinePunct w:val="0"/>
        <w:autoSpaceDE/>
        <w:autoSpaceDN/>
        <w:bidi w:val="0"/>
        <w:snapToGrid/>
        <w:spacing w:after="0" w:line="490" w:lineRule="exact"/>
        <w:ind w:firstLine="480" w:firstLineChars="200"/>
        <w:jc w:val="both"/>
        <w:rPr>
          <w:rFonts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第五十四条 成交供应商有下列情形之一的，责令限期整改，情节严重的，列入不良行为记录名单……</w:t>
      </w:r>
    </w:p>
    <w:p w14:paraId="145EDB56">
      <w:pPr>
        <w:pageBreakBefore w:val="0"/>
        <w:widowControl w:val="0"/>
        <w:kinsoku/>
        <w:wordWrap/>
        <w:overflowPunct/>
        <w:topLinePunct w:val="0"/>
        <w:autoSpaceDE/>
        <w:autoSpaceDN/>
        <w:bidi w:val="0"/>
        <w:snapToGrid/>
        <w:spacing w:after="0" w:line="490" w:lineRule="exact"/>
        <w:ind w:firstLine="480" w:firstLineChars="200"/>
        <w:jc w:val="both"/>
        <w:rPr>
          <w:rFonts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（二）成交后无正当理由不与采购人签订合同的；……</w:t>
      </w:r>
    </w:p>
    <w:p w14:paraId="63A58241">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val="en-US" w:eastAsia="zh-CN"/>
        </w:rPr>
        <w:t>4、合同终止：成交供应商在合同有效期内，不得以任何理由终止合同，确有特殊情况的，须提前三个月向采购人提出书面申请，经采购人书面同意后方可终止合同。 因成交供应商不能保证工作质量或发生重大差错事故的，采购人可有权终止合同，由成交供应商承担全部责任。</w:t>
      </w:r>
    </w:p>
    <w:p w14:paraId="578C9DD1">
      <w:pPr>
        <w:pStyle w:val="5"/>
        <w:adjustRightInd/>
        <w:spacing w:before="120" w:beforeLines="50" w:after="120" w:afterLines="50" w:line="360" w:lineRule="auto"/>
        <w:jc w:val="center"/>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（九）澄清及变更</w:t>
      </w:r>
      <w:bookmarkEnd w:id="98"/>
      <w:bookmarkEnd w:id="99"/>
    </w:p>
    <w:p w14:paraId="1CA2B5B3">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磋商文件如有澄清及变更，</w:t>
      </w:r>
      <w:r>
        <w:rPr>
          <w:rFonts w:hint="eastAsia" w:ascii="宋体" w:hAnsi="宋体" w:eastAsia="宋体" w:cs="宋体"/>
          <w:color w:val="auto"/>
          <w:highlight w:val="none"/>
          <w:lang w:val="en-US" w:eastAsia="zh-CN"/>
        </w:rPr>
        <w:t>按供应商须知前附表的规定</w:t>
      </w:r>
      <w:r>
        <w:rPr>
          <w:rFonts w:hint="eastAsia" w:ascii="宋体" w:hAnsi="宋体" w:eastAsia="宋体" w:cs="宋体"/>
          <w:color w:val="auto"/>
          <w:highlight w:val="none"/>
        </w:rPr>
        <w:t>发布，</w:t>
      </w:r>
      <w:r>
        <w:rPr>
          <w:rFonts w:hint="eastAsia" w:ascii="宋体" w:hAnsi="宋体" w:cs="宋体"/>
          <w:color w:val="auto"/>
          <w:highlight w:val="none"/>
        </w:rPr>
        <w:t>请供应商及时关注。</w:t>
      </w:r>
    </w:p>
    <w:p w14:paraId="2F0698DD">
      <w:pPr>
        <w:pStyle w:val="5"/>
        <w:adjustRightInd/>
        <w:spacing w:before="120" w:beforeLines="50" w:after="120" w:afterLines="50" w:line="360" w:lineRule="auto"/>
        <w:jc w:val="center"/>
        <w:textAlignment w:val="auto"/>
        <w:rPr>
          <w:rFonts w:hint="eastAsia" w:ascii="宋体" w:hAnsi="宋体" w:eastAsia="宋体" w:cs="宋体"/>
          <w:bCs/>
          <w:color w:val="auto"/>
          <w:kern w:val="2"/>
          <w:sz w:val="24"/>
          <w:szCs w:val="24"/>
          <w:highlight w:val="none"/>
          <w:lang w:eastAsia="zh-CN"/>
        </w:rPr>
      </w:pPr>
      <w:bookmarkStart w:id="100" w:name="_Toc29179"/>
      <w:bookmarkStart w:id="101" w:name="_Toc20160"/>
      <w:r>
        <w:rPr>
          <w:rFonts w:hint="eastAsia" w:ascii="宋体" w:hAnsi="宋体" w:eastAsia="宋体" w:cs="宋体"/>
          <w:bCs/>
          <w:color w:val="auto"/>
          <w:kern w:val="2"/>
          <w:sz w:val="24"/>
          <w:szCs w:val="24"/>
          <w:highlight w:val="none"/>
        </w:rPr>
        <w:t>（十）验收</w:t>
      </w:r>
      <w:bookmarkEnd w:id="100"/>
      <w:bookmarkEnd w:id="101"/>
    </w:p>
    <w:p w14:paraId="4D5C1C7F">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1、采购人应当在项目完成且收到供应商验收申请后5个工作日内组织开展履约验收。</w:t>
      </w:r>
    </w:p>
    <w:p w14:paraId="55700EA5">
      <w:pPr>
        <w:pStyle w:val="2"/>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采购人验收时，应成立三人以上（由合同双方、技术人员、纪检等相关人员组成）验收小组，明确责任，严格依照采购文件、成交通知书、采购合同及相关验收规范进行核对、验收，形成验收结论，并出具书面验收报告。</w:t>
      </w:r>
    </w:p>
    <w:p w14:paraId="551CDE35">
      <w:pPr>
        <w:pStyle w:val="2"/>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3、涉及安全、消防、环保等其他需要由质检或行业主管部门进行验收的项目，必须邀请相关部门或相关专家参与验收。</w:t>
      </w:r>
    </w:p>
    <w:p w14:paraId="1C10F13E">
      <w:pPr>
        <w:pStyle w:val="5"/>
        <w:spacing w:before="156" w:beforeLines="50" w:after="156" w:afterLines="50" w:line="520" w:lineRule="exact"/>
        <w:jc w:val="center"/>
        <w:rPr>
          <w:rFonts w:hint="eastAsia" w:ascii="宋体" w:hAnsi="宋体" w:eastAsia="宋体" w:cs="宋体"/>
          <w:color w:val="000000" w:themeColor="text1"/>
          <w:sz w:val="24"/>
          <w:szCs w:val="24"/>
          <w:highlight w:val="none"/>
          <w14:textFill>
            <w14:solidFill>
              <w14:schemeClr w14:val="tx1"/>
            </w14:solidFill>
          </w14:textFill>
        </w:rPr>
      </w:pPr>
      <w:bookmarkStart w:id="102" w:name="_Toc3680"/>
      <w:r>
        <w:rPr>
          <w:rFonts w:hint="eastAsia" w:ascii="宋体" w:hAnsi="宋体" w:eastAsia="宋体" w:cs="宋体"/>
          <w:color w:val="000000" w:themeColor="text1"/>
          <w:sz w:val="24"/>
          <w:szCs w:val="24"/>
          <w:highlight w:val="none"/>
          <w14:textFill>
            <w14:solidFill>
              <w14:schemeClr w14:val="tx1"/>
            </w14:solidFill>
          </w14:textFill>
        </w:rPr>
        <w:t>（十一）质疑</w:t>
      </w:r>
      <w:bookmarkEnd w:id="102"/>
    </w:p>
    <w:p w14:paraId="2C81F3FD">
      <w:pPr>
        <w:shd w:val="clear" w:color="auto" w:fill="auto"/>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1、质疑人认为</w:t>
      </w:r>
      <w:r>
        <w:rPr>
          <w:rFonts w:hint="eastAsia" w:ascii="宋体" w:hAnsi="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结果使自己的权益受到损害的，可以向六安市中医院物流管理部及采购代理机构提出质疑。质疑实行实名制，应当有具体的事项及根据，不得进行虚假、恶意质疑，扰乱交易活动的正常工作秩序。</w:t>
      </w:r>
    </w:p>
    <w:p w14:paraId="0280C9BC">
      <w:pPr>
        <w:spacing w:line="5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2、质疑应在规定时限内提出： </w:t>
      </w:r>
    </w:p>
    <w:p w14:paraId="09D59907">
      <w:pPr>
        <w:spacing w:line="5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对采购</w:t>
      </w:r>
      <w:r>
        <w:rPr>
          <w:rFonts w:hint="eastAsia" w:ascii="宋体" w:hAnsi="宋体"/>
          <w:bCs/>
          <w:color w:val="000000" w:themeColor="text1"/>
          <w:sz w:val="24"/>
          <w:highlight w:val="none"/>
          <w:lang w:val="en-US" w:eastAsia="zh-CN"/>
          <w14:textFill>
            <w14:solidFill>
              <w14:schemeClr w14:val="tx1"/>
            </w14:solidFill>
          </w14:textFill>
        </w:rPr>
        <w:t>成交</w:t>
      </w:r>
      <w:r>
        <w:rPr>
          <w:rFonts w:hint="eastAsia" w:ascii="宋体" w:hAnsi="宋体"/>
          <w:bCs/>
          <w:color w:val="000000" w:themeColor="text1"/>
          <w:sz w:val="24"/>
          <w:highlight w:val="none"/>
          <w14:textFill>
            <w14:solidFill>
              <w14:schemeClr w14:val="tx1"/>
            </w14:solidFill>
          </w14:textFill>
        </w:rPr>
        <w:t>结果的质疑，应在</w:t>
      </w:r>
      <w:r>
        <w:rPr>
          <w:rFonts w:hint="eastAsia" w:ascii="宋体" w:hAnsi="宋体"/>
          <w:bCs/>
          <w:color w:val="000000" w:themeColor="text1"/>
          <w:sz w:val="24"/>
          <w:highlight w:val="none"/>
          <w:lang w:val="en-US" w:eastAsia="zh-CN"/>
          <w14:textFill>
            <w14:solidFill>
              <w14:schemeClr w14:val="tx1"/>
            </w14:solidFill>
          </w14:textFill>
        </w:rPr>
        <w:t>成交</w:t>
      </w:r>
      <w:r>
        <w:rPr>
          <w:rFonts w:hint="eastAsia" w:ascii="宋体" w:hAnsi="宋体"/>
          <w:bCs/>
          <w:color w:val="000000" w:themeColor="text1"/>
          <w:sz w:val="24"/>
          <w:highlight w:val="none"/>
          <w14:textFill>
            <w14:solidFill>
              <w14:schemeClr w14:val="tx1"/>
            </w14:solidFill>
          </w14:textFill>
        </w:rPr>
        <w:t>结果公布之日起七个工作日内提出。</w:t>
      </w:r>
    </w:p>
    <w:p w14:paraId="78504768">
      <w:pPr>
        <w:spacing w:line="5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3、质疑应以书面形式实名提出，书面质疑材料应当包括以下内容：</w:t>
      </w:r>
    </w:p>
    <w:p w14:paraId="4E8FC0EB">
      <w:pPr>
        <w:widowControl/>
        <w:spacing w:line="520" w:lineRule="exact"/>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3.1质疑人的名称、地址、有效联系方式；</w:t>
      </w:r>
    </w:p>
    <w:p w14:paraId="05A1992D">
      <w:pPr>
        <w:widowControl/>
        <w:spacing w:line="520" w:lineRule="exact"/>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3.2项目名称、项目编号、包别号（如有）；</w:t>
      </w:r>
    </w:p>
    <w:p w14:paraId="75D791DF">
      <w:pPr>
        <w:widowControl/>
        <w:spacing w:line="520" w:lineRule="exact"/>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3.3被质疑人名称；</w:t>
      </w:r>
    </w:p>
    <w:p w14:paraId="21811530">
      <w:pPr>
        <w:widowControl/>
        <w:spacing w:line="520" w:lineRule="exact"/>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3.4具体的质疑事项、基本事实及必要的证明材料；</w:t>
      </w:r>
    </w:p>
    <w:p w14:paraId="2A9D2347">
      <w:pPr>
        <w:widowControl/>
        <w:spacing w:line="520" w:lineRule="exact"/>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3.5明确的请求及主张；</w:t>
      </w:r>
    </w:p>
    <w:p w14:paraId="6CDD8DC0">
      <w:pPr>
        <w:widowControl/>
        <w:spacing w:line="520" w:lineRule="exact"/>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3.6提起质疑的日期。</w:t>
      </w:r>
    </w:p>
    <w:p w14:paraId="09DDAFF2">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质疑人为法人或者其他组织的，应当由法定代表人或其委托代理人（需有委托授权书）签字并加盖公章。</w:t>
      </w:r>
    </w:p>
    <w:p w14:paraId="76D45A24">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质疑人需要修改、补充质疑材料的，应当在质疑期内提交修改或补充材料。</w:t>
      </w:r>
    </w:p>
    <w:p w14:paraId="05E854DD">
      <w:pPr>
        <w:spacing w:line="520" w:lineRule="exact"/>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4、有下列情形之一的，不予受理：</w:t>
      </w:r>
    </w:p>
    <w:p w14:paraId="5E8318C3">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4.1提起质疑的主体不是参与该采购项目活动的供应商；</w:t>
      </w:r>
    </w:p>
    <w:p w14:paraId="688F420C">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4.2提起质疑的时间超过规定时限的；</w:t>
      </w:r>
    </w:p>
    <w:p w14:paraId="01C518F4">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4.3质疑材料不完整的；</w:t>
      </w:r>
    </w:p>
    <w:p w14:paraId="6ECD78CC">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4.4质疑事项含有主观猜测等内容且未提供有效线索、难以查证的；</w:t>
      </w:r>
    </w:p>
    <w:p w14:paraId="29A5C9E5">
      <w:pPr>
        <w:widowControl/>
        <w:spacing w:line="5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4.5对其他投标供应商的</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详细内容质疑，无法提供合法来源渠道的；</w:t>
      </w:r>
    </w:p>
    <w:p w14:paraId="6D49ADF7">
      <w:pPr>
        <w:widowControl/>
        <w:spacing w:line="520" w:lineRule="exact"/>
        <w:ind w:firstLine="480" w:firstLineChars="200"/>
        <w:jc w:val="left"/>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4.6质疑事项已进入投诉处理、行政复议或行政诉讼程序的。</w:t>
      </w:r>
    </w:p>
    <w:p w14:paraId="2A9BB64D">
      <w:pPr>
        <w:spacing w:line="5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5、经审查符合质疑条件的，自收到质疑之日起即为受理。采购人及采购代理机构将在质疑受理后7个工作日内作出答复或相关处理决定，并以书面形式通知质疑人，答复的内容不得涉及商业秘密。</w:t>
      </w:r>
    </w:p>
    <w:p w14:paraId="1E4C704F">
      <w:pPr>
        <w:spacing w:line="5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6、质疑人在答复期满前撤回质疑的，应由法定代表人或授权代表人签字确认，即终止质疑处理程序。质疑人不得以同一理由再次提出质疑。</w:t>
      </w:r>
    </w:p>
    <w:p w14:paraId="4A7C1B81">
      <w:pPr>
        <w:shd w:val="clear" w:color="auto" w:fill="auto"/>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质疑人对质疑答复不满意或六安市中医院物流管理部及采购代理机构未在规定时间内做出答复的，可以在规定期限内向六安市中医院投诉办提起投诉。</w:t>
      </w:r>
    </w:p>
    <w:p w14:paraId="26348C2D">
      <w:pPr>
        <w:spacing w:line="520" w:lineRule="exact"/>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投诉人</w:t>
      </w:r>
      <w:r>
        <w:rPr>
          <w:rFonts w:hint="eastAsia" w:ascii="宋体" w:hAnsi="宋体"/>
          <w:bCs/>
          <w:color w:val="000000" w:themeColor="text1"/>
          <w:sz w:val="24"/>
          <w:szCs w:val="24"/>
          <w:highlight w:val="none"/>
          <w14:textFill>
            <w14:solidFill>
              <w14:schemeClr w14:val="tx1"/>
            </w14:solidFill>
          </w14:textFill>
        </w:rPr>
        <w:t>有下列情形之一的，属于虚假、恶意</w:t>
      </w:r>
      <w:r>
        <w:rPr>
          <w:rFonts w:hint="eastAsia" w:ascii="宋体" w:hAnsi="宋体"/>
          <w:bCs/>
          <w:color w:val="000000" w:themeColor="text1"/>
          <w:sz w:val="24"/>
          <w:highlight w:val="none"/>
          <w:lang w:val="en-US" w:eastAsia="zh-CN"/>
          <w14:textFill>
            <w14:solidFill>
              <w14:schemeClr w14:val="tx1"/>
            </w14:solidFill>
          </w14:textFill>
        </w:rPr>
        <w:t>投诉</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视情况</w:t>
      </w:r>
      <w:r>
        <w:rPr>
          <w:rFonts w:hint="eastAsia" w:ascii="宋体" w:hAnsi="宋体" w:eastAsia="宋体" w:cs="宋体"/>
          <w:bCs/>
          <w:color w:val="auto"/>
          <w:sz w:val="24"/>
          <w:szCs w:val="24"/>
          <w:highlight w:val="none"/>
          <w:lang w:val="en-US" w:eastAsia="zh-CN"/>
        </w:rPr>
        <w:t>将</w:t>
      </w:r>
      <w:r>
        <w:rPr>
          <w:rFonts w:hint="eastAsia" w:ascii="宋体" w:hAnsi="宋体" w:eastAsia="宋体" w:cs="Arial"/>
          <w:color w:val="auto"/>
          <w:sz w:val="24"/>
          <w:szCs w:val="24"/>
          <w:highlight w:val="none"/>
          <w:lang w:eastAsia="zh-CN"/>
        </w:rPr>
        <w:t>纳入六安市中医院负面清单</w:t>
      </w:r>
      <w:r>
        <w:rPr>
          <w:rFonts w:hint="eastAsia" w:ascii="宋体" w:hAnsi="宋体"/>
          <w:bCs/>
          <w:color w:val="000000" w:themeColor="text1"/>
          <w:sz w:val="24"/>
          <w:szCs w:val="24"/>
          <w:highlight w:val="none"/>
          <w14:textFill>
            <w14:solidFill>
              <w14:schemeClr w14:val="tx1"/>
            </w14:solidFill>
          </w14:textFill>
        </w:rPr>
        <w:t>。</w:t>
      </w:r>
    </w:p>
    <w:p w14:paraId="38BA0732">
      <w:pPr>
        <w:shd w:val="clear" w:color="auto" w:fill="auto"/>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一年内三次以上</w:t>
      </w:r>
      <w:r>
        <w:rPr>
          <w:rFonts w:hint="eastAsia" w:ascii="宋体" w:hAnsi="宋体"/>
          <w:bCs/>
          <w:color w:val="000000" w:themeColor="text1"/>
          <w:sz w:val="24"/>
          <w:highlight w:val="none"/>
          <w:lang w:val="en-US" w:eastAsia="zh-CN"/>
          <w14:textFill>
            <w14:solidFill>
              <w14:schemeClr w14:val="tx1"/>
            </w14:solidFill>
          </w14:textFill>
        </w:rPr>
        <w:t>投诉</w:t>
      </w:r>
      <w:r>
        <w:rPr>
          <w:rFonts w:hint="eastAsia" w:ascii="宋体" w:hAnsi="宋体" w:eastAsia="宋体" w:cs="宋体"/>
          <w:bCs/>
          <w:color w:val="auto"/>
          <w:sz w:val="24"/>
          <w:szCs w:val="24"/>
          <w:highlight w:val="none"/>
        </w:rPr>
        <w:t>均查无实据的；</w:t>
      </w:r>
    </w:p>
    <w:p w14:paraId="18D794D7">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（二）捏造事实</w:t>
      </w:r>
      <w:r>
        <w:rPr>
          <w:rFonts w:hint="eastAsia" w:ascii="宋体" w:hAnsi="宋体" w:cs="Times New Roman"/>
          <w:bCs/>
          <w:color w:val="auto"/>
          <w:kern w:val="2"/>
          <w:sz w:val="24"/>
          <w:szCs w:val="24"/>
          <w:highlight w:val="none"/>
          <w:lang w:val="en-US" w:eastAsia="zh-CN" w:bidi="ar-SA"/>
        </w:rPr>
        <w:t>；</w:t>
      </w:r>
    </w:p>
    <w:p w14:paraId="4C1B33C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（三）提供虚假材料</w:t>
      </w:r>
      <w:r>
        <w:rPr>
          <w:rFonts w:hint="eastAsia" w:ascii="宋体" w:hAnsi="宋体" w:cs="Times New Roman"/>
          <w:bCs/>
          <w:color w:val="auto"/>
          <w:kern w:val="2"/>
          <w:sz w:val="24"/>
          <w:szCs w:val="24"/>
          <w:highlight w:val="none"/>
          <w:lang w:val="en-US" w:eastAsia="zh-CN" w:bidi="ar-SA"/>
        </w:rPr>
        <w:t>；</w:t>
      </w:r>
    </w:p>
    <w:p w14:paraId="38B990B6">
      <w:pPr>
        <w:spacing w:line="520" w:lineRule="exact"/>
        <w:ind w:firstLine="48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Times New Roman"/>
          <w:bCs/>
          <w:color w:val="auto"/>
          <w:kern w:val="2"/>
          <w:sz w:val="24"/>
          <w:szCs w:val="24"/>
          <w:highlight w:val="none"/>
          <w:lang w:val="en-US" w:eastAsia="zh-CN" w:bidi="ar-SA"/>
        </w:rPr>
        <w:t>（四）以非法手段取得证明材料。证据来源的合法性存在明显疑问，投诉人无法证明其取得方式合法的，视为以非法手段取得证明材料</w:t>
      </w:r>
      <w:r>
        <w:rPr>
          <w:rFonts w:hint="eastAsia" w:ascii="宋体" w:hAnsi="宋体"/>
          <w:bCs/>
          <w:color w:val="000000" w:themeColor="text1"/>
          <w:sz w:val="24"/>
          <w:szCs w:val="24"/>
          <w:highlight w:val="none"/>
          <w14:textFill>
            <w14:solidFill>
              <w14:schemeClr w14:val="tx1"/>
            </w14:solidFill>
          </w14:textFill>
        </w:rPr>
        <w:t>。</w:t>
      </w:r>
    </w:p>
    <w:p w14:paraId="5D8DB2BB">
      <w:pPr>
        <w:pStyle w:val="2"/>
        <w:ind w:firstLine="0"/>
        <w:rPr>
          <w:color w:val="000000" w:themeColor="text1"/>
          <w:highlight w:val="none"/>
          <w14:textFill>
            <w14:solidFill>
              <w14:schemeClr w14:val="tx1"/>
            </w14:solidFill>
          </w14:textFill>
        </w:rPr>
      </w:pPr>
    </w:p>
    <w:p w14:paraId="6E59B08F">
      <w:pPr>
        <w:pStyle w:val="2"/>
        <w:spacing w:after="0" w:line="360" w:lineRule="auto"/>
        <w:ind w:firstLine="480" w:firstLineChars="200"/>
        <w:rPr>
          <w:rFonts w:hint="eastAsia" w:ascii="宋体" w:hAnsi="宋体" w:cs="宋体"/>
          <w:color w:val="auto"/>
          <w:highlight w:val="none"/>
        </w:rPr>
      </w:pPr>
    </w:p>
    <w:p w14:paraId="3407BD1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3502C2A6">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48C1DD2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6C11FA6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50DEA22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36D4263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1612714B">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3FE80C3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07122E1B">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43116EDB">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highlight w:val="none"/>
          <w:lang w:val="en-US" w:eastAsia="zh-CN"/>
        </w:rPr>
      </w:pPr>
    </w:p>
    <w:p w14:paraId="1B780623">
      <w:pPr>
        <w:pStyle w:val="25"/>
        <w:rPr>
          <w:rFonts w:hint="eastAsia" w:ascii="宋体" w:hAnsi="宋体" w:eastAsia="宋体" w:cs="宋体"/>
          <w:color w:val="auto"/>
          <w:highlight w:val="none"/>
          <w:lang w:val="en-US" w:eastAsia="zh-CN"/>
        </w:rPr>
      </w:pPr>
    </w:p>
    <w:p w14:paraId="62812BB7">
      <w:pPr>
        <w:pStyle w:val="4"/>
        <w:keepLines/>
        <w:spacing w:after="120" w:afterLines="50" w:line="360" w:lineRule="auto"/>
        <w:jc w:val="center"/>
        <w:rPr>
          <w:rFonts w:hint="eastAsia"/>
          <w:b/>
          <w:bCs/>
          <w:color w:val="auto"/>
          <w:kern w:val="44"/>
          <w:sz w:val="30"/>
          <w:szCs w:val="44"/>
          <w:highlight w:val="none"/>
        </w:rPr>
      </w:pPr>
      <w:bookmarkStart w:id="103" w:name="_Toc6988"/>
      <w:bookmarkStart w:id="104" w:name="_Toc25086"/>
      <w:bookmarkStart w:id="105" w:name="_Toc1125"/>
      <w:bookmarkStart w:id="106" w:name="_Toc4238"/>
      <w:bookmarkStart w:id="107" w:name="_Toc216158630"/>
    </w:p>
    <w:p w14:paraId="02B5D6DC">
      <w:pPr>
        <w:pStyle w:val="4"/>
        <w:keepLines/>
        <w:spacing w:after="120" w:afterLines="50" w:line="360" w:lineRule="auto"/>
        <w:jc w:val="center"/>
        <w:rPr>
          <w:b/>
          <w:bCs/>
          <w:color w:val="auto"/>
          <w:kern w:val="44"/>
          <w:sz w:val="30"/>
          <w:szCs w:val="44"/>
          <w:highlight w:val="none"/>
        </w:rPr>
      </w:pPr>
      <w:r>
        <w:rPr>
          <w:rFonts w:hint="eastAsia"/>
          <w:b/>
          <w:bCs/>
          <w:color w:val="auto"/>
          <w:kern w:val="44"/>
          <w:sz w:val="30"/>
          <w:szCs w:val="44"/>
          <w:highlight w:val="none"/>
        </w:rPr>
        <w:t>二、</w:t>
      </w:r>
      <w:r>
        <w:rPr>
          <w:rFonts w:hint="eastAsia"/>
          <w:b/>
          <w:bCs/>
          <w:color w:val="auto"/>
          <w:kern w:val="44"/>
          <w:sz w:val="30"/>
          <w:szCs w:val="44"/>
          <w:highlight w:val="none"/>
          <w:lang w:val="en-US" w:eastAsia="zh-CN"/>
        </w:rPr>
        <w:t>采购</w:t>
      </w:r>
      <w:r>
        <w:rPr>
          <w:rFonts w:hint="eastAsia"/>
          <w:b/>
          <w:bCs/>
          <w:color w:val="auto"/>
          <w:kern w:val="44"/>
          <w:sz w:val="30"/>
          <w:szCs w:val="44"/>
          <w:highlight w:val="none"/>
        </w:rPr>
        <w:t>合同</w:t>
      </w:r>
      <w:bookmarkEnd w:id="103"/>
      <w:bookmarkEnd w:id="104"/>
      <w:bookmarkEnd w:id="105"/>
      <w:bookmarkEnd w:id="106"/>
    </w:p>
    <w:p w14:paraId="1518182E">
      <w:pPr>
        <w:pageBreakBefore w:val="0"/>
        <w:widowControl w:val="0"/>
        <w:kinsoku/>
        <w:wordWrap/>
        <w:overflowPunct/>
        <w:topLinePunct w:val="0"/>
        <w:autoSpaceDE/>
        <w:autoSpaceDN/>
        <w:bidi w:val="0"/>
        <w:adjustRightInd/>
        <w:snapToGrid/>
        <w:spacing w:line="360" w:lineRule="auto"/>
        <w:jc w:val="center"/>
        <w:rPr>
          <w:rFonts w:ascii="宋体" w:hAnsi="宋体" w:cs="宋体"/>
          <w:b/>
          <w:bCs/>
          <w:color w:val="auto"/>
          <w:spacing w:val="0"/>
          <w:sz w:val="28"/>
          <w:szCs w:val="28"/>
          <w:highlight w:val="none"/>
        </w:rPr>
      </w:pPr>
      <w:r>
        <w:rPr>
          <w:rFonts w:ascii="宋体" w:hAnsi="宋体" w:cs="宋体"/>
          <w:b/>
          <w:bCs/>
          <w:color w:val="auto"/>
          <w:spacing w:val="0"/>
          <w:sz w:val="28"/>
          <w:szCs w:val="28"/>
          <w:highlight w:val="none"/>
        </w:rPr>
        <w:t>采购合同参考范本</w:t>
      </w:r>
    </w:p>
    <w:p w14:paraId="4119FD97">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24"/>
          <w:szCs w:val="16"/>
          <w:highlight w:val="none"/>
        </w:rPr>
      </w:pPr>
      <w:bookmarkStart w:id="108" w:name="_Toc21170"/>
      <w:bookmarkStart w:id="109" w:name="_Toc31724"/>
      <w:r>
        <w:rPr>
          <w:rFonts w:hint="eastAsia" w:ascii="宋体" w:hAnsi="宋体" w:eastAsia="宋体" w:cs="宋体"/>
          <w:color w:val="auto"/>
          <w:sz w:val="24"/>
          <w:szCs w:val="16"/>
          <w:highlight w:val="none"/>
        </w:rPr>
        <w:t>第一部分 合同书</w:t>
      </w:r>
      <w:bookmarkEnd w:id="108"/>
      <w:bookmarkEnd w:id="109"/>
    </w:p>
    <w:p w14:paraId="215FFE88">
      <w:pPr>
        <w:keepNext w:val="0"/>
        <w:keepLines w:val="0"/>
        <w:pageBreakBefore w:val="0"/>
        <w:widowControl w:val="0"/>
        <w:kinsoku/>
        <w:wordWrap/>
        <w:overflowPunct/>
        <w:topLinePunct w:val="0"/>
        <w:autoSpaceDE/>
        <w:autoSpaceDN/>
        <w:bidi w:val="0"/>
        <w:adjustRightInd/>
        <w:snapToGrid/>
        <w:spacing w:line="360" w:lineRule="auto"/>
        <w:ind w:right="0"/>
        <w:textAlignment w:val="auto"/>
        <w:rPr>
          <w:color w:val="auto"/>
          <w:highlight w:val="none"/>
        </w:rPr>
      </w:pPr>
      <w:r>
        <w:rPr>
          <w:rFonts w:ascii="宋体" w:hAnsi="宋体" w:cs="宋体"/>
          <w:color w:val="auto"/>
          <w:spacing w:val="-9"/>
          <w:sz w:val="24"/>
          <w:szCs w:val="24"/>
          <w:highlight w:val="none"/>
        </w:rPr>
        <w:t xml:space="preserve">项目名称： </w:t>
      </w:r>
      <w:r>
        <w:rPr>
          <w:rFonts w:hint="eastAsia" w:ascii="宋体" w:hAnsi="宋体" w:cs="宋体"/>
          <w:color w:val="auto"/>
          <w:spacing w:val="-9"/>
          <w:sz w:val="24"/>
          <w:szCs w:val="24"/>
          <w:highlight w:val="none"/>
          <w:u w:val="single"/>
        </w:rPr>
        <w:t xml:space="preserve">          </w:t>
      </w:r>
      <w:r>
        <w:rPr>
          <w:rFonts w:hint="eastAsia" w:ascii="宋体" w:hAnsi="宋体" w:cs="宋体"/>
          <w:color w:val="auto"/>
          <w:spacing w:val="-9"/>
          <w:sz w:val="24"/>
          <w:szCs w:val="24"/>
          <w:highlight w:val="none"/>
          <w:u w:val="single"/>
          <w:lang w:val="en-US" w:eastAsia="zh-CN"/>
        </w:rPr>
        <w:t xml:space="preserve">               </w:t>
      </w:r>
      <w:r>
        <w:rPr>
          <w:rFonts w:hint="eastAsia" w:ascii="宋体" w:hAnsi="宋体" w:cs="宋体"/>
          <w:color w:val="auto"/>
          <w:spacing w:val="-9"/>
          <w:sz w:val="24"/>
          <w:szCs w:val="24"/>
          <w:highlight w:val="none"/>
          <w:u w:val="single"/>
        </w:rPr>
        <w:t xml:space="preserve">       </w:t>
      </w:r>
    </w:p>
    <w:p w14:paraId="51E89346">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cs="宋体"/>
          <w:color w:val="auto"/>
          <w:sz w:val="24"/>
          <w:szCs w:val="24"/>
          <w:highlight w:val="none"/>
        </w:rPr>
      </w:pPr>
      <w:r>
        <w:rPr>
          <w:rFonts w:ascii="宋体" w:hAnsi="宋体" w:cs="宋体"/>
          <w:color w:val="auto"/>
          <w:spacing w:val="-12"/>
          <w:sz w:val="24"/>
          <w:szCs w:val="24"/>
          <w:highlight w:val="none"/>
        </w:rPr>
        <w:t>项目</w:t>
      </w:r>
      <w:r>
        <w:rPr>
          <w:rFonts w:ascii="宋体" w:hAnsi="宋体" w:cs="宋体"/>
          <w:color w:val="auto"/>
          <w:spacing w:val="-7"/>
          <w:sz w:val="24"/>
          <w:szCs w:val="24"/>
          <w:highlight w:val="none"/>
        </w:rPr>
        <w:t>编</w:t>
      </w:r>
      <w:r>
        <w:rPr>
          <w:rFonts w:ascii="宋体" w:hAnsi="宋体" w:cs="宋体"/>
          <w:color w:val="auto"/>
          <w:spacing w:val="-6"/>
          <w:sz w:val="24"/>
          <w:szCs w:val="24"/>
          <w:highlight w:val="none"/>
        </w:rPr>
        <w:t xml:space="preserve">号： </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rPr>
        <w:t xml:space="preserve">       </w:t>
      </w:r>
      <w:r>
        <w:rPr>
          <w:rFonts w:ascii="宋体" w:hAnsi="宋体" w:cs="宋体"/>
          <w:color w:val="auto"/>
          <w:sz w:val="24"/>
          <w:szCs w:val="24"/>
          <w:highlight w:val="none"/>
        </w:rPr>
        <w:t xml:space="preserve">                         </w:t>
      </w:r>
    </w:p>
    <w:p w14:paraId="1D5BCD13">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cs="宋体"/>
          <w:color w:val="auto"/>
          <w:sz w:val="24"/>
          <w:szCs w:val="24"/>
          <w:highlight w:val="none"/>
        </w:rPr>
      </w:pPr>
      <w:r>
        <w:rPr>
          <w:rFonts w:ascii="宋体" w:hAnsi="宋体" w:cs="宋体"/>
          <w:color w:val="auto"/>
          <w:spacing w:val="4"/>
          <w:sz w:val="24"/>
          <w:szCs w:val="24"/>
          <w:highlight w:val="none"/>
        </w:rPr>
        <w:t>甲方(采购</w:t>
      </w:r>
      <w:r>
        <w:rPr>
          <w:rFonts w:ascii="宋体" w:hAnsi="宋体" w:cs="宋体"/>
          <w:color w:val="auto"/>
          <w:spacing w:val="2"/>
          <w:sz w:val="24"/>
          <w:szCs w:val="24"/>
          <w:highlight w:val="none"/>
        </w:rPr>
        <w:t>人)：</w:t>
      </w:r>
      <w:r>
        <w:rPr>
          <w:rFonts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u w:val="single"/>
          <w:lang w:val="en-US" w:eastAsia="zh-CN"/>
        </w:rPr>
        <w:t xml:space="preserve">            </w:t>
      </w:r>
      <w:r>
        <w:rPr>
          <w:rFonts w:ascii="宋体" w:hAnsi="宋体" w:cs="宋体"/>
          <w:color w:val="auto"/>
          <w:spacing w:val="2"/>
          <w:sz w:val="24"/>
          <w:szCs w:val="24"/>
          <w:highlight w:val="none"/>
          <w:u w:val="single"/>
        </w:rPr>
        <w:t xml:space="preserve">   </w:t>
      </w:r>
    </w:p>
    <w:p w14:paraId="2879B1E5">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宋体" w:hAnsi="宋体" w:eastAsia="宋体" w:cs="宋体"/>
          <w:color w:val="auto"/>
          <w:sz w:val="24"/>
          <w:szCs w:val="24"/>
          <w:highlight w:val="none"/>
          <w:lang w:val="en-US" w:eastAsia="zh-CN"/>
        </w:rPr>
      </w:pPr>
      <w:r>
        <w:rPr>
          <w:rFonts w:ascii="宋体" w:hAnsi="宋体" w:cs="宋体"/>
          <w:color w:val="auto"/>
          <w:spacing w:val="4"/>
          <w:sz w:val="24"/>
          <w:szCs w:val="24"/>
          <w:highlight w:val="none"/>
        </w:rPr>
        <w:t>乙</w:t>
      </w:r>
      <w:r>
        <w:rPr>
          <w:rFonts w:ascii="宋体" w:hAnsi="宋体" w:cs="宋体"/>
          <w:color w:val="auto"/>
          <w:spacing w:val="3"/>
          <w:sz w:val="24"/>
          <w:szCs w:val="24"/>
          <w:highlight w:val="none"/>
        </w:rPr>
        <w:t>方(成交供应商)：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0EEBB12F">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 xml:space="preserve">签订地：                                      </w:t>
      </w:r>
    </w:p>
    <w:p w14:paraId="3D475969">
      <w:pPr>
        <w:spacing w:line="353" w:lineRule="auto"/>
        <w:rPr>
          <w:color w:val="auto"/>
          <w:highlight w:val="none"/>
        </w:rPr>
      </w:pPr>
      <w:r>
        <w:rPr>
          <w:rFonts w:ascii="宋体" w:hAnsi="宋体" w:cs="宋体"/>
          <w:color w:val="auto"/>
          <w:spacing w:val="-4"/>
          <w:sz w:val="24"/>
          <w:szCs w:val="24"/>
          <w:highlight w:val="none"/>
        </w:rPr>
        <w:t>签</w:t>
      </w:r>
      <w:r>
        <w:rPr>
          <w:rFonts w:ascii="宋体" w:hAnsi="宋体" w:cs="宋体"/>
          <w:color w:val="auto"/>
          <w:spacing w:val="-2"/>
          <w:sz w:val="24"/>
          <w:szCs w:val="24"/>
          <w:highlight w:val="none"/>
        </w:rPr>
        <w:t>订日期：</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年</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月</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日</w:t>
      </w:r>
    </w:p>
    <w:p w14:paraId="7D122F4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(以下简称：甲方) 通过</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组织的</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方式采购活动，经</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评定，</w:t>
      </w:r>
      <w:r>
        <w:rPr>
          <w:rFonts w:ascii="宋体" w:hAnsi="宋体" w:cs="宋体"/>
          <w:color w:val="auto"/>
          <w:spacing w:val="0"/>
          <w:sz w:val="24"/>
          <w:szCs w:val="24"/>
          <w:highlight w:val="none"/>
          <w:u w:val="single"/>
        </w:rPr>
        <w:t>(成交供应商名称)</w:t>
      </w:r>
      <w:r>
        <w:rPr>
          <w:rFonts w:ascii="宋体" w:hAnsi="宋体" w:cs="宋体"/>
          <w:color w:val="auto"/>
          <w:spacing w:val="0"/>
          <w:sz w:val="25"/>
          <w:szCs w:val="25"/>
          <w:highlight w:val="none"/>
        </w:rPr>
        <w:t xml:space="preserve"> </w:t>
      </w:r>
      <w:r>
        <w:rPr>
          <w:rFonts w:ascii="宋体" w:hAnsi="宋体" w:cs="宋体"/>
          <w:color w:val="auto"/>
          <w:spacing w:val="0"/>
          <w:sz w:val="24"/>
          <w:szCs w:val="24"/>
          <w:highlight w:val="none"/>
        </w:rPr>
        <w:t>(以下简称：乙方)为本项目成交供应商，现按照采购文件确定的事项签订本合同。</w:t>
      </w:r>
    </w:p>
    <w:p w14:paraId="3688221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根据《中华人民共和国民法典》等相关法律法规之规定，按照平等、自愿、公平和诚实信用的原则，经甲方和乙方协商一致，约定以下合同条款，以兹共同遵守、全面履行。</w:t>
      </w:r>
    </w:p>
    <w:p w14:paraId="6ACFFA9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1.1 合同组成部分</w:t>
      </w:r>
    </w:p>
    <w:p w14:paraId="7C93199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8E992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1.1.1 本合同及其补充合同、变更协议；</w:t>
      </w:r>
    </w:p>
    <w:p w14:paraId="6321770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1.1.2 成交通知书；</w:t>
      </w:r>
    </w:p>
    <w:p w14:paraId="7885884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1.1.3 响应文件(含澄清或者说明文件)；</w:t>
      </w:r>
    </w:p>
    <w:p w14:paraId="5ACAB2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 xml:space="preserve">1.1.4 </w:t>
      </w:r>
      <w:r>
        <w:rPr>
          <w:rFonts w:hint="eastAsia" w:ascii="宋体" w:hAnsi="宋体" w:cs="宋体"/>
          <w:color w:val="auto"/>
          <w:spacing w:val="0"/>
          <w:sz w:val="24"/>
          <w:szCs w:val="24"/>
          <w:highlight w:val="none"/>
        </w:rPr>
        <w:t>采购</w:t>
      </w:r>
      <w:r>
        <w:rPr>
          <w:rFonts w:ascii="宋体" w:hAnsi="宋体" w:cs="宋体"/>
          <w:color w:val="auto"/>
          <w:spacing w:val="0"/>
          <w:sz w:val="24"/>
          <w:szCs w:val="24"/>
          <w:highlight w:val="none"/>
        </w:rPr>
        <w:t>文件(含澄清或者修改文件)；</w:t>
      </w:r>
    </w:p>
    <w:p w14:paraId="52BDB4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1.1.5 其他相关采购文件。</w:t>
      </w:r>
    </w:p>
    <w:p w14:paraId="2AEE659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1.2 服务</w:t>
      </w:r>
    </w:p>
    <w:p w14:paraId="08DF46C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1.2.1 服务名称：；</w:t>
      </w:r>
    </w:p>
    <w:p w14:paraId="4CEB47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1.2.2 服务内容：；</w:t>
      </w:r>
    </w:p>
    <w:p w14:paraId="3643115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1.2.3 服务质量：。</w:t>
      </w:r>
    </w:p>
    <w:p w14:paraId="2C3D643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1.3 价款</w:t>
      </w:r>
    </w:p>
    <w:p w14:paraId="7092E04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本合同总价为：</w:t>
      </w:r>
      <w:r>
        <w:rPr>
          <w:rFonts w:hint="eastAsia" w:ascii="宋体" w:hAnsi="宋体" w:cs="宋体"/>
          <w:color w:val="auto"/>
          <w:spacing w:val="0"/>
          <w:sz w:val="24"/>
          <w:szCs w:val="24"/>
          <w:highlight w:val="none"/>
        </w:rPr>
        <w:t xml:space="preserve"> </w:t>
      </w:r>
      <w:r>
        <w:rPr>
          <w:rFonts w:ascii="宋体" w:hAnsi="宋体" w:cs="宋体"/>
          <w:color w:val="auto"/>
          <w:spacing w:val="0"/>
          <w:sz w:val="24"/>
          <w:szCs w:val="24"/>
          <w:highlight w:val="none"/>
        </w:rPr>
        <w:t>￥元 (大写：</w:t>
      </w:r>
      <w:r>
        <w:rPr>
          <w:rFonts w:hint="eastAsia" w:ascii="宋体" w:hAnsi="宋体" w:cs="宋体"/>
          <w:color w:val="auto"/>
          <w:spacing w:val="0"/>
          <w:sz w:val="24"/>
          <w:szCs w:val="24"/>
          <w:highlight w:val="none"/>
        </w:rPr>
        <w:t xml:space="preserve"> </w:t>
      </w:r>
      <w:r>
        <w:rPr>
          <w:rFonts w:ascii="宋体" w:hAnsi="宋体" w:cs="宋体"/>
          <w:color w:val="auto"/>
          <w:spacing w:val="0"/>
          <w:sz w:val="24"/>
          <w:szCs w:val="24"/>
          <w:highlight w:val="none"/>
        </w:rPr>
        <w:t>人民币元)。</w:t>
      </w:r>
    </w:p>
    <w:p w14:paraId="6CB0EE6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分项价格：</w:t>
      </w:r>
    </w:p>
    <w:tbl>
      <w:tblPr>
        <w:tblStyle w:val="103"/>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3023"/>
      </w:tblGrid>
      <w:tr w14:paraId="343DD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 w:type="dxa"/>
          </w:tcPr>
          <w:p w14:paraId="7C2AFAC1">
            <w:pPr>
              <w:bidi w:val="0"/>
              <w:jc w:val="center"/>
              <w:rPr>
                <w:color w:val="auto"/>
                <w:highlight w:val="none"/>
              </w:rPr>
            </w:pPr>
            <w:r>
              <w:rPr>
                <w:color w:val="auto"/>
                <w:highlight w:val="none"/>
              </w:rPr>
              <w:t>序号</w:t>
            </w:r>
          </w:p>
        </w:tc>
        <w:tc>
          <w:tcPr>
            <w:tcW w:w="4303" w:type="dxa"/>
          </w:tcPr>
          <w:p w14:paraId="582FBA8F">
            <w:pPr>
              <w:bidi w:val="0"/>
              <w:jc w:val="center"/>
              <w:rPr>
                <w:color w:val="auto"/>
                <w:highlight w:val="none"/>
              </w:rPr>
            </w:pPr>
            <w:r>
              <w:rPr>
                <w:color w:val="auto"/>
                <w:highlight w:val="none"/>
              </w:rPr>
              <w:t>分项名称</w:t>
            </w:r>
          </w:p>
        </w:tc>
        <w:tc>
          <w:tcPr>
            <w:tcW w:w="3023" w:type="dxa"/>
          </w:tcPr>
          <w:p w14:paraId="34178160">
            <w:pPr>
              <w:bidi w:val="0"/>
              <w:jc w:val="center"/>
              <w:rPr>
                <w:color w:val="auto"/>
                <w:highlight w:val="none"/>
              </w:rPr>
            </w:pPr>
            <w:r>
              <w:rPr>
                <w:color w:val="auto"/>
                <w:highlight w:val="none"/>
              </w:rPr>
              <w:t>分项价格</w:t>
            </w:r>
          </w:p>
        </w:tc>
      </w:tr>
      <w:tr w14:paraId="4FC33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962" w:type="dxa"/>
          </w:tcPr>
          <w:p w14:paraId="6B35D77B">
            <w:pPr>
              <w:bidi w:val="0"/>
              <w:jc w:val="center"/>
              <w:rPr>
                <w:color w:val="auto"/>
                <w:highlight w:val="none"/>
              </w:rPr>
            </w:pPr>
            <w:r>
              <w:rPr>
                <w:color w:val="auto"/>
                <w:highlight w:val="none"/>
              </w:rPr>
              <w:t>1</w:t>
            </w:r>
          </w:p>
        </w:tc>
        <w:tc>
          <w:tcPr>
            <w:tcW w:w="4303" w:type="dxa"/>
          </w:tcPr>
          <w:p w14:paraId="31B871FD">
            <w:pPr>
              <w:bidi w:val="0"/>
              <w:jc w:val="center"/>
              <w:rPr>
                <w:color w:val="auto"/>
                <w:highlight w:val="none"/>
              </w:rPr>
            </w:pPr>
          </w:p>
        </w:tc>
        <w:tc>
          <w:tcPr>
            <w:tcW w:w="3023" w:type="dxa"/>
          </w:tcPr>
          <w:p w14:paraId="379C0073">
            <w:pPr>
              <w:bidi w:val="0"/>
              <w:jc w:val="center"/>
              <w:rPr>
                <w:color w:val="auto"/>
                <w:highlight w:val="none"/>
              </w:rPr>
            </w:pPr>
          </w:p>
        </w:tc>
      </w:tr>
      <w:tr w14:paraId="13DE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962" w:type="dxa"/>
          </w:tcPr>
          <w:p w14:paraId="64CE2900">
            <w:pPr>
              <w:bidi w:val="0"/>
              <w:jc w:val="center"/>
              <w:rPr>
                <w:color w:val="auto"/>
                <w:highlight w:val="none"/>
              </w:rPr>
            </w:pPr>
            <w:r>
              <w:rPr>
                <w:color w:val="auto"/>
                <w:highlight w:val="none"/>
              </w:rPr>
              <w:t>2</w:t>
            </w:r>
          </w:p>
        </w:tc>
        <w:tc>
          <w:tcPr>
            <w:tcW w:w="4303" w:type="dxa"/>
          </w:tcPr>
          <w:p w14:paraId="3116DC6B">
            <w:pPr>
              <w:bidi w:val="0"/>
              <w:jc w:val="center"/>
              <w:rPr>
                <w:color w:val="auto"/>
                <w:highlight w:val="none"/>
              </w:rPr>
            </w:pPr>
          </w:p>
        </w:tc>
        <w:tc>
          <w:tcPr>
            <w:tcW w:w="3023" w:type="dxa"/>
          </w:tcPr>
          <w:p w14:paraId="646259F8">
            <w:pPr>
              <w:bidi w:val="0"/>
              <w:jc w:val="center"/>
              <w:rPr>
                <w:color w:val="auto"/>
                <w:highlight w:val="none"/>
              </w:rPr>
            </w:pPr>
          </w:p>
        </w:tc>
      </w:tr>
      <w:tr w14:paraId="61D3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962" w:type="dxa"/>
          </w:tcPr>
          <w:p w14:paraId="47C6D75A">
            <w:pPr>
              <w:bidi w:val="0"/>
              <w:jc w:val="center"/>
              <w:rPr>
                <w:color w:val="auto"/>
                <w:highlight w:val="none"/>
              </w:rPr>
            </w:pPr>
            <w:r>
              <w:rPr>
                <w:color w:val="auto"/>
                <w:highlight w:val="none"/>
              </w:rPr>
              <w:t>……</w:t>
            </w:r>
          </w:p>
        </w:tc>
        <w:tc>
          <w:tcPr>
            <w:tcW w:w="4303" w:type="dxa"/>
          </w:tcPr>
          <w:p w14:paraId="64A6C3A9">
            <w:pPr>
              <w:bidi w:val="0"/>
              <w:jc w:val="center"/>
              <w:rPr>
                <w:color w:val="auto"/>
                <w:highlight w:val="none"/>
              </w:rPr>
            </w:pPr>
          </w:p>
        </w:tc>
        <w:tc>
          <w:tcPr>
            <w:tcW w:w="3023" w:type="dxa"/>
          </w:tcPr>
          <w:p w14:paraId="61D4C9BF">
            <w:pPr>
              <w:bidi w:val="0"/>
              <w:jc w:val="center"/>
              <w:rPr>
                <w:color w:val="auto"/>
                <w:highlight w:val="none"/>
              </w:rPr>
            </w:pPr>
          </w:p>
        </w:tc>
      </w:tr>
      <w:tr w14:paraId="50D5D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5265" w:type="dxa"/>
            <w:gridSpan w:val="2"/>
          </w:tcPr>
          <w:p w14:paraId="367FBB4A">
            <w:pPr>
              <w:bidi w:val="0"/>
              <w:jc w:val="center"/>
              <w:rPr>
                <w:color w:val="auto"/>
                <w:highlight w:val="none"/>
              </w:rPr>
            </w:pPr>
            <w:r>
              <w:rPr>
                <w:color w:val="auto"/>
                <w:highlight w:val="none"/>
              </w:rPr>
              <w:t>总价</w:t>
            </w:r>
          </w:p>
        </w:tc>
        <w:tc>
          <w:tcPr>
            <w:tcW w:w="3023" w:type="dxa"/>
          </w:tcPr>
          <w:p w14:paraId="2B85E551">
            <w:pPr>
              <w:bidi w:val="0"/>
              <w:jc w:val="center"/>
              <w:rPr>
                <w:color w:val="auto"/>
                <w:highlight w:val="none"/>
              </w:rPr>
            </w:pPr>
          </w:p>
        </w:tc>
      </w:tr>
    </w:tbl>
    <w:p w14:paraId="1941EC5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1.4 付款方式和发票开具方式</w:t>
      </w:r>
    </w:p>
    <w:p w14:paraId="7447092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1.4.1 付款方式：；</w:t>
      </w:r>
    </w:p>
    <w:p w14:paraId="1FE7C99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1.4.2 发票开具方式： 。</w:t>
      </w:r>
    </w:p>
    <w:p w14:paraId="73ED9E9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1.5 服务期限、地点和方式</w:t>
      </w:r>
    </w:p>
    <w:p w14:paraId="6877288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1.5.1 服务期限：；</w:t>
      </w:r>
    </w:p>
    <w:p w14:paraId="77DC00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1.5.2 服务地点：；</w:t>
      </w:r>
    </w:p>
    <w:p w14:paraId="4A30ABF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1.5.3 服务方式：。</w:t>
      </w:r>
    </w:p>
    <w:p w14:paraId="0A082F9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 违约责任</w:t>
      </w:r>
    </w:p>
    <w:p w14:paraId="7DD1394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%计算，最高限额为本合同总价的</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%；迟延履行的违约金计算数额达到前述最高限额之日起，甲方有权在要求乙方支付违约金的同时，书面通知乙方解除本合同；</w:t>
      </w:r>
    </w:p>
    <w:p w14:paraId="2F386E5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 xml:space="preserve"> </w:t>
      </w:r>
      <w:r>
        <w:rPr>
          <w:rFonts w:ascii="宋体" w:hAnsi="宋体" w:cs="宋体"/>
          <w:color w:val="auto"/>
          <w:spacing w:val="0"/>
          <w:sz w:val="24"/>
          <w:szCs w:val="24"/>
          <w:highlight w:val="none"/>
        </w:rPr>
        <w:t>%计算，最高限额为本合同总价的</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 xml:space="preserve"> </w:t>
      </w:r>
      <w:r>
        <w:rPr>
          <w:rFonts w:ascii="宋体" w:hAnsi="宋体" w:cs="宋体"/>
          <w:color w:val="auto"/>
          <w:spacing w:val="0"/>
          <w:sz w:val="24"/>
          <w:szCs w:val="24"/>
          <w:highlight w:val="none"/>
        </w:rPr>
        <w:t>%；迟延付款的违约金计算数额达到前述最高限额之日起，乙方有权在要求甲方支付违约金的同时，书面通知甲方解除本合同；</w:t>
      </w:r>
    </w:p>
    <w:p w14:paraId="1B40BDC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3968685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1080F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1.6.5 除前述约定外，除不可抗力外</w:t>
      </w:r>
      <w:r>
        <w:rPr>
          <w:rFonts w:hint="eastAsia" w:ascii="宋体" w:hAnsi="宋体" w:cs="宋体"/>
          <w:color w:val="auto"/>
          <w:spacing w:val="0"/>
          <w:sz w:val="24"/>
          <w:szCs w:val="24"/>
          <w:highlight w:val="none"/>
        </w:rPr>
        <w:t>，</w:t>
      </w:r>
      <w:r>
        <w:rPr>
          <w:rFonts w:ascii="宋体" w:hAnsi="宋体" w:cs="宋体"/>
          <w:color w:val="auto"/>
          <w:spacing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43C03E3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1.6.6 如果出现采购监督管理部门在处理投诉事项期间，书面通知甲方暂停采购活动的情形，或者询问或</w:t>
      </w:r>
      <w:r>
        <w:rPr>
          <w:rFonts w:hint="eastAsia" w:ascii="宋体" w:hAnsi="宋体" w:cs="宋体"/>
          <w:color w:val="auto"/>
          <w:spacing w:val="0"/>
          <w:sz w:val="24"/>
          <w:szCs w:val="24"/>
          <w:highlight w:val="none"/>
          <w:lang w:val="en-US" w:eastAsia="zh-CN"/>
        </w:rPr>
        <w:t>异议</w:t>
      </w:r>
      <w:r>
        <w:rPr>
          <w:rFonts w:ascii="宋体" w:hAnsi="宋体" w:cs="宋体"/>
          <w:color w:val="auto"/>
          <w:spacing w:val="0"/>
          <w:sz w:val="24"/>
          <w:szCs w:val="24"/>
          <w:highlight w:val="none"/>
        </w:rPr>
        <w:t>事项可能影响成交结果的，导致甲方中止履行合同的情形，均不视为甲方违约。</w:t>
      </w:r>
    </w:p>
    <w:p w14:paraId="068505C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1.7 合同争议的解决</w:t>
      </w:r>
    </w:p>
    <w:p w14:paraId="6035C2C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本合同履行过程中发生的任何争议，双方当事人均可通过和解或者调解解决；不愿和解、调解或者和解、调解不成的，可以选择下列</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1.7.2</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种方式解决：</w:t>
      </w:r>
    </w:p>
    <w:p w14:paraId="4147639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1.7.1 将争议提交</w:t>
      </w:r>
      <w:r>
        <w:rPr>
          <w:rFonts w:hint="eastAsia" w:ascii="宋体" w:hAnsi="宋体" w:cs="宋体"/>
          <w:color w:val="auto"/>
          <w:spacing w:val="0"/>
          <w:sz w:val="24"/>
          <w:szCs w:val="24"/>
          <w:highlight w:val="none"/>
          <w:u w:val="single"/>
          <w:lang w:val="en-US" w:eastAsia="zh-CN"/>
        </w:rPr>
        <w:t xml:space="preserve">  六安  </w:t>
      </w:r>
      <w:r>
        <w:rPr>
          <w:rFonts w:ascii="宋体" w:hAnsi="宋体" w:cs="宋体"/>
          <w:color w:val="auto"/>
          <w:spacing w:val="0"/>
          <w:sz w:val="24"/>
          <w:szCs w:val="24"/>
          <w:highlight w:val="none"/>
        </w:rPr>
        <w:t>仲裁委员会依申请仲裁时其现行有效的仲裁规则裁决；</w:t>
      </w:r>
    </w:p>
    <w:p w14:paraId="43760FA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1.7.2 向</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金寨县</w:t>
      </w:r>
      <w:r>
        <w:rPr>
          <w:rFonts w:hint="eastAsia"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人民法院起诉。</w:t>
      </w:r>
    </w:p>
    <w:p w14:paraId="15D8208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1.8 合同生效</w:t>
      </w:r>
    </w:p>
    <w:p w14:paraId="0CF9779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本合同自双方当事人盖章时生效。</w:t>
      </w:r>
    </w:p>
    <w:p w14:paraId="46BE01D6">
      <w:pPr>
        <w:pStyle w:val="2"/>
        <w:rPr>
          <w:rFonts w:ascii="宋体" w:hAnsi="宋体" w:cs="宋体"/>
          <w:color w:val="auto"/>
          <w:spacing w:val="0"/>
          <w:sz w:val="24"/>
          <w:szCs w:val="24"/>
          <w:highlight w:val="none"/>
        </w:rPr>
      </w:pPr>
    </w:p>
    <w:p w14:paraId="3688EAD1">
      <w:pPr>
        <w:pStyle w:val="2"/>
        <w:rPr>
          <w:rFonts w:ascii="宋体" w:hAnsi="宋体" w:cs="宋体"/>
          <w:color w:val="auto"/>
          <w:spacing w:val="0"/>
          <w:sz w:val="24"/>
          <w:szCs w:val="24"/>
          <w:highlight w:val="none"/>
        </w:rPr>
      </w:pPr>
    </w:p>
    <w:p w14:paraId="6B381A7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甲方：</w:t>
      </w:r>
      <w:r>
        <w:rPr>
          <w:rFonts w:ascii="宋体" w:hAnsi="宋体" w:cs="宋体"/>
          <w:color w:val="auto"/>
          <w:spacing w:val="0"/>
          <w:sz w:val="24"/>
          <w:szCs w:val="24"/>
          <w:highlight w:val="none"/>
          <w:u w:val="single"/>
        </w:rPr>
        <w:t xml:space="preserve">     (单位盖章)      </w:t>
      </w:r>
    </w:p>
    <w:p w14:paraId="4B7D4ED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法定代表人</w:t>
      </w:r>
    </w:p>
    <w:p w14:paraId="5D49963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或授权代表(签字)：</w:t>
      </w:r>
    </w:p>
    <w:p w14:paraId="1EE622B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时间：</w:t>
      </w:r>
      <w:r>
        <w:rPr>
          <w:rFonts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年</w:t>
      </w:r>
      <w:r>
        <w:rPr>
          <w:rFonts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月</w:t>
      </w:r>
      <w:r>
        <w:rPr>
          <w:rFonts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日</w:t>
      </w:r>
    </w:p>
    <w:p w14:paraId="0ED9691F">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color w:val="auto"/>
          <w:highlight w:val="none"/>
        </w:rPr>
      </w:pPr>
    </w:p>
    <w:p w14:paraId="7875F74B">
      <w:pPr>
        <w:keepNext w:val="0"/>
        <w:keepLines w:val="0"/>
        <w:pageBreakBefore w:val="0"/>
        <w:widowControl w:val="0"/>
        <w:kinsoku/>
        <w:wordWrap/>
        <w:overflowPunct/>
        <w:topLinePunct w:val="0"/>
        <w:autoSpaceDE/>
        <w:autoSpaceDN/>
        <w:bidi w:val="0"/>
        <w:adjustRightInd/>
        <w:snapToGrid/>
        <w:spacing w:line="360" w:lineRule="auto"/>
        <w:ind w:left="0" w:right="0" w:firstLine="22"/>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乙方：</w:t>
      </w:r>
      <w:r>
        <w:rPr>
          <w:rFonts w:ascii="宋体" w:hAnsi="宋体" w:cs="宋体"/>
          <w:color w:val="auto"/>
          <w:spacing w:val="0"/>
          <w:sz w:val="24"/>
          <w:szCs w:val="24"/>
          <w:highlight w:val="none"/>
          <w:u w:val="single"/>
        </w:rPr>
        <w:t xml:space="preserve">     (单位盖章)      </w:t>
      </w:r>
      <w:r>
        <w:rPr>
          <w:rFonts w:ascii="宋体" w:hAnsi="宋体" w:cs="宋体"/>
          <w:color w:val="auto"/>
          <w:spacing w:val="0"/>
          <w:sz w:val="24"/>
          <w:szCs w:val="24"/>
          <w:highlight w:val="none"/>
        </w:rPr>
        <w:t xml:space="preserve"> </w:t>
      </w:r>
    </w:p>
    <w:p w14:paraId="43B673D6">
      <w:pPr>
        <w:keepNext w:val="0"/>
        <w:keepLines w:val="0"/>
        <w:pageBreakBefore w:val="0"/>
        <w:widowControl w:val="0"/>
        <w:kinsoku/>
        <w:wordWrap/>
        <w:overflowPunct/>
        <w:topLinePunct w:val="0"/>
        <w:autoSpaceDE/>
        <w:autoSpaceDN/>
        <w:bidi w:val="0"/>
        <w:adjustRightInd/>
        <w:snapToGrid/>
        <w:spacing w:line="360" w:lineRule="auto"/>
        <w:ind w:left="0" w:right="0" w:firstLine="22"/>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 xml:space="preserve">法定代表人                 </w:t>
      </w:r>
    </w:p>
    <w:p w14:paraId="280CB5A6">
      <w:pPr>
        <w:keepNext w:val="0"/>
        <w:keepLines w:val="0"/>
        <w:pageBreakBefore w:val="0"/>
        <w:widowControl w:val="0"/>
        <w:kinsoku/>
        <w:wordWrap/>
        <w:overflowPunct/>
        <w:topLinePunct w:val="0"/>
        <w:autoSpaceDE/>
        <w:autoSpaceDN/>
        <w:bidi w:val="0"/>
        <w:adjustRightInd/>
        <w:snapToGrid/>
        <w:spacing w:line="360" w:lineRule="auto"/>
        <w:ind w:left="0" w:right="0" w:firstLine="22"/>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或授权代表(签字)：</w:t>
      </w:r>
    </w:p>
    <w:p w14:paraId="1ED164D4">
      <w:pPr>
        <w:spacing w:line="354" w:lineRule="auto"/>
        <w:rPr>
          <w:rFonts w:ascii="宋体" w:hAnsi="宋体" w:cs="宋体"/>
          <w:color w:val="auto"/>
          <w:spacing w:val="0"/>
          <w:sz w:val="24"/>
          <w:szCs w:val="24"/>
          <w:highlight w:val="none"/>
        </w:rPr>
      </w:pPr>
      <w:r>
        <w:rPr>
          <w:rFonts w:ascii="宋体" w:hAnsi="宋体" w:cs="宋体"/>
          <w:color w:val="auto"/>
          <w:spacing w:val="0"/>
          <w:sz w:val="24"/>
          <w:szCs w:val="24"/>
          <w:highlight w:val="none"/>
        </w:rPr>
        <w:t>时间：</w:t>
      </w:r>
      <w:r>
        <w:rPr>
          <w:rFonts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年</w:t>
      </w:r>
      <w:r>
        <w:rPr>
          <w:rFonts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月</w:t>
      </w:r>
      <w:r>
        <w:rPr>
          <w:rFonts w:ascii="宋体" w:hAnsi="宋体" w:cs="宋体"/>
          <w:color w:val="auto"/>
          <w:spacing w:val="0"/>
          <w:sz w:val="24"/>
          <w:szCs w:val="24"/>
          <w:highlight w:val="none"/>
          <w:u w:val="single"/>
        </w:rPr>
        <w:t xml:space="preserve">    </w:t>
      </w:r>
      <w:r>
        <w:rPr>
          <w:rFonts w:ascii="宋体" w:hAnsi="宋体" w:cs="宋体"/>
          <w:color w:val="auto"/>
          <w:spacing w:val="0"/>
          <w:sz w:val="24"/>
          <w:szCs w:val="24"/>
          <w:highlight w:val="none"/>
        </w:rPr>
        <w:t>日</w:t>
      </w:r>
    </w:p>
    <w:p w14:paraId="7BB859BD">
      <w:pPr>
        <w:pStyle w:val="2"/>
        <w:rPr>
          <w:highlight w:val="none"/>
        </w:rPr>
      </w:pPr>
    </w:p>
    <w:p w14:paraId="6F3F0D9F">
      <w:pPr>
        <w:pStyle w:val="2"/>
        <w:rPr>
          <w:color w:val="auto"/>
          <w:highlight w:val="none"/>
        </w:rPr>
      </w:pPr>
    </w:p>
    <w:p w14:paraId="1A95FFFC">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24"/>
          <w:szCs w:val="16"/>
          <w:highlight w:val="none"/>
        </w:rPr>
      </w:pPr>
      <w:bookmarkStart w:id="110" w:name="_Toc19198"/>
      <w:bookmarkStart w:id="111" w:name="_Toc19545"/>
      <w:r>
        <w:rPr>
          <w:rFonts w:hint="eastAsia" w:ascii="宋体" w:hAnsi="宋体" w:eastAsia="宋体" w:cs="宋体"/>
          <w:color w:val="auto"/>
          <w:sz w:val="24"/>
          <w:szCs w:val="16"/>
          <w:highlight w:val="none"/>
        </w:rPr>
        <w:t>第二部分 合同一般条款</w:t>
      </w:r>
      <w:bookmarkEnd w:id="110"/>
      <w:bookmarkEnd w:id="111"/>
    </w:p>
    <w:p w14:paraId="2991495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 定义</w:t>
      </w:r>
    </w:p>
    <w:p w14:paraId="4149BA5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本合同中的下列词语应按以下内容进行解释：</w:t>
      </w:r>
    </w:p>
    <w:p w14:paraId="5C6AFF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2.1.1“合同”系指采购人和成交供应商签订的载明双方当事人所达成的协议，并包括所有的附件、附录和构成合同的其他文件。</w:t>
      </w:r>
    </w:p>
    <w:p w14:paraId="11DEB40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2.1.2“合同价”系指根据合同约定，成交供应商在完全履行合同义务后，采购人应支付给成交供应商的价格。</w:t>
      </w:r>
    </w:p>
    <w:p w14:paraId="499D5EC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2.1.3“服务”系指成交供应商根据合同约定应向采购人履行的除货物和工程以外的其他采购对象，包括采购人自身需要的服务和向社会公众提供的公共服务。</w:t>
      </w:r>
    </w:p>
    <w:p w14:paraId="15D747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2.1.4“甲方”系指与成交供应商签署合同的采购人；采购人委托采购代理机构代表其与乙方签订合同的，采购人的授权委托书作为合同附件。</w:t>
      </w:r>
    </w:p>
    <w:p w14:paraId="3FBEEDF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2.1.5“乙方”系指根据合同约定提供服务的成交供应商；两个以上的自然人、法人或者其他组织组成一个联合体，以一个供应商的身份共同参加采购的，联合体各方均应为乙方或者与乙方相同地位的合同当事人，并就合同约定的事项对甲方承担连带责任。</w:t>
      </w:r>
    </w:p>
    <w:p w14:paraId="65EBD18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2.1.6“现场”系指合同约定提供服务的地点。</w:t>
      </w:r>
    </w:p>
    <w:p w14:paraId="71F137C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2.2 技术规范</w:t>
      </w:r>
    </w:p>
    <w:p w14:paraId="2850844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C8319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2.3 知识产权</w:t>
      </w:r>
    </w:p>
    <w:p w14:paraId="2AFB42B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FC6D6A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2.3.2 具有知识产权的计算机软件等货物的知识产权归属，详见</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w:t>
      </w:r>
    </w:p>
    <w:p w14:paraId="7FCB239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2.4 履约检查和问题反馈</w:t>
      </w:r>
    </w:p>
    <w:p w14:paraId="485EB11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2.4.1 甲方有权在其认为必要时，对乙方是否能够按照合同约定提供服务进行履约检查，以确保乙方所提供的服务能够依约满足甲方项目需求，但不得因履约检查妨碍乙方的正常工作，乙方应予积极配合；</w:t>
      </w:r>
    </w:p>
    <w:p w14:paraId="11AA089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2.4.2 合同履行期间，甲方有权将履行过程中出现的问题反馈给乙方，双方当事人应以书面形式约定需要完善和改进的内容。</w:t>
      </w:r>
    </w:p>
    <w:p w14:paraId="5A4269C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2.5 结算方式和付款条件 详见</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w:t>
      </w:r>
    </w:p>
    <w:p w14:paraId="5DA6D38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2.6 技术资料和保密义务</w:t>
      </w:r>
    </w:p>
    <w:p w14:paraId="2754A85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2.6.1 乙方有权依据合同约定和项目需要，向甲方了解有关情况，调阅有关资料等，甲方应予积极配合；</w:t>
      </w:r>
    </w:p>
    <w:p w14:paraId="3FEC021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2.6.2 乙方有义务妥善保管和保护由甲方提供的前款信息和资料等；</w:t>
      </w:r>
    </w:p>
    <w:p w14:paraId="67C2434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C83701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2.7 质量保证</w:t>
      </w:r>
    </w:p>
    <w:p w14:paraId="04B686A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2.7.1 乙方应建立和完善履行合同的内部质量保证体系，并提供相关内部规章制度给甲方，以便甲方进行监督检查；</w:t>
      </w:r>
    </w:p>
    <w:p w14:paraId="210A3AD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2.7.2 乙方应保证履行合同的人员数量和素质、软件和硬件设备的配置、场地、环境和设施等满足全面履行合同的要求，并应接受甲方的监督检查。</w:t>
      </w:r>
    </w:p>
    <w:p w14:paraId="1A8533D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2.8 延迟履行</w:t>
      </w:r>
    </w:p>
    <w:p w14:paraId="0A402C2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在合同履行过程中，如果乙方遇到不能按时提供服务的情况，应及时以书面形式将不能按时提供服务的理由、预期延误时间通知甲方；甲方收到乙方通知后</w:t>
      </w:r>
      <w:r>
        <w:rPr>
          <w:rFonts w:hint="eastAsia" w:ascii="宋体" w:hAnsi="宋体" w:cs="宋体"/>
          <w:color w:val="auto"/>
          <w:spacing w:val="0"/>
          <w:sz w:val="24"/>
          <w:szCs w:val="24"/>
          <w:highlight w:val="none"/>
        </w:rPr>
        <w:t>,</w:t>
      </w:r>
      <w:r>
        <w:rPr>
          <w:rFonts w:ascii="宋体" w:hAnsi="宋体" w:cs="宋体"/>
          <w:color w:val="auto"/>
          <w:spacing w:val="0"/>
          <w:sz w:val="24"/>
          <w:szCs w:val="24"/>
          <w:highlight w:val="none"/>
        </w:rPr>
        <w:t xml:space="preserve"> 认为其理由正当的，可以书面形式酌情同意乙方可以延长履行的具体时间。</w:t>
      </w:r>
    </w:p>
    <w:p w14:paraId="627A3C5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2.9 合同变更</w:t>
      </w:r>
    </w:p>
    <w:p w14:paraId="5287D2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2.9.1 双方当事人协商一致，可以签订书面补充合同的形式变更合同，但不得违背采购文件确定的事项；</w:t>
      </w:r>
    </w:p>
    <w:p w14:paraId="4B6BCAA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2.9.2 合同继续履行将损害国家利益和社会公共利益的，双方当事人应当以书面形式变更合同。有过错的一方应当承担赔偿责任，双方当事人都有过错的，各自承担相应的责任。</w:t>
      </w:r>
    </w:p>
    <w:p w14:paraId="47C8386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2.10 合同转让和分包</w:t>
      </w:r>
    </w:p>
    <w:p w14:paraId="096FF82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ABBA6E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2.11 不可抗力</w:t>
      </w:r>
    </w:p>
    <w:p w14:paraId="35CB72F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2.11.1 如果任何一方遭遇法律规定的不可抗力，致使合同履行受阻时，履行合同的期限应予延长，延长的期限应相当于不可抗力所影响的时间；</w:t>
      </w:r>
    </w:p>
    <w:p w14:paraId="633477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2.11.2 因不可抗力致使不能实现合同目的的，当事人可以解除合同；</w:t>
      </w:r>
    </w:p>
    <w:p w14:paraId="5EFD30D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2.11.3 因不可抗力致使合同有变更必要的，双方当事人应在</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约定时间内以书面形式变更合同；</w:t>
      </w:r>
    </w:p>
    <w:p w14:paraId="4F1A595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2.11.4 受不可抗力影响的一方在不可抗力发生后，应在</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约定时 间内以书面形式通知对方当事人，并在</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约定时间内，将有关部门出具的证明文件送达对方当事人。</w:t>
      </w:r>
    </w:p>
    <w:p w14:paraId="44CBD74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2.12 税费</w:t>
      </w:r>
    </w:p>
    <w:p w14:paraId="7CE805E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与合同有关的一切税费，均按照中华人民共和国法律的相关规定缴纳。</w:t>
      </w:r>
    </w:p>
    <w:p w14:paraId="303EDCF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2.13 乙方破产</w:t>
      </w:r>
    </w:p>
    <w:p w14:paraId="0F1E030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83442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2.14 合同中止、终止</w:t>
      </w:r>
    </w:p>
    <w:p w14:paraId="7D86D09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2.14.1 双方当事人不得擅自中止或者终止合同；</w:t>
      </w:r>
    </w:p>
    <w:p w14:paraId="47D7CAB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5DF94F3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2.15 检验和验收</w:t>
      </w:r>
    </w:p>
    <w:p w14:paraId="41D70EC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2.15.1 乙方按照</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的约定，定期提交服务报告，甲方按照</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的约定进行定期验收；</w:t>
      </w:r>
    </w:p>
    <w:p w14:paraId="1A53A3C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3A7EA1B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5"/>
          <w:szCs w:val="25"/>
          <w:highlight w:val="none"/>
        </w:rPr>
      </w:pPr>
      <w:r>
        <w:rPr>
          <w:rFonts w:ascii="宋体" w:hAnsi="宋体" w:cs="宋体"/>
          <w:color w:val="auto"/>
          <w:spacing w:val="0"/>
          <w:sz w:val="24"/>
          <w:szCs w:val="24"/>
          <w:highlight w:val="none"/>
        </w:rPr>
        <w:t>2.15.3 检验和验收标准、程序等具体内容以及前述验收书的效力详见</w:t>
      </w:r>
      <w:r>
        <w:rPr>
          <w:rFonts w:ascii="宋体" w:hAnsi="宋体" w:cs="宋体"/>
          <w:color w:val="auto"/>
          <w:spacing w:val="0"/>
          <w:sz w:val="24"/>
          <w:szCs w:val="24"/>
          <w:highlight w:val="none"/>
          <w:u w:val="single"/>
        </w:rPr>
        <w:t>合同专用条款。</w:t>
      </w:r>
    </w:p>
    <w:p w14:paraId="5C5C5CF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2.16 合同使用的文字和适用的法律</w:t>
      </w:r>
    </w:p>
    <w:p w14:paraId="0CDC52B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2.16.1 合同使用汉语书就、变更和解释；</w:t>
      </w:r>
    </w:p>
    <w:p w14:paraId="6DDE2FE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2.16.2 合同适用中华人民共和国法律。</w:t>
      </w:r>
    </w:p>
    <w:p w14:paraId="704A4BC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2.17 履约保证金</w:t>
      </w:r>
    </w:p>
    <w:p w14:paraId="3A5BA25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2.17.1 采购文件要求乙方提交履约保证金的，乙方应按</w:t>
      </w:r>
      <w:r>
        <w:rPr>
          <w:rFonts w:hint="eastAsia" w:ascii="宋体" w:hAnsi="宋体" w:cs="宋体"/>
          <w:color w:val="auto"/>
          <w:spacing w:val="0"/>
          <w:sz w:val="24"/>
          <w:szCs w:val="24"/>
          <w:highlight w:val="none"/>
          <w:u w:val="single"/>
        </w:rPr>
        <w:t>供应商须知前附表的</w:t>
      </w:r>
      <w:r>
        <w:rPr>
          <w:rFonts w:ascii="宋体" w:hAnsi="宋体" w:cs="宋体"/>
          <w:color w:val="auto"/>
          <w:spacing w:val="0"/>
          <w:sz w:val="24"/>
          <w:szCs w:val="24"/>
          <w:highlight w:val="none"/>
        </w:rPr>
        <w:t>约定提交履约保证金；</w:t>
      </w:r>
    </w:p>
    <w:p w14:paraId="3403EAD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2.17.</w:t>
      </w:r>
      <w:r>
        <w:rPr>
          <w:rFonts w:hint="eastAsia" w:ascii="宋体" w:hAnsi="宋体" w:cs="宋体"/>
          <w:color w:val="auto"/>
          <w:spacing w:val="0"/>
          <w:sz w:val="24"/>
          <w:szCs w:val="24"/>
          <w:highlight w:val="none"/>
          <w:lang w:val="en-US" w:eastAsia="zh-CN"/>
        </w:rPr>
        <w:t>2</w:t>
      </w:r>
      <w:r>
        <w:rPr>
          <w:rFonts w:ascii="宋体" w:hAnsi="宋体" w:cs="宋体"/>
          <w:color w:val="auto"/>
          <w:spacing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6F56B6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2.18 合同份数</w:t>
      </w:r>
    </w:p>
    <w:p w14:paraId="65B545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pacing w:val="0"/>
          <w:sz w:val="24"/>
          <w:szCs w:val="24"/>
          <w:highlight w:val="none"/>
        </w:rPr>
      </w:pPr>
      <w:r>
        <w:rPr>
          <w:rFonts w:ascii="宋体" w:hAnsi="宋体" w:cs="宋体"/>
          <w:color w:val="auto"/>
          <w:spacing w:val="0"/>
          <w:sz w:val="24"/>
          <w:szCs w:val="24"/>
          <w:highlight w:val="none"/>
        </w:rPr>
        <w:t>合同份数按</w:t>
      </w:r>
      <w:r>
        <w:rPr>
          <w:rFonts w:ascii="宋体" w:hAnsi="宋体" w:cs="宋体"/>
          <w:color w:val="auto"/>
          <w:spacing w:val="0"/>
          <w:sz w:val="24"/>
          <w:szCs w:val="24"/>
          <w:highlight w:val="none"/>
          <w:u w:val="single"/>
        </w:rPr>
        <w:t>合同专用条款</w:t>
      </w:r>
      <w:r>
        <w:rPr>
          <w:rFonts w:ascii="宋体" w:hAnsi="宋体" w:cs="宋体"/>
          <w:color w:val="auto"/>
          <w:spacing w:val="0"/>
          <w:sz w:val="24"/>
          <w:szCs w:val="24"/>
          <w:highlight w:val="none"/>
        </w:rPr>
        <w:t>规定，每份均具有同等法律效力。</w:t>
      </w:r>
    </w:p>
    <w:p w14:paraId="50AC183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color w:val="auto"/>
          <w:spacing w:val="0"/>
          <w:highlight w:val="none"/>
        </w:rPr>
        <w:sectPr>
          <w:headerReference r:id="rId3" w:type="default"/>
          <w:footerReference r:id="rId4" w:type="default"/>
          <w:pgSz w:w="11905" w:h="16838"/>
          <w:pgMar w:top="1474" w:right="1361" w:bottom="1361" w:left="1474" w:header="964" w:footer="964" w:gutter="0"/>
          <w:pgNumType w:fmt="decimal"/>
          <w:cols w:space="0" w:num="1"/>
          <w:rtlGutter w:val="0"/>
          <w:docGrid w:linePitch="0" w:charSpace="0"/>
        </w:sectPr>
      </w:pPr>
    </w:p>
    <w:p w14:paraId="513046D8">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24"/>
          <w:szCs w:val="16"/>
          <w:highlight w:val="none"/>
        </w:rPr>
      </w:pPr>
      <w:bookmarkStart w:id="112" w:name="_Toc7080"/>
      <w:bookmarkStart w:id="113" w:name="_Toc17316"/>
      <w:r>
        <w:rPr>
          <w:rFonts w:hint="eastAsia" w:ascii="宋体" w:hAnsi="宋体" w:eastAsia="宋体" w:cs="宋体"/>
          <w:color w:val="auto"/>
          <w:sz w:val="24"/>
          <w:szCs w:val="16"/>
          <w:highlight w:val="none"/>
        </w:rPr>
        <w:t>第三部分 合同专用条款</w:t>
      </w:r>
      <w:bookmarkEnd w:id="112"/>
      <w:bookmarkEnd w:id="113"/>
    </w:p>
    <w:p w14:paraId="2AEF3738">
      <w:pPr>
        <w:spacing w:before="184" w:line="360" w:lineRule="auto"/>
        <w:ind w:left="42" w:firstLine="435"/>
        <w:rPr>
          <w:rFonts w:ascii="宋体" w:hAnsi="宋体" w:cs="宋体"/>
          <w:color w:val="auto"/>
          <w:sz w:val="24"/>
          <w:szCs w:val="24"/>
          <w:highlight w:val="none"/>
        </w:rPr>
      </w:pPr>
      <w:r>
        <w:rPr>
          <w:rFonts w:ascii="宋体" w:hAnsi="宋体" w:cs="宋体"/>
          <w:color w:val="auto"/>
          <w:spacing w:val="1"/>
          <w:sz w:val="24"/>
          <w:szCs w:val="24"/>
          <w:highlight w:val="none"/>
        </w:rPr>
        <w:t>本部分是对前两</w:t>
      </w:r>
      <w:r>
        <w:rPr>
          <w:rFonts w:ascii="宋体" w:hAnsi="宋体" w:cs="宋体"/>
          <w:color w:val="auto"/>
          <w:sz w:val="24"/>
          <w:szCs w:val="24"/>
          <w:highlight w:val="none"/>
        </w:rPr>
        <w:t>部分的补充和修改，如果前两部分和本部分的约定不一致，</w:t>
      </w:r>
      <w:r>
        <w:rPr>
          <w:rFonts w:ascii="宋体" w:hAnsi="宋体" w:cs="宋体"/>
          <w:color w:val="auto"/>
          <w:spacing w:val="-4"/>
          <w:sz w:val="24"/>
          <w:szCs w:val="24"/>
          <w:highlight w:val="none"/>
        </w:rPr>
        <w:t>应以本部分的约定为准。本部</w:t>
      </w:r>
      <w:r>
        <w:rPr>
          <w:rFonts w:ascii="宋体" w:hAnsi="宋体" w:cs="宋体"/>
          <w:color w:val="auto"/>
          <w:spacing w:val="-3"/>
          <w:sz w:val="24"/>
          <w:szCs w:val="24"/>
          <w:highlight w:val="none"/>
        </w:rPr>
        <w:t>分</w:t>
      </w:r>
      <w:r>
        <w:rPr>
          <w:rFonts w:ascii="宋体" w:hAnsi="宋体" w:cs="宋体"/>
          <w:color w:val="auto"/>
          <w:spacing w:val="-2"/>
          <w:sz w:val="24"/>
          <w:szCs w:val="24"/>
          <w:highlight w:val="none"/>
        </w:rPr>
        <w:t>的条款号应与前两部分的条款号保持对应；与前</w:t>
      </w:r>
      <w:r>
        <w:rPr>
          <w:rFonts w:ascii="宋体" w:hAnsi="宋体" w:cs="宋体"/>
          <w:color w:val="auto"/>
          <w:spacing w:val="-1"/>
          <w:sz w:val="24"/>
          <w:szCs w:val="24"/>
          <w:highlight w:val="none"/>
        </w:rPr>
        <w:t>两部分无对应关系的内容</w:t>
      </w:r>
      <w:r>
        <w:rPr>
          <w:rFonts w:ascii="宋体" w:hAnsi="宋体" w:cs="宋体"/>
          <w:color w:val="auto"/>
          <w:sz w:val="24"/>
          <w:szCs w:val="24"/>
          <w:highlight w:val="none"/>
        </w:rPr>
        <w:t>可另行编制条款号。</w:t>
      </w:r>
    </w:p>
    <w:p w14:paraId="648E92AA">
      <w:pPr>
        <w:spacing w:line="69" w:lineRule="exact"/>
        <w:rPr>
          <w:color w:val="auto"/>
          <w:highlight w:val="none"/>
        </w:rPr>
      </w:pPr>
    </w:p>
    <w:tbl>
      <w:tblPr>
        <w:tblStyle w:val="34"/>
        <w:tblW w:w="8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8164"/>
      </w:tblGrid>
      <w:tr w14:paraId="2FC5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4FDB7833">
            <w:pPr>
              <w:bidi w:val="0"/>
              <w:jc w:val="center"/>
              <w:rPr>
                <w:b/>
                <w:bCs/>
                <w:color w:val="auto"/>
                <w:highlight w:val="none"/>
              </w:rPr>
            </w:pPr>
            <w:r>
              <w:rPr>
                <w:b/>
                <w:bCs/>
                <w:color w:val="auto"/>
                <w:highlight w:val="none"/>
              </w:rPr>
              <w:t>条款号</w:t>
            </w:r>
          </w:p>
        </w:tc>
        <w:tc>
          <w:tcPr>
            <w:tcW w:w="8164" w:type="dxa"/>
            <w:tcBorders>
              <w:left w:val="single" w:color="000000" w:sz="4" w:space="0"/>
              <w:right w:val="single" w:color="000000" w:sz="4" w:space="0"/>
            </w:tcBorders>
            <w:noWrap w:val="0"/>
            <w:vAlign w:val="center"/>
          </w:tcPr>
          <w:p w14:paraId="6005F301">
            <w:pPr>
              <w:bidi w:val="0"/>
              <w:jc w:val="center"/>
              <w:rPr>
                <w:b/>
                <w:bCs/>
                <w:color w:val="auto"/>
                <w:highlight w:val="none"/>
              </w:rPr>
            </w:pPr>
            <w:r>
              <w:rPr>
                <w:b/>
                <w:bCs/>
                <w:color w:val="auto"/>
                <w:highlight w:val="none"/>
              </w:rPr>
              <w:t>约定内容</w:t>
            </w:r>
          </w:p>
        </w:tc>
      </w:tr>
      <w:tr w14:paraId="5750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7B18D758">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7B14D138">
            <w:pPr>
              <w:bidi w:val="0"/>
              <w:jc w:val="center"/>
              <w:rPr>
                <w:color w:val="auto"/>
                <w:highlight w:val="none"/>
              </w:rPr>
            </w:pPr>
          </w:p>
        </w:tc>
      </w:tr>
      <w:tr w14:paraId="6F6C2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58CD6ADE">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33809F6D">
            <w:pPr>
              <w:bidi w:val="0"/>
              <w:jc w:val="center"/>
              <w:rPr>
                <w:color w:val="auto"/>
                <w:highlight w:val="none"/>
              </w:rPr>
            </w:pPr>
          </w:p>
        </w:tc>
      </w:tr>
      <w:tr w14:paraId="661D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3ED4B5AB">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06F4F5AD">
            <w:pPr>
              <w:bidi w:val="0"/>
              <w:jc w:val="center"/>
              <w:rPr>
                <w:color w:val="auto"/>
                <w:highlight w:val="none"/>
              </w:rPr>
            </w:pPr>
          </w:p>
        </w:tc>
      </w:tr>
      <w:tr w14:paraId="0BDB1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5A0713EB">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6D56F4D3">
            <w:pPr>
              <w:bidi w:val="0"/>
              <w:jc w:val="center"/>
              <w:rPr>
                <w:color w:val="auto"/>
                <w:highlight w:val="none"/>
              </w:rPr>
            </w:pPr>
          </w:p>
        </w:tc>
      </w:tr>
      <w:tr w14:paraId="0676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6BB5760F">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797ED3BC">
            <w:pPr>
              <w:bidi w:val="0"/>
              <w:jc w:val="center"/>
              <w:rPr>
                <w:color w:val="auto"/>
                <w:highlight w:val="none"/>
              </w:rPr>
            </w:pPr>
          </w:p>
        </w:tc>
      </w:tr>
      <w:tr w14:paraId="0EA6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1F772B8F">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0B989E29">
            <w:pPr>
              <w:bidi w:val="0"/>
              <w:jc w:val="center"/>
              <w:rPr>
                <w:color w:val="auto"/>
                <w:highlight w:val="none"/>
              </w:rPr>
            </w:pPr>
          </w:p>
        </w:tc>
      </w:tr>
      <w:tr w14:paraId="6A46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8" w:type="dxa"/>
            <w:tcBorders>
              <w:right w:val="single" w:color="000000" w:sz="4" w:space="0"/>
            </w:tcBorders>
            <w:noWrap w:val="0"/>
            <w:vAlign w:val="center"/>
          </w:tcPr>
          <w:p w14:paraId="57C54551">
            <w:pPr>
              <w:bidi w:val="0"/>
              <w:jc w:val="center"/>
              <w:rPr>
                <w:color w:val="auto"/>
                <w:highlight w:val="none"/>
              </w:rPr>
            </w:pPr>
          </w:p>
        </w:tc>
        <w:tc>
          <w:tcPr>
            <w:tcW w:w="8164" w:type="dxa"/>
            <w:tcBorders>
              <w:left w:val="single" w:color="000000" w:sz="4" w:space="0"/>
              <w:right w:val="single" w:color="000000" w:sz="4" w:space="0"/>
            </w:tcBorders>
            <w:noWrap w:val="0"/>
            <w:vAlign w:val="center"/>
          </w:tcPr>
          <w:p w14:paraId="76EC1A3A">
            <w:pPr>
              <w:bidi w:val="0"/>
              <w:jc w:val="center"/>
              <w:rPr>
                <w:color w:val="auto"/>
                <w:highlight w:val="none"/>
              </w:rPr>
            </w:pPr>
          </w:p>
        </w:tc>
      </w:tr>
    </w:tbl>
    <w:p w14:paraId="15187893">
      <w:pPr>
        <w:pStyle w:val="2"/>
        <w:rPr>
          <w:color w:val="auto"/>
          <w:highlight w:val="none"/>
        </w:rPr>
      </w:pPr>
    </w:p>
    <w:p w14:paraId="174595B0">
      <w:pPr>
        <w:pStyle w:val="2"/>
        <w:rPr>
          <w:color w:val="auto"/>
          <w:highlight w:val="none"/>
        </w:rPr>
      </w:pPr>
    </w:p>
    <w:p w14:paraId="0C16A077">
      <w:pPr>
        <w:pStyle w:val="2"/>
        <w:rPr>
          <w:color w:val="auto"/>
          <w:highlight w:val="none"/>
        </w:rPr>
      </w:pPr>
    </w:p>
    <w:p w14:paraId="2DBEE41A">
      <w:pPr>
        <w:pStyle w:val="25"/>
        <w:rPr>
          <w:color w:val="auto"/>
          <w:highlight w:val="none"/>
        </w:rPr>
      </w:pPr>
    </w:p>
    <w:p w14:paraId="4A4AD934">
      <w:pPr>
        <w:rPr>
          <w:color w:val="auto"/>
          <w:highlight w:val="none"/>
        </w:rPr>
      </w:pPr>
    </w:p>
    <w:p w14:paraId="445B4499">
      <w:pPr>
        <w:rPr>
          <w:color w:val="auto"/>
          <w:highlight w:val="none"/>
        </w:rPr>
      </w:pPr>
    </w:p>
    <w:p w14:paraId="7D0B1E83">
      <w:pPr>
        <w:rPr>
          <w:color w:val="auto"/>
          <w:highlight w:val="none"/>
        </w:rPr>
      </w:pPr>
    </w:p>
    <w:p w14:paraId="744BFD43">
      <w:pPr>
        <w:rPr>
          <w:color w:val="auto"/>
          <w:highlight w:val="none"/>
        </w:rPr>
      </w:pPr>
    </w:p>
    <w:p w14:paraId="1D4F9388">
      <w:pPr>
        <w:rPr>
          <w:color w:val="auto"/>
          <w:highlight w:val="none"/>
        </w:rPr>
      </w:pPr>
    </w:p>
    <w:p w14:paraId="70620DA0">
      <w:pPr>
        <w:rPr>
          <w:color w:val="auto"/>
          <w:highlight w:val="none"/>
        </w:rPr>
      </w:pPr>
    </w:p>
    <w:p w14:paraId="57DAD6C6">
      <w:pPr>
        <w:rPr>
          <w:color w:val="auto"/>
          <w:highlight w:val="none"/>
        </w:rPr>
      </w:pPr>
    </w:p>
    <w:p w14:paraId="6760ED35">
      <w:pPr>
        <w:rPr>
          <w:color w:val="auto"/>
          <w:highlight w:val="none"/>
        </w:rPr>
      </w:pPr>
    </w:p>
    <w:p w14:paraId="222790D3">
      <w:pPr>
        <w:pStyle w:val="2"/>
        <w:rPr>
          <w:color w:val="auto"/>
          <w:highlight w:val="none"/>
        </w:rPr>
      </w:pPr>
    </w:p>
    <w:p w14:paraId="34530BE5">
      <w:pPr>
        <w:pStyle w:val="2"/>
        <w:rPr>
          <w:color w:val="auto"/>
          <w:highlight w:val="none"/>
        </w:rPr>
      </w:pPr>
    </w:p>
    <w:p w14:paraId="0A5A2105">
      <w:pPr>
        <w:pStyle w:val="2"/>
        <w:rPr>
          <w:color w:val="auto"/>
          <w:highlight w:val="none"/>
        </w:rPr>
      </w:pPr>
    </w:p>
    <w:p w14:paraId="51C22C8E">
      <w:pPr>
        <w:pStyle w:val="2"/>
        <w:rPr>
          <w:color w:val="auto"/>
          <w:highlight w:val="none"/>
        </w:rPr>
      </w:pPr>
    </w:p>
    <w:p w14:paraId="7E40A2E7">
      <w:pPr>
        <w:rPr>
          <w:color w:val="auto"/>
          <w:highlight w:val="none"/>
        </w:rPr>
      </w:pPr>
    </w:p>
    <w:p w14:paraId="1F8670EA">
      <w:pPr>
        <w:rPr>
          <w:color w:val="auto"/>
          <w:highlight w:val="none"/>
        </w:rPr>
      </w:pPr>
    </w:p>
    <w:bookmarkEnd w:id="107"/>
    <w:p w14:paraId="4AEBC382">
      <w:pPr>
        <w:pStyle w:val="4"/>
        <w:keepLines/>
        <w:spacing w:after="120" w:afterLines="50" w:line="360" w:lineRule="auto"/>
        <w:jc w:val="center"/>
        <w:rPr>
          <w:b/>
          <w:bCs/>
          <w:color w:val="auto"/>
          <w:kern w:val="44"/>
          <w:sz w:val="30"/>
          <w:szCs w:val="44"/>
          <w:highlight w:val="none"/>
        </w:rPr>
      </w:pPr>
      <w:bookmarkStart w:id="114" w:name="_Toc20438"/>
      <w:bookmarkStart w:id="115" w:name="_Toc24540"/>
      <w:bookmarkStart w:id="116" w:name="_Toc29608"/>
      <w:bookmarkStart w:id="117" w:name="_Toc29367"/>
      <w:bookmarkStart w:id="118" w:name="_Toc363199273"/>
      <w:r>
        <w:rPr>
          <w:rFonts w:hint="eastAsia"/>
          <w:b/>
          <w:bCs/>
          <w:color w:val="auto"/>
          <w:kern w:val="44"/>
          <w:sz w:val="30"/>
          <w:szCs w:val="44"/>
          <w:highlight w:val="none"/>
        </w:rPr>
        <w:t>三、</w:t>
      </w:r>
      <w:r>
        <w:rPr>
          <w:rFonts w:hint="eastAsia"/>
          <w:b/>
          <w:bCs/>
          <w:color w:val="auto"/>
          <w:kern w:val="44"/>
          <w:sz w:val="30"/>
          <w:szCs w:val="44"/>
          <w:highlight w:val="none"/>
          <w:lang w:val="en-US" w:eastAsia="zh-CN"/>
        </w:rPr>
        <w:t>采购</w:t>
      </w:r>
      <w:r>
        <w:rPr>
          <w:rFonts w:hint="eastAsia"/>
          <w:b/>
          <w:bCs/>
          <w:color w:val="auto"/>
          <w:kern w:val="44"/>
          <w:sz w:val="30"/>
          <w:szCs w:val="44"/>
          <w:highlight w:val="none"/>
        </w:rPr>
        <w:t>需求</w:t>
      </w:r>
      <w:bookmarkEnd w:id="114"/>
      <w:bookmarkEnd w:id="115"/>
      <w:bookmarkEnd w:id="116"/>
      <w:bookmarkEnd w:id="117"/>
    </w:p>
    <w:p w14:paraId="05EEC20C">
      <w:pPr>
        <w:spacing w:line="360" w:lineRule="auto"/>
        <w:jc w:val="both"/>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前注：本项目采购需求由采购人提供并负责解释</w:t>
      </w:r>
    </w:p>
    <w:p w14:paraId="1DA45EA8">
      <w:pPr>
        <w:spacing w:line="360" w:lineRule="auto"/>
        <w:ind w:firstLine="480" w:firstLineChars="200"/>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1、本采购需求中提出的服务要求、技术方案仅为参考，如无明确限制，供应商可以进行优化，提供满足采购人实际需要的更优（或者实质上不低于的）服务、技术方案，且须经</w:t>
      </w:r>
      <w:r>
        <w:rPr>
          <w:rFonts w:hint="eastAsia" w:ascii="宋体" w:hAnsi="宋体" w:cs="Times New Roman"/>
          <w:bCs/>
          <w:color w:val="auto"/>
          <w:sz w:val="24"/>
          <w:highlight w:val="none"/>
          <w:lang w:val="en-US" w:eastAsia="zh-CN"/>
        </w:rPr>
        <w:t>磋商小组</w:t>
      </w:r>
      <w:r>
        <w:rPr>
          <w:rFonts w:hint="eastAsia" w:ascii="宋体" w:hAnsi="宋体" w:eastAsia="宋体" w:cs="Times New Roman"/>
          <w:bCs/>
          <w:color w:val="auto"/>
          <w:sz w:val="24"/>
          <w:highlight w:val="none"/>
          <w:lang w:val="en-US" w:eastAsia="zh-CN"/>
        </w:rPr>
        <w:t>评审认可；</w:t>
      </w:r>
    </w:p>
    <w:p w14:paraId="646910D6">
      <w:pPr>
        <w:widowControl w:val="0"/>
        <w:numPr>
          <w:ilvl w:val="0"/>
          <w:numId w:val="0"/>
        </w:numPr>
        <w:spacing w:line="360" w:lineRule="auto"/>
        <w:ind w:firstLine="480" w:firstLineChars="200"/>
        <w:jc w:val="both"/>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、供应商应当在</w:t>
      </w:r>
      <w:r>
        <w:rPr>
          <w:rFonts w:hint="eastAsia" w:ascii="宋体" w:hAnsi="宋体" w:cs="宋体"/>
          <w:color w:val="auto"/>
          <w:sz w:val="24"/>
          <w:szCs w:val="22"/>
          <w:highlight w:val="none"/>
          <w:lang w:val="en-US" w:eastAsia="zh-CN"/>
        </w:rPr>
        <w:t>响应</w:t>
      </w:r>
      <w:r>
        <w:rPr>
          <w:rFonts w:hint="eastAsia" w:ascii="宋体" w:hAnsi="宋体" w:eastAsia="宋体" w:cs="宋体"/>
          <w:color w:val="auto"/>
          <w:sz w:val="24"/>
          <w:szCs w:val="22"/>
          <w:highlight w:val="none"/>
        </w:rPr>
        <w:t>文件中列出完成本项目服务</w:t>
      </w:r>
      <w:r>
        <w:rPr>
          <w:rFonts w:hint="eastAsia" w:ascii="宋体" w:hAnsi="宋体" w:eastAsia="宋体" w:cs="宋体"/>
          <w:color w:val="auto"/>
          <w:sz w:val="24"/>
          <w:szCs w:val="22"/>
          <w:highlight w:val="none"/>
          <w:lang w:val="en-US" w:eastAsia="zh-CN"/>
        </w:rPr>
        <w:t>的</w:t>
      </w:r>
      <w:r>
        <w:rPr>
          <w:rFonts w:hint="eastAsia" w:ascii="宋体" w:hAnsi="宋体" w:eastAsia="宋体" w:cs="宋体"/>
          <w:color w:val="auto"/>
          <w:sz w:val="24"/>
          <w:szCs w:val="22"/>
          <w:highlight w:val="none"/>
        </w:rPr>
        <w:t>全部费用。供应商应自行踏查项目现场，如因供应商未及时踏查现场而导致的报价缺项</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漏项</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废标、或</w:t>
      </w:r>
      <w:r>
        <w:rPr>
          <w:rFonts w:hint="eastAsia" w:ascii="宋体" w:hAnsi="宋体" w:cs="宋体"/>
          <w:color w:val="auto"/>
          <w:sz w:val="24"/>
          <w:szCs w:val="22"/>
          <w:highlight w:val="none"/>
          <w:lang w:val="en-US" w:eastAsia="zh-CN"/>
        </w:rPr>
        <w:t>成交</w:t>
      </w:r>
      <w:r>
        <w:rPr>
          <w:rFonts w:hint="eastAsia" w:ascii="宋体" w:hAnsi="宋体" w:eastAsia="宋体" w:cs="宋体"/>
          <w:color w:val="auto"/>
          <w:sz w:val="24"/>
          <w:szCs w:val="22"/>
          <w:highlight w:val="none"/>
        </w:rPr>
        <w:t>后无法完工，供应商自行承担一切后果</w:t>
      </w:r>
      <w:r>
        <w:rPr>
          <w:rFonts w:hint="eastAsia" w:ascii="宋体" w:hAnsi="宋体" w:eastAsia="宋体" w:cs="宋体"/>
          <w:color w:val="auto"/>
          <w:sz w:val="24"/>
          <w:szCs w:val="22"/>
          <w:highlight w:val="none"/>
          <w:lang w:eastAsia="zh-CN"/>
        </w:rPr>
        <w:t>。</w:t>
      </w:r>
    </w:p>
    <w:p w14:paraId="695166D0">
      <w:pPr>
        <w:widowControl w:val="0"/>
        <w:numPr>
          <w:ilvl w:val="0"/>
          <w:numId w:val="0"/>
        </w:numPr>
        <w:spacing w:line="360" w:lineRule="auto"/>
        <w:ind w:firstLine="480" w:firstLineChars="200"/>
        <w:jc w:val="both"/>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lang w:eastAsia="zh-CN"/>
        </w:rPr>
        <w:t>如果</w:t>
      </w:r>
      <w:r>
        <w:rPr>
          <w:rFonts w:hint="eastAsia" w:ascii="宋体" w:hAnsi="宋体" w:eastAsia="宋体" w:cs="宋体"/>
          <w:color w:val="auto"/>
          <w:sz w:val="24"/>
          <w:szCs w:val="22"/>
          <w:highlight w:val="none"/>
          <w:lang w:val="en-US" w:eastAsia="zh-CN"/>
        </w:rPr>
        <w:t>本</w:t>
      </w:r>
      <w:r>
        <w:rPr>
          <w:rFonts w:hint="eastAsia" w:ascii="宋体" w:hAnsi="宋体" w:eastAsia="宋体" w:cs="宋体"/>
          <w:color w:val="auto"/>
          <w:sz w:val="24"/>
          <w:szCs w:val="22"/>
          <w:highlight w:val="none"/>
          <w:lang w:eastAsia="zh-CN"/>
        </w:rPr>
        <w:t>项目实施过程中国家或安徽省有关政策</w:t>
      </w:r>
      <w:r>
        <w:rPr>
          <w:rFonts w:hint="eastAsia" w:ascii="宋体" w:hAnsi="宋体" w:eastAsia="宋体" w:cs="宋体"/>
          <w:color w:val="auto"/>
          <w:sz w:val="24"/>
          <w:szCs w:val="22"/>
          <w:highlight w:val="none"/>
          <w:lang w:val="en-US" w:eastAsia="zh-CN"/>
        </w:rPr>
        <w:t>发生</w:t>
      </w:r>
      <w:r>
        <w:rPr>
          <w:rFonts w:hint="eastAsia" w:ascii="宋体" w:hAnsi="宋体" w:eastAsia="宋体" w:cs="宋体"/>
          <w:color w:val="auto"/>
          <w:sz w:val="24"/>
          <w:szCs w:val="22"/>
          <w:highlight w:val="none"/>
          <w:lang w:eastAsia="zh-CN"/>
        </w:rPr>
        <w:t>变化，</w:t>
      </w:r>
      <w:r>
        <w:rPr>
          <w:rFonts w:hint="eastAsia" w:ascii="宋体" w:hAnsi="宋体" w:eastAsia="宋体" w:cs="宋体"/>
          <w:color w:val="auto"/>
          <w:sz w:val="24"/>
          <w:szCs w:val="22"/>
          <w:highlight w:val="none"/>
          <w:lang w:val="en-US" w:eastAsia="zh-CN"/>
        </w:rPr>
        <w:t>采购人须</w:t>
      </w:r>
      <w:r>
        <w:rPr>
          <w:rFonts w:hint="eastAsia" w:ascii="宋体" w:hAnsi="宋体" w:eastAsia="宋体" w:cs="宋体"/>
          <w:color w:val="auto"/>
          <w:sz w:val="24"/>
          <w:szCs w:val="22"/>
          <w:highlight w:val="none"/>
          <w:lang w:eastAsia="zh-CN"/>
        </w:rPr>
        <w:t>调整采购需求的，</w:t>
      </w:r>
      <w:r>
        <w:rPr>
          <w:rFonts w:hint="eastAsia" w:ascii="宋体" w:hAnsi="宋体" w:eastAsia="宋体" w:cs="宋体"/>
          <w:color w:val="auto"/>
          <w:sz w:val="24"/>
          <w:szCs w:val="22"/>
          <w:highlight w:val="none"/>
          <w:lang w:val="en-US" w:eastAsia="zh-CN"/>
        </w:rPr>
        <w:t>供应商</w:t>
      </w:r>
      <w:r>
        <w:rPr>
          <w:rFonts w:hint="eastAsia" w:ascii="宋体" w:hAnsi="宋体" w:eastAsia="宋体" w:cs="宋体"/>
          <w:color w:val="auto"/>
          <w:sz w:val="24"/>
          <w:szCs w:val="22"/>
          <w:highlight w:val="none"/>
          <w:lang w:eastAsia="zh-CN"/>
        </w:rPr>
        <w:t>必须无条件响应有关调整，并按调整后的采购需求实施。</w:t>
      </w:r>
    </w:p>
    <w:p w14:paraId="605FD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eastAsia="zh-CN"/>
        </w:rPr>
        <w:t>）</w:t>
      </w:r>
      <w:bookmarkStart w:id="119" w:name="_Toc19630"/>
      <w:bookmarkStart w:id="120" w:name="_Toc10849"/>
      <w:bookmarkStart w:id="121" w:name="_Toc5788"/>
      <w:r>
        <w:rPr>
          <w:rFonts w:hint="eastAsia" w:ascii="宋体" w:hAnsi="宋体" w:cs="宋体"/>
          <w:b/>
          <w:bCs/>
          <w:color w:val="000000" w:themeColor="text1"/>
          <w:sz w:val="24"/>
          <w:szCs w:val="24"/>
          <w:highlight w:val="none"/>
          <w:lang w:val="en-US" w:eastAsia="zh-CN"/>
          <w14:textFill>
            <w14:solidFill>
              <w14:schemeClr w14:val="tx1"/>
            </w14:solidFill>
          </w14:textFill>
        </w:rPr>
        <w:t>服务内容</w:t>
      </w:r>
    </w:p>
    <w:p w14:paraId="11860E2E">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eastAsia="zh-CN"/>
        </w:rPr>
        <w:t>为进一步加强报废国有资产管理</w:t>
      </w:r>
      <w:r>
        <w:rPr>
          <w:rFonts w:hint="eastAsia" w:ascii="新宋体" w:hAnsi="新宋体" w:eastAsia="新宋体" w:cs="新宋体"/>
          <w:color w:val="auto"/>
          <w:sz w:val="24"/>
          <w:highlight w:val="none"/>
        </w:rPr>
        <w:t>。</w:t>
      </w:r>
      <w:r>
        <w:rPr>
          <w:rFonts w:hint="eastAsia" w:ascii="新宋体" w:hAnsi="新宋体" w:eastAsia="新宋体" w:cs="新宋体"/>
          <w:color w:val="auto"/>
          <w:sz w:val="24"/>
          <w:highlight w:val="none"/>
          <w:lang w:val="en-US" w:eastAsia="zh-CN"/>
        </w:rPr>
        <w:t>现采购一家拍卖服务机构</w:t>
      </w:r>
      <w:r>
        <w:rPr>
          <w:rFonts w:hint="eastAsia" w:ascii="新宋体" w:hAnsi="新宋体" w:eastAsia="新宋体" w:cs="新宋体"/>
          <w:color w:val="auto"/>
          <w:sz w:val="24"/>
          <w:highlight w:val="none"/>
        </w:rPr>
        <w:t>通过公开</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rPr>
        <w:t>方式处置部分</w:t>
      </w:r>
      <w:r>
        <w:rPr>
          <w:rFonts w:hint="eastAsia" w:ascii="新宋体" w:hAnsi="新宋体" w:eastAsia="新宋体" w:cs="新宋体"/>
          <w:color w:val="auto"/>
          <w:sz w:val="24"/>
          <w:highlight w:val="none"/>
          <w:lang w:val="en-US" w:eastAsia="zh-CN"/>
        </w:rPr>
        <w:t>报废</w:t>
      </w:r>
      <w:r>
        <w:rPr>
          <w:rFonts w:hint="eastAsia" w:ascii="新宋体" w:hAnsi="新宋体" w:eastAsia="新宋体" w:cs="新宋体"/>
          <w:color w:val="auto"/>
          <w:sz w:val="24"/>
          <w:highlight w:val="none"/>
        </w:rPr>
        <w:t>资产</w:t>
      </w:r>
      <w:r>
        <w:rPr>
          <w:rFonts w:hint="eastAsia" w:ascii="新宋体" w:hAnsi="新宋体" w:eastAsia="新宋体" w:cs="新宋体"/>
          <w:color w:val="auto"/>
          <w:sz w:val="24"/>
          <w:highlight w:val="none"/>
          <w:lang w:val="en-US" w:eastAsia="zh-CN"/>
        </w:rPr>
        <w:t>。</w:t>
      </w:r>
    </w:p>
    <w:p w14:paraId="0ABA41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（二）服务要求</w:t>
      </w:r>
    </w:p>
    <w:p w14:paraId="5CA484F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eastAsia="zh-CN"/>
        </w:rPr>
        <w:t>1、针对服务期内具体</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lang w:eastAsia="zh-CN"/>
        </w:rPr>
        <w:t>项目，供应商</w:t>
      </w:r>
      <w:r>
        <w:rPr>
          <w:rFonts w:hint="eastAsia" w:ascii="新宋体" w:hAnsi="新宋体" w:eastAsia="新宋体" w:cs="新宋体"/>
          <w:color w:val="auto"/>
          <w:sz w:val="24"/>
          <w:highlight w:val="none"/>
          <w:lang w:val="en-US" w:eastAsia="zh-CN"/>
        </w:rPr>
        <w:t>需配备满足服务要求的专业人员，其中拍卖师不少于1人，辅助拍卖员不少于2名。</w:t>
      </w:r>
    </w:p>
    <w:p w14:paraId="62596F50">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eastAsia="zh-CN"/>
        </w:rPr>
      </w:pPr>
      <w:r>
        <w:rPr>
          <w:rFonts w:hint="eastAsia" w:ascii="新宋体" w:hAnsi="新宋体" w:eastAsia="新宋体" w:cs="新宋体"/>
          <w:color w:val="auto"/>
          <w:sz w:val="24"/>
          <w:highlight w:val="none"/>
          <w:lang w:val="en-US" w:eastAsia="zh-CN"/>
        </w:rPr>
        <w:t>2</w:t>
      </w:r>
      <w:r>
        <w:rPr>
          <w:rFonts w:hint="eastAsia" w:ascii="新宋体" w:hAnsi="新宋体" w:eastAsia="新宋体" w:cs="新宋体"/>
          <w:color w:val="auto"/>
          <w:sz w:val="24"/>
          <w:highlight w:val="none"/>
          <w:lang w:eastAsia="zh-CN"/>
        </w:rPr>
        <w:t>、服务期内供应商须确定一名专职联系人负责对接采购人</w:t>
      </w:r>
      <w:r>
        <w:rPr>
          <w:rFonts w:hint="eastAsia" w:ascii="宋体" w:hAnsi="宋体" w:cs="Times New Roman"/>
          <w:color w:val="auto"/>
          <w:sz w:val="24"/>
          <w:szCs w:val="24"/>
          <w:highlight w:val="none"/>
          <w:lang w:eastAsia="zh-CN"/>
        </w:rPr>
        <w:t>的</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lang w:eastAsia="zh-CN"/>
        </w:rPr>
        <w:t>需求，服从采购人管理和各项工作安排。</w:t>
      </w:r>
    </w:p>
    <w:p w14:paraId="7812060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default"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val="en-US" w:eastAsia="zh-CN"/>
        </w:rPr>
        <w:t>3</w:t>
      </w:r>
      <w:r>
        <w:rPr>
          <w:rFonts w:hint="eastAsia" w:ascii="新宋体" w:hAnsi="新宋体" w:eastAsia="新宋体" w:cs="新宋体"/>
          <w:color w:val="auto"/>
          <w:sz w:val="24"/>
          <w:highlight w:val="none"/>
          <w:lang w:eastAsia="zh-CN"/>
        </w:rPr>
        <w:t>、供应商应按国家有关</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lang w:eastAsia="zh-CN"/>
        </w:rPr>
        <w:t>的</w:t>
      </w:r>
      <w:r>
        <w:rPr>
          <w:rFonts w:hint="eastAsia" w:ascii="新宋体" w:hAnsi="新宋体" w:eastAsia="新宋体" w:cs="新宋体"/>
          <w:color w:val="auto"/>
          <w:sz w:val="24"/>
          <w:highlight w:val="none"/>
          <w:lang w:val="en-US" w:eastAsia="zh-CN"/>
        </w:rPr>
        <w:t>法律</w:t>
      </w:r>
      <w:r>
        <w:rPr>
          <w:rFonts w:hint="eastAsia" w:ascii="新宋体" w:hAnsi="新宋体" w:eastAsia="新宋体" w:cs="新宋体"/>
          <w:color w:val="auto"/>
          <w:sz w:val="24"/>
          <w:highlight w:val="none"/>
          <w:lang w:eastAsia="zh-CN"/>
        </w:rPr>
        <w:t>法规</w:t>
      </w:r>
      <w:r>
        <w:rPr>
          <w:rFonts w:hint="eastAsia" w:ascii="新宋体" w:hAnsi="新宋体" w:eastAsia="新宋体" w:cs="新宋体"/>
          <w:color w:val="auto"/>
          <w:sz w:val="24"/>
          <w:highlight w:val="none"/>
          <w:lang w:val="en-US" w:eastAsia="zh-CN"/>
        </w:rPr>
        <w:t>规定和</w:t>
      </w:r>
      <w:r>
        <w:rPr>
          <w:rFonts w:hint="eastAsia" w:ascii="新宋体" w:hAnsi="新宋体" w:eastAsia="新宋体" w:cs="新宋体"/>
          <w:color w:val="auto"/>
          <w:sz w:val="24"/>
          <w:highlight w:val="none"/>
          <w:lang w:eastAsia="zh-CN"/>
        </w:rPr>
        <w:t>政策、准则</w:t>
      </w:r>
      <w:r>
        <w:rPr>
          <w:rFonts w:hint="eastAsia" w:ascii="新宋体" w:hAnsi="新宋体" w:eastAsia="新宋体" w:cs="新宋体"/>
          <w:color w:val="auto"/>
          <w:sz w:val="24"/>
          <w:highlight w:val="none"/>
          <w:lang w:val="en-US" w:eastAsia="zh-CN"/>
        </w:rPr>
        <w:t>等</w:t>
      </w:r>
      <w:r>
        <w:rPr>
          <w:rFonts w:hint="eastAsia" w:ascii="新宋体" w:hAnsi="新宋体" w:eastAsia="新宋体" w:cs="新宋体"/>
          <w:color w:val="auto"/>
          <w:sz w:val="24"/>
          <w:highlight w:val="none"/>
          <w:lang w:eastAsia="zh-CN"/>
        </w:rPr>
        <w:t>要求，针对采购人提供的有关资料，实施必要的</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lang w:eastAsia="zh-CN"/>
        </w:rPr>
        <w:t>程序，严谨、正确、客观的开展</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lang w:eastAsia="zh-CN"/>
        </w:rPr>
        <w:t>工作。</w:t>
      </w:r>
      <w:r>
        <w:rPr>
          <w:rFonts w:hint="eastAsia" w:ascii="新宋体" w:hAnsi="新宋体" w:eastAsia="新宋体" w:cs="新宋体"/>
          <w:color w:val="auto"/>
          <w:sz w:val="24"/>
          <w:highlight w:val="none"/>
          <w:lang w:val="en-US" w:eastAsia="zh-CN"/>
        </w:rPr>
        <w:t>拍卖方式包括组织现场拍卖会、网络拍卖会（如中拍平台）等。</w:t>
      </w:r>
    </w:p>
    <w:p w14:paraId="1C413A52">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eastAsia="zh-CN"/>
        </w:rPr>
      </w:pPr>
      <w:r>
        <w:rPr>
          <w:rFonts w:hint="eastAsia" w:ascii="新宋体" w:hAnsi="新宋体" w:eastAsia="新宋体" w:cs="新宋体"/>
          <w:color w:val="auto"/>
          <w:sz w:val="24"/>
          <w:highlight w:val="none"/>
          <w:lang w:val="en-US" w:eastAsia="zh-CN"/>
        </w:rPr>
        <w:t>4</w:t>
      </w:r>
      <w:r>
        <w:rPr>
          <w:rFonts w:hint="eastAsia" w:ascii="新宋体" w:hAnsi="新宋体" w:eastAsia="新宋体" w:cs="新宋体"/>
          <w:color w:val="auto"/>
          <w:sz w:val="24"/>
          <w:highlight w:val="none"/>
          <w:lang w:eastAsia="zh-CN"/>
        </w:rPr>
        <w:t>、供应商对在执行业务过程中知悉的有关各方的有关资料和文件不得用于与委托事项无关的活动，不得泄露给第三方。</w:t>
      </w:r>
    </w:p>
    <w:p w14:paraId="27177076">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eastAsia="zh-CN"/>
        </w:rPr>
      </w:pPr>
      <w:r>
        <w:rPr>
          <w:rFonts w:hint="eastAsia" w:ascii="新宋体" w:hAnsi="新宋体" w:eastAsia="新宋体" w:cs="新宋体"/>
          <w:color w:val="auto"/>
          <w:sz w:val="24"/>
          <w:highlight w:val="none"/>
          <w:lang w:val="en-US" w:eastAsia="zh-CN"/>
        </w:rPr>
        <w:t>5</w:t>
      </w:r>
      <w:r>
        <w:rPr>
          <w:rFonts w:hint="eastAsia" w:ascii="新宋体" w:hAnsi="新宋体" w:eastAsia="新宋体" w:cs="新宋体"/>
          <w:color w:val="auto"/>
          <w:sz w:val="24"/>
          <w:highlight w:val="none"/>
          <w:lang w:eastAsia="zh-CN"/>
        </w:rPr>
        <w:t>、采购人有权根据项目情况、服务需求以及其他原因等保留在服务期内选择其他服务单位承担</w:t>
      </w:r>
      <w:r>
        <w:rPr>
          <w:rFonts w:hint="eastAsia" w:ascii="新宋体" w:hAnsi="新宋体" w:eastAsia="新宋体" w:cs="新宋体"/>
          <w:color w:val="auto"/>
          <w:sz w:val="24"/>
          <w:highlight w:val="none"/>
          <w:lang w:val="en-US" w:eastAsia="zh-CN"/>
        </w:rPr>
        <w:t>拍卖</w:t>
      </w:r>
      <w:r>
        <w:rPr>
          <w:rFonts w:hint="eastAsia" w:ascii="新宋体" w:hAnsi="新宋体" w:eastAsia="新宋体" w:cs="新宋体"/>
          <w:color w:val="auto"/>
          <w:sz w:val="24"/>
          <w:highlight w:val="none"/>
          <w:lang w:eastAsia="zh-CN"/>
        </w:rPr>
        <w:t>服务的权利，供应商不得对此有异议。</w:t>
      </w:r>
    </w:p>
    <w:p w14:paraId="53A354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（三）报价要求</w:t>
      </w:r>
    </w:p>
    <w:p w14:paraId="2F5226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rPr>
        <w:t>供应商按照</w:t>
      </w:r>
      <w:r>
        <w:rPr>
          <w:rFonts w:hint="eastAsia" w:ascii="新宋体" w:hAnsi="新宋体" w:eastAsia="新宋体" w:cs="新宋体"/>
          <w:color w:val="auto"/>
          <w:sz w:val="24"/>
          <w:highlight w:val="none"/>
          <w:lang w:val="en-US" w:eastAsia="zh-CN"/>
        </w:rPr>
        <w:t>成交金额的费率</w:t>
      </w:r>
      <w:r>
        <w:rPr>
          <w:rFonts w:hint="eastAsia" w:ascii="新宋体" w:hAnsi="新宋体" w:eastAsia="新宋体" w:cs="新宋体"/>
          <w:color w:val="auto"/>
          <w:sz w:val="24"/>
          <w:highlight w:val="none"/>
        </w:rPr>
        <w:t>进行报价，最高限价为</w:t>
      </w:r>
      <w:r>
        <w:rPr>
          <w:rFonts w:hint="eastAsia" w:ascii="新宋体" w:hAnsi="新宋体" w:eastAsia="新宋体" w:cs="新宋体"/>
          <w:color w:val="auto"/>
          <w:sz w:val="24"/>
          <w:highlight w:val="none"/>
          <w:lang w:val="en-US" w:eastAsia="zh-CN"/>
        </w:rPr>
        <w:t>3.5</w:t>
      </w:r>
      <w:r>
        <w:rPr>
          <w:rFonts w:hint="eastAsia" w:ascii="新宋体" w:hAnsi="新宋体" w:eastAsia="新宋体" w:cs="新宋体"/>
          <w:color w:val="auto"/>
          <w:sz w:val="24"/>
          <w:highlight w:val="none"/>
        </w:rPr>
        <w:t>%</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lang w:val="en-US" w:eastAsia="zh-CN"/>
        </w:rPr>
        <w:t>不足1500元的按照1500元收取</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rPr>
        <w:t>，供应商报价不得高于最高限价，否则按无效响应处理</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lang w:val="en-US" w:eastAsia="zh-CN"/>
        </w:rPr>
        <w:t>保底金额（1500元）不参与竞争</w:t>
      </w:r>
      <w:r>
        <w:rPr>
          <w:rFonts w:hint="eastAsia" w:ascii="新宋体" w:hAnsi="新宋体" w:eastAsia="新宋体" w:cs="新宋体"/>
          <w:color w:val="auto"/>
          <w:sz w:val="24"/>
          <w:highlight w:val="none"/>
        </w:rPr>
        <w:t>。</w:t>
      </w:r>
      <w:r>
        <w:rPr>
          <w:rFonts w:hint="eastAsia" w:ascii="新宋体" w:hAnsi="新宋体" w:eastAsia="新宋体" w:cs="新宋体"/>
          <w:color w:val="auto"/>
          <w:sz w:val="24"/>
          <w:highlight w:val="none"/>
          <w:lang w:val="en-US" w:eastAsia="zh-CN"/>
        </w:rPr>
        <w:t>供应商报价示例：如3.00%、2.50%或2.00%等，2.00%相对于2.50%、3.00%而言为低价。</w:t>
      </w:r>
    </w:p>
    <w:p w14:paraId="6D01CBE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（四）结算方式</w:t>
      </w:r>
    </w:p>
    <w:p w14:paraId="4810C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供应商拍卖佣金根据每场次最终拍卖成交价乘以成交</w:t>
      </w:r>
      <w:r>
        <w:rPr>
          <w:rFonts w:hint="eastAsia" w:ascii="宋体" w:hAnsi="宋体" w:cs="宋体"/>
          <w:color w:val="000000"/>
          <w:kern w:val="0"/>
          <w:sz w:val="24"/>
          <w:szCs w:val="24"/>
          <w:highlight w:val="none"/>
          <w:lang w:val="en-US" w:eastAsia="zh-CN" w:bidi="ar"/>
        </w:rPr>
        <w:t>费率</w:t>
      </w:r>
      <w:r>
        <w:rPr>
          <w:rFonts w:hint="eastAsia" w:ascii="宋体" w:hAnsi="宋体" w:eastAsia="宋体" w:cs="宋体"/>
          <w:color w:val="000000"/>
          <w:kern w:val="0"/>
          <w:sz w:val="24"/>
          <w:szCs w:val="24"/>
          <w:highlight w:val="none"/>
          <w:lang w:val="en-US" w:eastAsia="zh-CN" w:bidi="ar"/>
        </w:rPr>
        <w:t>计算，</w:t>
      </w:r>
      <w:r>
        <w:rPr>
          <w:rFonts w:hint="eastAsia" w:ascii="新宋体" w:hAnsi="新宋体" w:eastAsia="新宋体" w:cs="新宋体"/>
          <w:color w:val="auto"/>
          <w:sz w:val="24"/>
          <w:highlight w:val="none"/>
          <w:lang w:val="en-US" w:eastAsia="zh-CN"/>
        </w:rPr>
        <w:t>由买受人支付</w:t>
      </w:r>
      <w:r>
        <w:rPr>
          <w:rFonts w:hint="eastAsia" w:ascii="宋体" w:hAnsi="宋体" w:eastAsia="宋体" w:cs="宋体"/>
          <w:color w:val="000000"/>
          <w:kern w:val="0"/>
          <w:sz w:val="24"/>
          <w:szCs w:val="24"/>
          <w:highlight w:val="none"/>
          <w:lang w:val="en-US" w:eastAsia="zh-CN" w:bidi="ar"/>
        </w:rPr>
        <w:t>。拍卖未取得成功的不得收取竞拍人佣金等费用</w:t>
      </w:r>
      <w:r>
        <w:rPr>
          <w:rFonts w:hint="eastAsia" w:ascii="宋体" w:hAnsi="宋体" w:cs="宋体"/>
          <w:color w:val="000000"/>
          <w:kern w:val="0"/>
          <w:sz w:val="24"/>
          <w:szCs w:val="24"/>
          <w:highlight w:val="none"/>
          <w:lang w:val="en-US" w:eastAsia="zh-CN" w:bidi="ar"/>
        </w:rPr>
        <w:t>；整个拍卖活动中，委托人不支付任何费用。</w:t>
      </w:r>
    </w:p>
    <w:p w14:paraId="1FF30B1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rPr>
          <w:rFonts w:hint="default" w:ascii="仿宋" w:hAnsi="仿宋" w:eastAsia="仿宋" w:cs="仿宋"/>
          <w:b/>
          <w:bCs/>
          <w:color w:val="0F1115"/>
          <w:spacing w:val="0"/>
          <w:sz w:val="36"/>
          <w:szCs w:val="36"/>
          <w:highlight w:val="none"/>
          <w:shd w:val="clear" w:fill="FFFFFF"/>
          <w:lang w:val="en-US" w:eastAsia="zh-CN"/>
        </w:rPr>
      </w:pPr>
      <w:r>
        <w:rPr>
          <w:rFonts w:hint="eastAsia" w:ascii="仿宋" w:hAnsi="仿宋" w:eastAsia="仿宋" w:cs="仿宋"/>
          <w:b/>
          <w:bCs/>
          <w:color w:val="0F1115"/>
          <w:spacing w:val="0"/>
          <w:sz w:val="36"/>
          <w:szCs w:val="36"/>
          <w:highlight w:val="none"/>
          <w:shd w:val="clear" w:fill="FFFFFF"/>
          <w:lang w:val="en-US" w:eastAsia="zh-CN"/>
        </w:rPr>
        <w:t>备注：以上采购需求，供应商需提供逐条响应承诺函，格式自拟，否则响应文件将不被认可。</w:t>
      </w:r>
    </w:p>
    <w:p w14:paraId="415D23B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77BE456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4A134B1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1F071F6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674BD60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7234BCC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171EC97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2C3EDE9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667D33F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51D5705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3B45EC0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074872A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19D91E5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1B2848C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07D3488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1098BCA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7E9C5B0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5516D07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57AE2DD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59D10BD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39558D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099E516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59688EA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lang w:val="en-US" w:eastAsia="zh-CN"/>
        </w:rPr>
      </w:pPr>
    </w:p>
    <w:p w14:paraId="644A004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仿宋" w:hAnsi="仿宋" w:eastAsia="仿宋" w:cs="仿宋"/>
          <w:b/>
          <w:bCs/>
          <w:color w:val="0F1115"/>
          <w:spacing w:val="0"/>
          <w:sz w:val="36"/>
          <w:szCs w:val="36"/>
          <w:highlight w:val="none"/>
          <w:shd w:val="clear" w:fill="FFFFFF"/>
        </w:rPr>
      </w:pPr>
      <w:r>
        <w:rPr>
          <w:rFonts w:hint="eastAsia" w:ascii="仿宋" w:hAnsi="仿宋" w:eastAsia="仿宋" w:cs="仿宋"/>
          <w:b/>
          <w:bCs/>
          <w:color w:val="0F1115"/>
          <w:spacing w:val="0"/>
          <w:sz w:val="36"/>
          <w:szCs w:val="36"/>
          <w:highlight w:val="none"/>
          <w:shd w:val="clear" w:fill="FFFFFF"/>
          <w:lang w:val="en-US" w:eastAsia="zh-CN"/>
        </w:rPr>
        <w:t>拍卖服务</w:t>
      </w:r>
      <w:r>
        <w:rPr>
          <w:rFonts w:hint="eastAsia" w:ascii="仿宋" w:hAnsi="仿宋" w:eastAsia="仿宋" w:cs="仿宋"/>
          <w:b/>
          <w:bCs/>
          <w:color w:val="0F1115"/>
          <w:spacing w:val="0"/>
          <w:sz w:val="36"/>
          <w:szCs w:val="36"/>
          <w:highlight w:val="none"/>
          <w:shd w:val="clear" w:fill="FFFFFF"/>
        </w:rPr>
        <w:t>考核表</w:t>
      </w:r>
    </w:p>
    <w:p w14:paraId="20F600FC">
      <w:pPr>
        <w:rPr>
          <w:rFonts w:hint="eastAsia"/>
          <w:highlight w:val="none"/>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5"/>
        <w:gridCol w:w="5866"/>
        <w:gridCol w:w="936"/>
        <w:gridCol w:w="859"/>
      </w:tblGrid>
      <w:tr w14:paraId="0E22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E95">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考核维度</w:t>
            </w: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1790">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考核内容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7FBF">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分值</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B4FC">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得分</w:t>
            </w:r>
          </w:p>
        </w:tc>
      </w:tr>
      <w:tr w14:paraId="22AB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655" w:type="dxa"/>
            <w:vMerge w:val="restart"/>
            <w:tcBorders>
              <w:top w:val="single" w:color="000000" w:sz="4" w:space="0"/>
              <w:left w:val="single" w:color="000000" w:sz="4" w:space="0"/>
              <w:right w:val="single" w:color="000000" w:sz="4" w:space="0"/>
            </w:tcBorders>
            <w:shd w:val="clear" w:color="auto" w:fill="auto"/>
            <w:vAlign w:val="center"/>
          </w:tcPr>
          <w:p w14:paraId="6F45075D">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A.拍卖前</w:t>
            </w: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939">
            <w:pPr>
              <w:keepNext w:val="0"/>
              <w:keepLines w:val="0"/>
              <w:pageBreakBefore w:val="0"/>
              <w:widowControl/>
              <w:suppressLineNumbers w:val="0"/>
              <w:kinsoku/>
              <w:wordWrap/>
              <w:overflowPunct/>
              <w:topLinePunct w:val="0"/>
              <w:autoSpaceDE/>
              <w:autoSpaceDN/>
              <w:bidi w:val="0"/>
              <w:adjustRightInd/>
              <w:snapToGrid/>
              <w:spacing w:line="520" w:lineRule="exact"/>
              <w:jc w:val="left"/>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1.拍卖公司是否严格按照《中华人民共和国拍卖法》及相关法律法规组织拍卖活动。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9978">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F5EA">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41D0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655" w:type="dxa"/>
            <w:vMerge w:val="continue"/>
            <w:tcBorders>
              <w:left w:val="single" w:color="000000" w:sz="4" w:space="0"/>
              <w:bottom w:val="single" w:color="000000" w:sz="4" w:space="0"/>
              <w:right w:val="single" w:color="000000" w:sz="4" w:space="0"/>
            </w:tcBorders>
            <w:shd w:val="clear" w:color="auto" w:fill="auto"/>
            <w:vAlign w:val="center"/>
          </w:tcPr>
          <w:p w14:paraId="0B5AED3B">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9F6">
            <w:pPr>
              <w:keepNext w:val="0"/>
              <w:keepLines w:val="0"/>
              <w:pageBreakBefore w:val="0"/>
              <w:widowControl/>
              <w:suppressLineNumbers w:val="0"/>
              <w:kinsoku/>
              <w:wordWrap/>
              <w:overflowPunct/>
              <w:topLinePunct w:val="0"/>
              <w:autoSpaceDE/>
              <w:autoSpaceDN/>
              <w:bidi w:val="0"/>
              <w:adjustRightInd/>
              <w:snapToGrid/>
              <w:spacing w:line="520" w:lineRule="exact"/>
              <w:jc w:val="left"/>
              <w:rPr>
                <w:rFonts w:hint="eastAsia" w:ascii="仿宋" w:hAnsi="仿宋" w:eastAsia="仿宋" w:cs="仿宋"/>
                <w:b/>
                <w:bCs/>
                <w:i w:val="0"/>
                <w:iCs w:val="0"/>
                <w:color w:val="000000"/>
                <w:kern w:val="0"/>
                <w:sz w:val="28"/>
                <w:szCs w:val="28"/>
                <w:highlight w:val="none"/>
                <w:u w:val="none"/>
                <w:lang w:val="en-US" w:eastAsia="zh-CN" w:bidi="ar"/>
              </w:rPr>
            </w:pPr>
            <w:r>
              <w:rPr>
                <w:rStyle w:val="77"/>
                <w:rFonts w:hint="eastAsia" w:ascii="仿宋" w:hAnsi="仿宋" w:eastAsia="仿宋" w:cs="仿宋"/>
                <w:sz w:val="28"/>
                <w:szCs w:val="28"/>
                <w:highlight w:val="none"/>
                <w:lang w:val="en-US" w:eastAsia="zh-CN" w:bidi="ar"/>
              </w:rPr>
              <w:t>2.拍卖公司是否遵守委托拍卖合同相关约定</w:t>
            </w:r>
            <w:r>
              <w:rPr>
                <w:rFonts w:hint="eastAsia" w:ascii="仿宋" w:hAnsi="仿宋" w:eastAsia="仿宋" w:cs="仿宋"/>
                <w:b w:val="0"/>
                <w:bCs w:val="0"/>
                <w:i w:val="0"/>
                <w:iCs w:val="0"/>
                <w:color w:val="000000"/>
                <w:kern w:val="0"/>
                <w:sz w:val="28"/>
                <w:szCs w:val="28"/>
                <w:highlight w:val="none"/>
                <w:u w:val="none"/>
                <w:lang w:val="en-US" w:eastAsia="zh-CN" w:bidi="ar"/>
              </w:rPr>
              <w:t>组织拍卖活动。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C4B4">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D010">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572A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55" w:type="dxa"/>
            <w:vMerge w:val="restart"/>
            <w:tcBorders>
              <w:left w:val="single" w:color="000000" w:sz="4" w:space="0"/>
              <w:right w:val="single" w:color="000000" w:sz="4" w:space="0"/>
            </w:tcBorders>
            <w:shd w:val="clear" w:color="auto" w:fill="auto"/>
            <w:vAlign w:val="center"/>
          </w:tcPr>
          <w:p w14:paraId="085F41F7">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B.拍卖中</w:t>
            </w: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709">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sz w:val="28"/>
                <w:szCs w:val="28"/>
                <w:highlight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1.拍卖公司是否及时拟定和发布拍卖公告。</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F676">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0A71">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7066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655" w:type="dxa"/>
            <w:vMerge w:val="continue"/>
            <w:tcBorders>
              <w:left w:val="single" w:color="000000" w:sz="4" w:space="0"/>
              <w:right w:val="single" w:color="000000" w:sz="4" w:space="0"/>
            </w:tcBorders>
            <w:shd w:val="clear" w:color="auto" w:fill="auto"/>
            <w:vAlign w:val="center"/>
          </w:tcPr>
          <w:p w14:paraId="5603A2E3">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7424">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sz w:val="28"/>
                <w:szCs w:val="28"/>
                <w:highlight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2.拍卖公司</w:t>
            </w:r>
            <w:r>
              <w:rPr>
                <w:rStyle w:val="77"/>
                <w:rFonts w:hint="eastAsia" w:ascii="仿宋" w:hAnsi="仿宋" w:eastAsia="仿宋" w:cs="仿宋"/>
                <w:b w:val="0"/>
                <w:bCs w:val="0"/>
                <w:sz w:val="28"/>
                <w:szCs w:val="28"/>
                <w:highlight w:val="none"/>
                <w:lang w:val="en-US" w:eastAsia="zh-CN" w:bidi="ar"/>
              </w:rPr>
              <w:t>是否对拍卖标的通过公司网址及微信公众号等进行多渠道宣传推广。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70C">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A012">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2A06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655" w:type="dxa"/>
            <w:vMerge w:val="continue"/>
            <w:tcBorders>
              <w:left w:val="single" w:color="000000" w:sz="4" w:space="0"/>
              <w:right w:val="single" w:color="000000" w:sz="4" w:space="0"/>
            </w:tcBorders>
            <w:shd w:val="clear" w:color="auto" w:fill="auto"/>
            <w:vAlign w:val="center"/>
          </w:tcPr>
          <w:p w14:paraId="3814D1F4">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C3B8">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sz w:val="28"/>
                <w:szCs w:val="28"/>
                <w:highlight w:val="none"/>
                <w:lang w:val="en-US" w:eastAsia="zh-CN" w:bidi="ar"/>
              </w:rPr>
            </w:pPr>
            <w:r>
              <w:rPr>
                <w:rStyle w:val="77"/>
                <w:rFonts w:hint="eastAsia" w:ascii="仿宋" w:hAnsi="仿宋" w:eastAsia="仿宋" w:cs="仿宋"/>
                <w:b w:val="0"/>
                <w:bCs w:val="0"/>
                <w:sz w:val="28"/>
                <w:szCs w:val="28"/>
                <w:highlight w:val="none"/>
                <w:lang w:val="en-US" w:eastAsia="zh-CN" w:bidi="ar"/>
              </w:rPr>
              <w:t>3.</w:t>
            </w:r>
            <w:r>
              <w:rPr>
                <w:rFonts w:hint="eastAsia" w:ascii="仿宋" w:hAnsi="仿宋" w:eastAsia="仿宋" w:cs="仿宋"/>
                <w:b w:val="0"/>
                <w:bCs w:val="0"/>
                <w:i w:val="0"/>
                <w:iCs w:val="0"/>
                <w:color w:val="000000"/>
                <w:kern w:val="0"/>
                <w:sz w:val="28"/>
                <w:szCs w:val="28"/>
                <w:highlight w:val="none"/>
                <w:u w:val="none"/>
                <w:lang w:val="en-US" w:eastAsia="zh-CN" w:bidi="ar"/>
              </w:rPr>
              <w:t>拍卖公司</w:t>
            </w:r>
            <w:r>
              <w:rPr>
                <w:rStyle w:val="77"/>
                <w:rFonts w:hint="eastAsia" w:ascii="仿宋" w:hAnsi="仿宋" w:eastAsia="仿宋" w:cs="仿宋"/>
                <w:b w:val="0"/>
                <w:bCs w:val="0"/>
                <w:sz w:val="28"/>
                <w:szCs w:val="28"/>
                <w:highlight w:val="none"/>
                <w:lang w:val="en-US" w:eastAsia="zh-CN" w:bidi="ar"/>
              </w:rPr>
              <w:t>是否组织及带领竞买人看样、是否及时接受竞买人咨询、报名。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633">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A336">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0EB5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655" w:type="dxa"/>
            <w:vMerge w:val="continue"/>
            <w:tcBorders>
              <w:left w:val="single" w:color="000000" w:sz="4" w:space="0"/>
              <w:bottom w:val="single" w:color="000000" w:sz="4" w:space="0"/>
              <w:right w:val="single" w:color="000000" w:sz="4" w:space="0"/>
            </w:tcBorders>
            <w:shd w:val="clear" w:color="auto" w:fill="auto"/>
            <w:vAlign w:val="center"/>
          </w:tcPr>
          <w:p w14:paraId="22BAB4DE">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A82">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sz w:val="28"/>
                <w:szCs w:val="28"/>
                <w:highlight w:val="none"/>
                <w:lang w:val="en-US" w:eastAsia="zh-CN" w:bidi="ar"/>
              </w:rPr>
            </w:pPr>
            <w:r>
              <w:rPr>
                <w:rStyle w:val="77"/>
                <w:rFonts w:hint="eastAsia" w:ascii="仿宋" w:hAnsi="仿宋" w:eastAsia="仿宋" w:cs="仿宋"/>
                <w:b w:val="0"/>
                <w:bCs w:val="0"/>
                <w:sz w:val="28"/>
                <w:szCs w:val="28"/>
                <w:highlight w:val="none"/>
                <w:lang w:val="en-US" w:eastAsia="zh-CN" w:bidi="ar"/>
              </w:rPr>
              <w:t>4.</w:t>
            </w:r>
            <w:r>
              <w:rPr>
                <w:rFonts w:hint="eastAsia" w:ascii="仿宋" w:hAnsi="仿宋" w:eastAsia="仿宋" w:cs="仿宋"/>
                <w:b w:val="0"/>
                <w:bCs w:val="0"/>
                <w:i w:val="0"/>
                <w:iCs w:val="0"/>
                <w:color w:val="000000"/>
                <w:kern w:val="0"/>
                <w:sz w:val="28"/>
                <w:szCs w:val="28"/>
                <w:highlight w:val="none"/>
                <w:u w:val="none"/>
                <w:lang w:val="en-US" w:eastAsia="zh-CN" w:bidi="ar"/>
              </w:rPr>
              <w:t>拍卖公司</w:t>
            </w:r>
            <w:r>
              <w:rPr>
                <w:rStyle w:val="77"/>
                <w:rFonts w:hint="eastAsia" w:ascii="仿宋" w:hAnsi="仿宋" w:eastAsia="仿宋" w:cs="仿宋"/>
                <w:b w:val="0"/>
                <w:bCs w:val="0"/>
                <w:sz w:val="28"/>
                <w:szCs w:val="28"/>
                <w:highlight w:val="none"/>
                <w:lang w:val="en-US" w:eastAsia="zh-CN" w:bidi="ar"/>
              </w:rPr>
              <w:t>是否按照拍卖法要求公开公平公正地举行拍卖会。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2B6D">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A43A">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7854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655" w:type="dxa"/>
            <w:vMerge w:val="restart"/>
            <w:tcBorders>
              <w:left w:val="single" w:color="000000" w:sz="4" w:space="0"/>
              <w:right w:val="single" w:color="000000" w:sz="4" w:space="0"/>
            </w:tcBorders>
            <w:shd w:val="clear" w:color="auto" w:fill="auto"/>
            <w:vAlign w:val="center"/>
          </w:tcPr>
          <w:p w14:paraId="754100D8">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C.拍卖后</w:t>
            </w: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DB7E">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b w:val="0"/>
                <w:bCs w:val="0"/>
                <w:sz w:val="28"/>
                <w:szCs w:val="28"/>
                <w:highlight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1.拍卖公司是否及时督促买受人在规定时间内付清成交价款。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24CE">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8452">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2D76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655" w:type="dxa"/>
            <w:vMerge w:val="continue"/>
            <w:tcBorders>
              <w:left w:val="single" w:color="000000" w:sz="4" w:space="0"/>
              <w:right w:val="single" w:color="000000" w:sz="4" w:space="0"/>
            </w:tcBorders>
            <w:shd w:val="clear" w:color="auto" w:fill="auto"/>
            <w:vAlign w:val="center"/>
          </w:tcPr>
          <w:p w14:paraId="0DECB80F">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E37D">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b w:val="0"/>
                <w:bCs w:val="0"/>
                <w:sz w:val="28"/>
                <w:szCs w:val="28"/>
                <w:highlight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r>
              <w:rPr>
                <w:rStyle w:val="77"/>
                <w:rFonts w:hint="eastAsia" w:ascii="仿宋" w:hAnsi="仿宋" w:eastAsia="仿宋" w:cs="仿宋"/>
                <w:b w:val="0"/>
                <w:bCs w:val="0"/>
                <w:sz w:val="28"/>
                <w:szCs w:val="28"/>
                <w:highlight w:val="none"/>
                <w:lang w:val="en-US" w:eastAsia="zh-CN" w:bidi="ar"/>
              </w:rPr>
              <w:t>买受人付清价款后，拍卖公司是否在委托方要求的时间内将款项转至委托方指定账户。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6A14">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B173">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70D8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655" w:type="dxa"/>
            <w:vMerge w:val="continue"/>
            <w:tcBorders>
              <w:left w:val="single" w:color="000000" w:sz="4" w:space="0"/>
              <w:right w:val="single" w:color="000000" w:sz="4" w:space="0"/>
            </w:tcBorders>
            <w:shd w:val="clear" w:color="auto" w:fill="auto"/>
            <w:vAlign w:val="center"/>
          </w:tcPr>
          <w:p w14:paraId="0F93CBA4">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802">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b w:val="0"/>
                <w:bCs w:val="0"/>
                <w:sz w:val="28"/>
                <w:szCs w:val="28"/>
                <w:highlight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3.拍卖公司是否</w:t>
            </w:r>
            <w:r>
              <w:rPr>
                <w:rStyle w:val="77"/>
                <w:rFonts w:hint="eastAsia" w:ascii="仿宋" w:hAnsi="仿宋" w:eastAsia="仿宋" w:cs="仿宋"/>
                <w:b w:val="0"/>
                <w:bCs w:val="0"/>
                <w:sz w:val="28"/>
                <w:szCs w:val="28"/>
                <w:highlight w:val="none"/>
                <w:lang w:val="en-US" w:eastAsia="zh-CN" w:bidi="ar"/>
              </w:rPr>
              <w:t>协助委托方办理好标的移交手续。</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C8BD">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55FE">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r w14:paraId="2035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655" w:type="dxa"/>
            <w:vMerge w:val="continue"/>
            <w:tcBorders>
              <w:left w:val="single" w:color="000000" w:sz="4" w:space="0"/>
              <w:bottom w:val="single" w:color="000000" w:sz="4" w:space="0"/>
              <w:right w:val="single" w:color="000000" w:sz="4" w:space="0"/>
            </w:tcBorders>
            <w:shd w:val="clear" w:color="auto" w:fill="auto"/>
            <w:vAlign w:val="center"/>
          </w:tcPr>
          <w:p w14:paraId="7B68562F">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D88">
            <w:pPr>
              <w:keepNext w:val="0"/>
              <w:keepLines w:val="0"/>
              <w:pageBreakBefore w:val="0"/>
              <w:widowControl/>
              <w:suppressLineNumbers w:val="0"/>
              <w:kinsoku/>
              <w:wordWrap/>
              <w:overflowPunct/>
              <w:topLinePunct w:val="0"/>
              <w:autoSpaceDE/>
              <w:autoSpaceDN/>
              <w:bidi w:val="0"/>
              <w:adjustRightInd/>
              <w:snapToGrid/>
              <w:spacing w:line="520" w:lineRule="exact"/>
              <w:jc w:val="left"/>
              <w:rPr>
                <w:rStyle w:val="77"/>
                <w:rFonts w:hint="eastAsia" w:ascii="仿宋" w:hAnsi="仿宋" w:eastAsia="仿宋" w:cs="仿宋"/>
                <w:b w:val="0"/>
                <w:bCs w:val="0"/>
                <w:sz w:val="28"/>
                <w:szCs w:val="28"/>
                <w:highlight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4.拍卖公司是否整理完整的情况汇报资料报委托方存档。</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B29A">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5135">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 w:hAnsi="仿宋" w:eastAsia="仿宋" w:cs="仿宋"/>
                <w:b/>
                <w:bCs/>
                <w:i w:val="0"/>
                <w:iCs w:val="0"/>
                <w:color w:val="000000"/>
                <w:kern w:val="0"/>
                <w:sz w:val="28"/>
                <w:szCs w:val="28"/>
                <w:highlight w:val="none"/>
                <w:u w:val="none"/>
                <w:lang w:val="en-US" w:eastAsia="zh-CN" w:bidi="ar"/>
              </w:rPr>
            </w:pPr>
          </w:p>
        </w:tc>
      </w:tr>
    </w:tbl>
    <w:p w14:paraId="4C8341FE">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91E1B4C6">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6A9BE704">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756B5FF8">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2DB1ACDD">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524E8711">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9C007E46">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2B77FC22">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E04C1495">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6DA45C4C">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C2463F4D">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E44E1F80">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F334166E">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57CA13A0">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9159AACC">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8D70B2A5">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A5AA4103">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DE4182C9">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520F173B">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B81D356F">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1C893B93">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A20CCE70">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3C879576">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4B30F01C">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4E84BA90">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C2D2028A">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90B3D43B">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DE164E00">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64AF68BB">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D6A1AF07">
      <w:pPr>
        <w:keepNext w:val="0"/>
        <w:keepLines w:val="0"/>
        <w:pageBreakBefore w:val="0"/>
        <w:widowControl w:val="0"/>
        <w:wordWrap/>
        <w:overflowPunct/>
        <w:topLinePunct w:val="0"/>
        <w:autoSpaceDE/>
        <w:autoSpaceDN/>
        <w:bidi w:val="0"/>
        <w:adjustRightInd/>
        <w:snapToGrid/>
        <w:spacing w:line="14" w:lineRule="exact"/>
        <w:rPr>
          <w:rFonts w:hint="eastAsia" w:ascii="仿宋" w:hAnsi="仿宋" w:eastAsia="仿宋" w:cs="仿宋"/>
          <w:sz w:val="28"/>
          <w:highlight w:val="none"/>
        </w:rPr>
      </w:pPr>
    </w:p>
    <w:p w14:paraId="2E73C87D">
      <w:pPr>
        <w:pStyle w:val="2"/>
        <w:rPr>
          <w:rFonts w:hint="eastAsia"/>
          <w:highlight w:val="none"/>
          <w:lang w:val="en-US" w:eastAsia="zh-CN"/>
        </w:rPr>
      </w:pPr>
      <w:r>
        <w:rPr>
          <w:rFonts w:hint="eastAsia"/>
          <w:highlight w:val="none"/>
          <w:lang w:val="en-US" w:eastAsia="zh-CN"/>
        </w:rPr>
        <w:t>备注：按拍卖项目进行考核，一项目一考核。分数≤80分的，考核不合格，采购人有权中止合同；未进行考核表打分的，视考核合格。</w:t>
      </w:r>
    </w:p>
    <w:p w14:paraId="57F9E28E">
      <w:pPr>
        <w:pStyle w:val="2"/>
        <w:rPr>
          <w:rFonts w:hint="default"/>
          <w:highlight w:val="none"/>
          <w:lang w:val="en-US" w:eastAsia="zh-CN"/>
        </w:rPr>
      </w:pPr>
      <w:r>
        <w:rPr>
          <w:rFonts w:hint="eastAsia"/>
          <w:highlight w:val="none"/>
          <w:lang w:val="en-US" w:eastAsia="zh-CN"/>
        </w:rPr>
        <w:t>年度考核：项目考核出现1次不合格，即为年度考核不合格。</w:t>
      </w:r>
    </w:p>
    <w:bookmarkEnd w:id="119"/>
    <w:bookmarkEnd w:id="120"/>
    <w:bookmarkEnd w:id="121"/>
    <w:p w14:paraId="46FE7B6B">
      <w:pPr>
        <w:pStyle w:val="2"/>
        <w:rPr>
          <w:rFonts w:hint="eastAsia" w:ascii="宋体" w:hAnsi="宋体" w:eastAsia="宋体" w:cs="宋体"/>
          <w:color w:val="000000"/>
          <w:kern w:val="0"/>
          <w:sz w:val="24"/>
          <w:szCs w:val="24"/>
          <w:highlight w:val="none"/>
          <w:lang w:val="en-US" w:eastAsia="zh-CN" w:bidi="ar"/>
        </w:rPr>
      </w:pPr>
    </w:p>
    <w:bookmarkEnd w:id="118"/>
    <w:p w14:paraId="396DFAA6">
      <w:pPr>
        <w:pStyle w:val="4"/>
        <w:keepLines/>
        <w:numPr>
          <w:ilvl w:val="0"/>
          <w:numId w:val="0"/>
        </w:numPr>
        <w:spacing w:after="120" w:afterLines="50" w:line="360" w:lineRule="auto"/>
        <w:jc w:val="center"/>
        <w:rPr>
          <w:rFonts w:hint="eastAsia" w:ascii="Times New Roman" w:hAnsi="Times New Roman" w:eastAsia="宋体" w:cs="Times New Roman"/>
          <w:b/>
          <w:bCs/>
          <w:color w:val="auto"/>
          <w:kern w:val="44"/>
          <w:sz w:val="30"/>
          <w:szCs w:val="44"/>
          <w:highlight w:val="none"/>
          <w:lang w:val="en-US" w:eastAsia="zh-CN" w:bidi="ar-SA"/>
        </w:rPr>
      </w:pPr>
      <w:bookmarkStart w:id="122" w:name="_Toc26294"/>
      <w:bookmarkStart w:id="123" w:name="_Toc6515"/>
      <w:bookmarkStart w:id="124" w:name="_Toc19121"/>
    </w:p>
    <w:p w14:paraId="5B05C30F">
      <w:pPr>
        <w:pStyle w:val="4"/>
        <w:keepLines/>
        <w:numPr>
          <w:ilvl w:val="0"/>
          <w:numId w:val="0"/>
        </w:numPr>
        <w:spacing w:after="120" w:afterLines="50" w:line="360" w:lineRule="auto"/>
        <w:jc w:val="center"/>
        <w:rPr>
          <w:rFonts w:hint="eastAsia"/>
          <w:b/>
          <w:bCs/>
          <w:color w:val="auto"/>
          <w:kern w:val="44"/>
          <w:sz w:val="30"/>
          <w:szCs w:val="44"/>
          <w:highlight w:val="none"/>
        </w:rPr>
      </w:pPr>
      <w:r>
        <w:rPr>
          <w:rFonts w:hint="eastAsia" w:ascii="Times New Roman" w:hAnsi="Times New Roman" w:eastAsia="宋体" w:cs="Times New Roman"/>
          <w:b/>
          <w:bCs/>
          <w:color w:val="auto"/>
          <w:kern w:val="44"/>
          <w:sz w:val="30"/>
          <w:szCs w:val="44"/>
          <w:highlight w:val="none"/>
          <w:lang w:val="en-US" w:eastAsia="zh-CN" w:bidi="ar-SA"/>
        </w:rPr>
        <w:t>四、</w:t>
      </w:r>
      <w:r>
        <w:rPr>
          <w:rFonts w:hint="eastAsia"/>
          <w:b/>
          <w:bCs/>
          <w:color w:val="auto"/>
          <w:kern w:val="44"/>
          <w:sz w:val="30"/>
          <w:szCs w:val="44"/>
          <w:highlight w:val="none"/>
          <w:lang w:val="en-US" w:eastAsia="zh-CN"/>
        </w:rPr>
        <w:t>评审方法和</w:t>
      </w:r>
      <w:r>
        <w:rPr>
          <w:rFonts w:hint="eastAsia"/>
          <w:b/>
          <w:bCs/>
          <w:color w:val="auto"/>
          <w:kern w:val="44"/>
          <w:sz w:val="30"/>
          <w:szCs w:val="44"/>
          <w:highlight w:val="none"/>
        </w:rPr>
        <w:t>标准</w:t>
      </w:r>
      <w:bookmarkEnd w:id="122"/>
      <w:bookmarkEnd w:id="123"/>
      <w:bookmarkEnd w:id="124"/>
    </w:p>
    <w:p w14:paraId="23415E5A">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0"/>
        <w:rPr>
          <w:rFonts w:hint="eastAsia" w:ascii="宋体" w:hAnsi="宋体" w:eastAsia="宋体" w:cs="宋体"/>
          <w:b/>
          <w:bCs/>
          <w:color w:val="auto"/>
          <w:sz w:val="24"/>
          <w:szCs w:val="24"/>
          <w:highlight w:val="none"/>
          <w:u w:val="none"/>
        </w:rPr>
      </w:pPr>
      <w:bookmarkStart w:id="125" w:name="_Toc28262"/>
      <w:bookmarkStart w:id="126" w:name="_Toc24415"/>
      <w:bookmarkStart w:id="127" w:name="_Toc22172"/>
      <w:r>
        <w:rPr>
          <w:rFonts w:hint="eastAsia" w:ascii="宋体" w:hAnsi="宋体" w:eastAsia="宋体" w:cs="宋体"/>
          <w:b/>
          <w:bCs/>
          <w:color w:val="auto"/>
          <w:spacing w:val="-2"/>
          <w:sz w:val="24"/>
          <w:szCs w:val="24"/>
          <w:highlight w:val="none"/>
          <w:u w:val="none"/>
          <w:lang w:eastAsia="zh-CN"/>
        </w:rPr>
        <w:t>（一）</w:t>
      </w:r>
      <w:r>
        <w:rPr>
          <w:rFonts w:hint="eastAsia" w:ascii="宋体" w:hAnsi="宋体" w:eastAsia="宋体" w:cs="宋体"/>
          <w:b/>
          <w:bCs/>
          <w:color w:val="auto"/>
          <w:spacing w:val="-2"/>
          <w:sz w:val="24"/>
          <w:szCs w:val="24"/>
          <w:highlight w:val="none"/>
          <w:u w:val="none"/>
        </w:rPr>
        <w:t>资格审查</w:t>
      </w:r>
      <w:bookmarkEnd w:id="125"/>
      <w:bookmarkEnd w:id="126"/>
      <w:bookmarkEnd w:id="127"/>
    </w:p>
    <w:p w14:paraId="4EBD5CE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采购人或代理机构对供应商的资格进行审查，审查响应文件是否响应了磋商文件的资格要求。</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当发现供应商或其响应文件存在下列情况之一时，将判定供应商的资格不符合要求，资格审查不通过。</w:t>
      </w:r>
    </w:p>
    <w:tbl>
      <w:tblPr>
        <w:tblStyle w:val="103"/>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929"/>
        <w:gridCol w:w="1441"/>
        <w:gridCol w:w="6690"/>
      </w:tblGrid>
      <w:tr w14:paraId="5B71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2370" w:type="dxa"/>
            <w:gridSpan w:val="2"/>
            <w:noWrap w:val="0"/>
            <w:vAlign w:val="center"/>
          </w:tcPr>
          <w:p w14:paraId="676CDF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690" w:type="dxa"/>
            <w:noWrap w:val="0"/>
            <w:vAlign w:val="center"/>
          </w:tcPr>
          <w:p w14:paraId="739210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41C7E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929" w:type="dxa"/>
            <w:vMerge w:val="restart"/>
            <w:tcBorders>
              <w:bottom w:val="nil"/>
            </w:tcBorders>
            <w:noWrap w:val="0"/>
            <w:vAlign w:val="center"/>
          </w:tcPr>
          <w:p w14:paraId="69B2DB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p w14:paraId="15919D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1441" w:type="dxa"/>
            <w:noWrap w:val="0"/>
            <w:vAlign w:val="center"/>
          </w:tcPr>
          <w:p w14:paraId="318A0D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690" w:type="dxa"/>
            <w:noWrap w:val="0"/>
            <w:vAlign w:val="center"/>
          </w:tcPr>
          <w:p w14:paraId="18B919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7C54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929" w:type="dxa"/>
            <w:vMerge w:val="continue"/>
            <w:tcBorders>
              <w:top w:val="nil"/>
              <w:bottom w:val="nil"/>
            </w:tcBorders>
            <w:noWrap w:val="0"/>
            <w:vAlign w:val="center"/>
          </w:tcPr>
          <w:p w14:paraId="27907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441" w:type="dxa"/>
            <w:noWrap w:val="0"/>
            <w:vAlign w:val="center"/>
          </w:tcPr>
          <w:p w14:paraId="25557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690" w:type="dxa"/>
            <w:noWrap w:val="0"/>
            <w:vAlign w:val="center"/>
          </w:tcPr>
          <w:p w14:paraId="071C11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r w14:paraId="7C767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929" w:type="dxa"/>
            <w:vMerge w:val="continue"/>
            <w:tcBorders>
              <w:top w:val="nil"/>
              <w:bottom w:val="nil"/>
            </w:tcBorders>
            <w:noWrap w:val="0"/>
            <w:vAlign w:val="center"/>
          </w:tcPr>
          <w:p w14:paraId="60B607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441" w:type="dxa"/>
            <w:noWrap w:val="0"/>
            <w:vAlign w:val="center"/>
          </w:tcPr>
          <w:p w14:paraId="1284DE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690" w:type="dxa"/>
            <w:noWrap w:val="0"/>
            <w:vAlign w:val="center"/>
          </w:tcPr>
          <w:p w14:paraId="0FCE12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p w14:paraId="0FC944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w:t>
            </w:r>
          </w:p>
          <w:p w14:paraId="078CCF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1.信用记录查询渠道：</w:t>
            </w:r>
          </w:p>
          <w:p w14:paraId="552AEE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被人民法院列入失信被执行人名单的(以</w:t>
            </w:r>
          </w:p>
          <w:p w14:paraId="131E33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www.creditchina.gov.cn查询为准)</w:t>
            </w:r>
          </w:p>
          <w:p w14:paraId="230361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被税务机关列入重大税收违法失信主体名单的(以ww w.creditchina.gov.cn查询为准)</w:t>
            </w:r>
          </w:p>
          <w:p w14:paraId="08120F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被财政部门列入政府采购严重违法失信行为记录名单的 (以www.ccgp.gov.cn/查询为准)</w:t>
            </w:r>
          </w:p>
          <w:p w14:paraId="507A16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被市场监督管理部门列入严重违法失信名单的(以 www.gsxt.gov.cn查询为准)</w:t>
            </w:r>
          </w:p>
          <w:p w14:paraId="02C6BC01">
            <w:pPr>
              <w:pStyle w:val="2"/>
              <w:rPr>
                <w:rFonts w:hint="eastAsia"/>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color w:val="auto"/>
                <w:kern w:val="0"/>
                <w:sz w:val="24"/>
                <w:szCs w:val="24"/>
                <w:highlight w:val="none"/>
                <w:lang w:val="en-US" w:eastAsia="zh-CN" w:bidi="ar"/>
              </w:rPr>
              <w:t>被六安市中医院纳入采购负面清单，且仍处于清单所明确的限制期限内</w:t>
            </w:r>
            <w:r>
              <w:rPr>
                <w:rFonts w:hint="eastAsia" w:ascii="宋体" w:hAnsi="宋体" w:cs="宋体"/>
                <w:sz w:val="24"/>
                <w:szCs w:val="24"/>
                <w:highlight w:val="none"/>
                <w:lang w:eastAsia="zh-CN"/>
              </w:rPr>
              <w:t>。</w:t>
            </w:r>
          </w:p>
          <w:p w14:paraId="378DA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文件中无需提供证明材料，由采购人或者采购代理机构查询供应商的信用记录，信用记录以</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截止时间的记录信息为准。</w:t>
            </w:r>
          </w:p>
          <w:p w14:paraId="005904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3.信用信息记录方式：采购人或采购代理机构工作人员将查询网页截图随其他采购资料一同存档备查。</w:t>
            </w:r>
          </w:p>
          <w:p w14:paraId="4217A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4.在上述规定的查询时间之外，网站信息发生的任何变更均不作为资格审查依据。</w:t>
            </w:r>
          </w:p>
        </w:tc>
      </w:tr>
      <w:tr w14:paraId="3CC2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929" w:type="dxa"/>
            <w:vMerge w:val="continue"/>
            <w:tcBorders>
              <w:top w:val="nil"/>
            </w:tcBorders>
            <w:noWrap w:val="0"/>
            <w:vAlign w:val="center"/>
          </w:tcPr>
          <w:p w14:paraId="4379FB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441" w:type="dxa"/>
            <w:noWrap w:val="0"/>
            <w:vAlign w:val="center"/>
          </w:tcPr>
          <w:p w14:paraId="5DF73D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690" w:type="dxa"/>
            <w:noWrap w:val="0"/>
            <w:vAlign w:val="center"/>
          </w:tcPr>
          <w:p w14:paraId="14B2EB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r>
              <w:rPr>
                <w:rFonts w:hint="eastAsia" w:ascii="宋体" w:hAnsi="宋体" w:cs="宋体"/>
                <w:color w:val="auto"/>
                <w:sz w:val="24"/>
                <w:szCs w:val="24"/>
                <w:highlight w:val="none"/>
                <w:lang w:eastAsia="zh-CN"/>
              </w:rPr>
              <w:t>。</w:t>
            </w:r>
          </w:p>
        </w:tc>
      </w:tr>
    </w:tbl>
    <w:p w14:paraId="6253950F">
      <w:pPr>
        <w:keepNext w:val="0"/>
        <w:keepLines w:val="0"/>
        <w:pageBreakBefore w:val="0"/>
        <w:widowControl w:val="0"/>
        <w:kinsoku/>
        <w:wordWrap/>
        <w:overflowPunct/>
        <w:topLinePunct w:val="0"/>
        <w:autoSpaceDE/>
        <w:autoSpaceDN/>
        <w:bidi w:val="0"/>
        <w:adjustRightInd/>
        <w:snapToGrid/>
        <w:spacing w:line="360" w:lineRule="auto"/>
        <w:ind w:left="0" w:firstLine="474" w:firstLineChars="200"/>
        <w:textAlignment w:val="auto"/>
        <w:outlineLvl w:val="0"/>
        <w:rPr>
          <w:rFonts w:hint="eastAsia" w:ascii="宋体" w:hAnsi="宋体" w:eastAsia="宋体" w:cs="宋体"/>
          <w:b/>
          <w:bCs/>
          <w:color w:val="auto"/>
          <w:spacing w:val="-2"/>
          <w:sz w:val="24"/>
          <w:szCs w:val="24"/>
          <w:highlight w:val="none"/>
          <w:u w:val="none"/>
          <w:lang w:val="en-US" w:eastAsia="zh-CN"/>
        </w:rPr>
      </w:pPr>
      <w:bookmarkStart w:id="128" w:name="_Toc14677"/>
      <w:bookmarkStart w:id="129" w:name="_Toc19260"/>
      <w:bookmarkStart w:id="130" w:name="_Toc31064"/>
      <w:r>
        <w:rPr>
          <w:rFonts w:hint="eastAsia" w:ascii="宋体" w:hAnsi="宋体" w:eastAsia="宋体" w:cs="宋体"/>
          <w:b/>
          <w:bCs/>
          <w:color w:val="auto"/>
          <w:spacing w:val="-2"/>
          <w:sz w:val="24"/>
          <w:szCs w:val="24"/>
          <w:highlight w:val="none"/>
          <w:u w:val="none"/>
          <w:lang w:val="en-US" w:eastAsia="zh-CN"/>
        </w:rPr>
        <w:t>（二）综合评审</w:t>
      </w:r>
      <w:bookmarkEnd w:id="128"/>
      <w:bookmarkEnd w:id="129"/>
      <w:bookmarkEnd w:id="130"/>
    </w:p>
    <w:p w14:paraId="66C97F76">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2"/>
          <w:sz w:val="24"/>
          <w:szCs w:val="24"/>
          <w:highlight w:val="none"/>
          <w:u w:val="none"/>
          <w:lang w:val="en-US" w:eastAsia="zh-CN"/>
        </w:rPr>
        <w:t>由磋商小组根据磋商文件规定的评审程序、评审方法和评审标准进行评审。</w:t>
      </w:r>
    </w:p>
    <w:p w14:paraId="1CE09A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本次磋商采用百分制评分法，商务（报价）权重</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rPr>
        <w:t>%，经评审满足磋商文件要求且最后报价最低的供应商的价格为磋商基准价，其价格为满分，得</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rPr>
        <w:t>分。</w:t>
      </w:r>
    </w:p>
    <w:p w14:paraId="449CF2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注：超过最高限价的最后磋商报价为无效报价，按废标处理。</w:t>
      </w:r>
    </w:p>
    <w:p w14:paraId="41FA7DA6">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具体评分细则如下：</w:t>
      </w:r>
    </w:p>
    <w:tbl>
      <w:tblPr>
        <w:tblStyle w:val="34"/>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76"/>
        <w:gridCol w:w="7197"/>
      </w:tblGrid>
      <w:tr w14:paraId="663D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9B8CBBC">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评分因素</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D39096">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D1E001">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r>
      <w:tr w14:paraId="439C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vMerge w:val="restart"/>
            <w:tcBorders>
              <w:left w:val="single" w:color="auto" w:sz="4" w:space="0"/>
              <w:right w:val="single" w:color="auto" w:sz="4" w:space="0"/>
            </w:tcBorders>
            <w:noWrap w:val="0"/>
            <w:vAlign w:val="center"/>
          </w:tcPr>
          <w:p w14:paraId="3BFF50C6">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技术分值</w:t>
            </w:r>
          </w:p>
          <w:p w14:paraId="19D1113B">
            <w:pPr>
              <w:widowControl/>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分）</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3FEBDC3">
            <w:pPr>
              <w:keepNext w:val="0"/>
              <w:keepLines w:val="0"/>
              <w:widowControl/>
              <w:suppressLineNumbers w:val="0"/>
              <w:jc w:val="left"/>
              <w:rPr>
                <w:rFonts w:hint="eastAsia" w:ascii="宋体" w:hAnsi="宋体" w:cs="宋体"/>
                <w:color w:val="auto"/>
                <w:sz w:val="24"/>
                <w:szCs w:val="24"/>
                <w:highlight w:val="none"/>
              </w:rPr>
            </w:pPr>
            <w:r>
              <w:rPr>
                <w:rFonts w:hint="eastAsia" w:ascii="宋体" w:hAnsi="宋体" w:eastAsia="宋体" w:cs="宋体"/>
                <w:color w:val="000000"/>
                <w:kern w:val="0"/>
                <w:sz w:val="24"/>
                <w:szCs w:val="24"/>
                <w:highlight w:val="none"/>
                <w:lang w:val="en-US" w:eastAsia="zh-CN" w:bidi="ar"/>
              </w:rPr>
              <w:t>管理体系（</w:t>
            </w:r>
            <w:r>
              <w:rPr>
                <w:rFonts w:hint="eastAsia" w:ascii="宋体" w:hAnsi="宋体" w:cs="宋体"/>
                <w:color w:val="000000"/>
                <w:kern w:val="0"/>
                <w:sz w:val="24"/>
                <w:szCs w:val="24"/>
                <w:highlight w:val="none"/>
                <w:lang w:val="en-US" w:eastAsia="zh-CN" w:bidi="ar"/>
              </w:rPr>
              <w:t>15</w:t>
            </w:r>
            <w:r>
              <w:rPr>
                <w:rFonts w:hint="eastAsia" w:ascii="宋体" w:hAnsi="宋体" w:eastAsia="宋体" w:cs="宋体"/>
                <w:color w:val="000000"/>
                <w:kern w:val="0"/>
                <w:sz w:val="24"/>
                <w:szCs w:val="24"/>
                <w:highlight w:val="none"/>
                <w:lang w:val="en-US" w:eastAsia="zh-CN" w:bidi="ar"/>
              </w:rPr>
              <w:t>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37CF2AB">
            <w:pPr>
              <w:pStyle w:val="2"/>
              <w:numPr>
                <w:ilvl w:val="0"/>
                <w:numId w:val="0"/>
              </w:numPr>
              <w:rPr>
                <w:rFonts w:hint="default" w:ascii="Times New Roman" w:hAnsi="Times New Roman" w:eastAsia="宋体" w:cs="Times New Roman"/>
                <w:highlight w:val="none"/>
                <w:lang w:val="en-US" w:eastAsia="zh-CN"/>
              </w:rPr>
            </w:pPr>
            <w:r>
              <w:rPr>
                <w:rFonts w:hint="eastAsia"/>
                <w:highlight w:val="none"/>
                <w:lang w:val="en-US" w:eastAsia="zh-CN"/>
              </w:rPr>
              <w:t>本地化服务管理：</w:t>
            </w:r>
            <w:r>
              <w:rPr>
                <w:rFonts w:hint="eastAsia" w:ascii="宋体" w:hAnsi="宋体" w:cs="宋体"/>
                <w:color w:val="auto"/>
                <w:sz w:val="24"/>
                <w:szCs w:val="24"/>
                <w:highlight w:val="none"/>
                <w:lang w:val="en-US" w:eastAsia="zh-CN"/>
              </w:rPr>
              <w:t>供应商注册地在六安市境内或在六安市境内设有分支机构或办事处的得9分</w:t>
            </w:r>
            <w:r>
              <w:rPr>
                <w:rFonts w:hint="eastAsia"/>
                <w:highlight w:val="none"/>
                <w:lang w:val="en-US" w:eastAsia="zh-CN"/>
              </w:rPr>
              <w:t>。（设立办事处的提供供应商设立办事处决议/授权书、负责人身份证明、办公场所房产</w:t>
            </w:r>
            <w:r>
              <w:rPr>
                <w:rFonts w:hint="eastAsia" w:ascii="Times New Roman" w:hAnsi="Times New Roman" w:eastAsia="宋体" w:cs="Times New Roman"/>
                <w:highlight w:val="none"/>
                <w:lang w:val="en-US" w:eastAsia="zh-CN"/>
              </w:rPr>
              <w:t>产权/租赁协议等证明材料）</w:t>
            </w:r>
          </w:p>
          <w:p w14:paraId="16FFEA7B">
            <w:pPr>
              <w:pStyle w:val="2"/>
              <w:numPr>
                <w:ilvl w:val="0"/>
                <w:numId w:val="0"/>
              </w:numPr>
              <w:rPr>
                <w:rFonts w:hint="default" w:eastAsia="宋体"/>
                <w:highlight w:val="none"/>
                <w:lang w:val="en-US" w:eastAsia="zh-CN"/>
              </w:rPr>
            </w:pPr>
            <w:r>
              <w:rPr>
                <w:rFonts w:hint="eastAsia"/>
                <w:highlight w:val="none"/>
                <w:lang w:val="en-US" w:eastAsia="zh-CN"/>
              </w:rPr>
              <w:t>管理承诺：</w:t>
            </w:r>
            <w:r>
              <w:rPr>
                <w:rFonts w:hint="eastAsia" w:ascii="宋体" w:hAnsi="宋体" w:cs="宋体"/>
                <w:sz w:val="24"/>
                <w:szCs w:val="24"/>
                <w:highlight w:val="none"/>
              </w:rPr>
              <w:t>承诺</w:t>
            </w:r>
            <w:r>
              <w:rPr>
                <w:rFonts w:hint="eastAsia" w:ascii="宋体" w:hAnsi="宋体" w:cs="宋体"/>
                <w:sz w:val="24"/>
                <w:szCs w:val="24"/>
                <w:highlight w:val="none"/>
                <w:lang w:val="en-US" w:eastAsia="zh-CN"/>
              </w:rPr>
              <w:t>收到采购人拍卖任务通知，</w:t>
            </w:r>
            <w:r>
              <w:rPr>
                <w:rFonts w:hint="eastAsia" w:ascii="宋体" w:hAnsi="宋体" w:cs="宋体"/>
                <w:sz w:val="24"/>
                <w:szCs w:val="24"/>
                <w:highlight w:val="none"/>
              </w:rPr>
              <w:t>15分钟内能响应并且能于</w:t>
            </w:r>
            <w:r>
              <w:rPr>
                <w:rFonts w:hint="eastAsia" w:ascii="宋体" w:hAnsi="宋体" w:cs="宋体"/>
                <w:sz w:val="24"/>
                <w:szCs w:val="24"/>
                <w:highlight w:val="none"/>
                <w:lang w:val="en-US" w:eastAsia="zh-CN"/>
              </w:rPr>
              <w:t>60</w:t>
            </w:r>
            <w:r>
              <w:rPr>
                <w:rFonts w:hint="eastAsia" w:ascii="宋体" w:hAnsi="宋体" w:cs="宋体"/>
                <w:sz w:val="24"/>
                <w:szCs w:val="24"/>
                <w:highlight w:val="none"/>
              </w:rPr>
              <w:t>分钟内赶到现场</w:t>
            </w:r>
            <w:r>
              <w:rPr>
                <w:rFonts w:hint="eastAsia" w:ascii="宋体" w:hAnsi="宋体" w:cs="宋体"/>
                <w:sz w:val="24"/>
                <w:szCs w:val="24"/>
                <w:highlight w:val="none"/>
                <w:lang w:val="en-US" w:eastAsia="zh-CN"/>
              </w:rPr>
              <w:t>的得6分。</w:t>
            </w:r>
          </w:p>
        </w:tc>
      </w:tr>
      <w:tr w14:paraId="63D3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191" w:type="dxa"/>
            <w:vMerge w:val="continue"/>
            <w:tcBorders>
              <w:left w:val="single" w:color="auto" w:sz="4" w:space="0"/>
              <w:right w:val="single" w:color="auto" w:sz="4" w:space="0"/>
            </w:tcBorders>
            <w:noWrap w:val="0"/>
            <w:vAlign w:val="center"/>
          </w:tcPr>
          <w:p w14:paraId="609763DD">
            <w:pPr>
              <w:widowControl/>
              <w:spacing w:line="360" w:lineRule="exact"/>
              <w:ind w:firstLine="120" w:firstLineChars="50"/>
              <w:jc w:val="center"/>
              <w:rPr>
                <w:rFonts w:ascii="宋体" w:hAnsi="宋体" w:cs="宋体"/>
                <w:color w:val="auto"/>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9E69E1">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p w14:paraId="653BB4CD">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业绩</w:t>
            </w:r>
          </w:p>
          <w:p w14:paraId="0CCFC006">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E5B271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具有类似资产类</w:t>
            </w:r>
            <w:r>
              <w:rPr>
                <w:rFonts w:hint="eastAsia" w:ascii="宋体" w:hAnsi="宋体" w:eastAsia="宋体" w:cs="宋体"/>
                <w:color w:val="auto"/>
                <w:sz w:val="24"/>
                <w:szCs w:val="24"/>
                <w:highlight w:val="none"/>
                <w:lang w:val="en-US" w:eastAsia="zh-CN"/>
              </w:rPr>
              <w:t>拍卖项目</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提供一项</w:t>
            </w:r>
            <w:r>
              <w:rPr>
                <w:rFonts w:hint="eastAsia" w:ascii="宋体" w:hAnsi="宋体" w:eastAsia="宋体" w:cs="宋体"/>
                <w:color w:val="auto"/>
                <w:sz w:val="24"/>
                <w:szCs w:val="24"/>
                <w:highlight w:val="none"/>
                <w:lang w:val="en-US" w:eastAsia="zh-CN"/>
              </w:rPr>
              <w:t>业绩得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分，满分2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6EFEC04E">
            <w:pPr>
              <w:keepNext w:val="0"/>
              <w:keepLines w:val="0"/>
              <w:widowControl/>
              <w:suppressLineNumbers w:val="0"/>
              <w:jc w:val="left"/>
              <w:rPr>
                <w:rFonts w:hint="default" w:ascii="宋体" w:hAnsi="宋体" w:cs="宋体"/>
                <w:b/>
                <w:bCs/>
                <w:color w:val="auto"/>
                <w:sz w:val="24"/>
                <w:szCs w:val="24"/>
                <w:highlight w:val="none"/>
                <w:lang w:val="en-US" w:eastAsia="zh-CN"/>
              </w:rPr>
            </w:pPr>
            <w:r>
              <w:rPr>
                <w:rFonts w:ascii="瀹嬩綋" w:hAnsi="瀹嬩綋" w:eastAsia="瀹嬩綋" w:cs="瀹嬩綋"/>
                <w:b/>
                <w:bCs/>
                <w:color w:val="000000"/>
                <w:kern w:val="0"/>
                <w:sz w:val="24"/>
                <w:szCs w:val="24"/>
                <w:highlight w:val="none"/>
                <w:lang w:val="en-US" w:eastAsia="zh-CN" w:bidi="ar"/>
              </w:rPr>
              <w:t>提供项目委托合同</w:t>
            </w:r>
            <w:r>
              <w:rPr>
                <w:rFonts w:hint="eastAsia" w:ascii="瀹嬩綋" w:hAnsi="瀹嬩綋" w:eastAsia="瀹嬩綋" w:cs="瀹嬩綋"/>
                <w:b/>
                <w:bCs/>
                <w:color w:val="000000"/>
                <w:kern w:val="0"/>
                <w:sz w:val="24"/>
                <w:szCs w:val="24"/>
                <w:highlight w:val="none"/>
                <w:lang w:val="en-US" w:eastAsia="zh-CN" w:bidi="ar"/>
              </w:rPr>
              <w:t>和</w:t>
            </w:r>
            <w:r>
              <w:rPr>
                <w:rFonts w:ascii="瀹嬩綋" w:hAnsi="瀹嬩綋" w:eastAsia="瀹嬩綋" w:cs="瀹嬩綋"/>
                <w:b/>
                <w:bCs/>
                <w:color w:val="000000"/>
                <w:kern w:val="0"/>
                <w:sz w:val="24"/>
                <w:szCs w:val="24"/>
                <w:highlight w:val="none"/>
                <w:lang w:val="en-US" w:eastAsia="zh-CN" w:bidi="ar"/>
              </w:rPr>
              <w:t>竞买人成交确认书</w:t>
            </w:r>
            <w:r>
              <w:rPr>
                <w:rFonts w:hint="eastAsia" w:ascii="瀹嬩綋" w:hAnsi="瀹嬩綋" w:eastAsia="瀹嬩綋" w:cs="瀹嬩綋"/>
                <w:b/>
                <w:bCs/>
                <w:color w:val="000000"/>
                <w:kern w:val="0"/>
                <w:sz w:val="24"/>
                <w:szCs w:val="24"/>
                <w:highlight w:val="none"/>
                <w:lang w:val="en-US" w:eastAsia="zh-CN" w:bidi="ar"/>
              </w:rPr>
              <w:t>。</w:t>
            </w:r>
          </w:p>
        </w:tc>
      </w:tr>
      <w:tr w14:paraId="7F6F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vMerge w:val="continue"/>
            <w:tcBorders>
              <w:left w:val="single" w:color="auto" w:sz="4" w:space="0"/>
              <w:right w:val="single" w:color="auto" w:sz="4" w:space="0"/>
            </w:tcBorders>
            <w:noWrap w:val="0"/>
            <w:vAlign w:val="center"/>
          </w:tcPr>
          <w:p w14:paraId="60A72E9C">
            <w:pPr>
              <w:widowControl/>
              <w:spacing w:line="360" w:lineRule="exact"/>
              <w:ind w:firstLine="120" w:firstLineChars="50"/>
              <w:jc w:val="center"/>
              <w:rPr>
                <w:rFonts w:ascii="宋体" w:hAnsi="宋体" w:cs="宋体"/>
                <w:color w:val="auto"/>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94634F9">
            <w:pPr>
              <w:widowControl/>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企业实力（9分）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B9E26D">
            <w:pPr>
              <w:keepNext w:val="0"/>
              <w:keepLines w:val="0"/>
              <w:widowControl/>
              <w:suppressLineNumbers w:val="0"/>
              <w:spacing w:line="360" w:lineRule="auto"/>
              <w:jc w:val="both"/>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供应商获</w:t>
            </w:r>
            <w:r>
              <w:rPr>
                <w:rFonts w:hint="eastAsia" w:ascii="宋体" w:hAnsi="宋体" w:cs="宋体"/>
                <w:color w:val="000000"/>
                <w:kern w:val="0"/>
                <w:sz w:val="24"/>
                <w:szCs w:val="24"/>
                <w:highlight w:val="none"/>
                <w:lang w:val="en-US" w:eastAsia="zh-CN" w:bidi="ar"/>
              </w:rPr>
              <w:t>县（区）级及以上</w:t>
            </w:r>
            <w:r>
              <w:rPr>
                <w:rFonts w:hint="eastAsia" w:ascii="宋体" w:hAnsi="宋体" w:eastAsia="宋体" w:cs="宋体"/>
                <w:color w:val="000000"/>
                <w:kern w:val="0"/>
                <w:sz w:val="24"/>
                <w:szCs w:val="24"/>
                <w:highlight w:val="none"/>
                <w:lang w:val="en-US" w:eastAsia="zh-CN" w:bidi="ar"/>
              </w:rPr>
              <w:t>政府部</w:t>
            </w:r>
            <w:r>
              <w:rPr>
                <w:rFonts w:hint="default" w:ascii="宋体" w:hAnsi="宋体" w:eastAsia="宋体" w:cs="宋体"/>
                <w:color w:val="000000"/>
                <w:kern w:val="0"/>
                <w:sz w:val="24"/>
                <w:szCs w:val="24"/>
                <w:highlight w:val="none"/>
                <w:lang w:val="en-US" w:eastAsia="zh-CN" w:bidi="ar"/>
              </w:rPr>
              <w:t>门</w:t>
            </w:r>
            <w:r>
              <w:rPr>
                <w:rFonts w:hint="eastAsia" w:ascii="宋体" w:hAnsi="宋体" w:cs="宋体"/>
                <w:color w:val="000000"/>
                <w:kern w:val="0"/>
                <w:sz w:val="24"/>
                <w:szCs w:val="24"/>
                <w:highlight w:val="none"/>
                <w:lang w:val="en-US" w:eastAsia="zh-CN" w:bidi="ar"/>
              </w:rPr>
              <w:t>，</w:t>
            </w:r>
            <w:r>
              <w:rPr>
                <w:rFonts w:hint="default" w:ascii="宋体" w:hAnsi="宋体" w:eastAsia="宋体" w:cs="宋体"/>
                <w:color w:val="000000"/>
                <w:kern w:val="0"/>
                <w:sz w:val="24"/>
                <w:szCs w:val="24"/>
                <w:highlight w:val="none"/>
                <w:lang w:val="en-US" w:eastAsia="zh-CN" w:bidi="ar"/>
              </w:rPr>
              <w:t>或拍卖主管部门</w:t>
            </w:r>
            <w:r>
              <w:rPr>
                <w:rFonts w:hint="eastAsia" w:ascii="宋体" w:hAnsi="宋体" w:cs="宋体"/>
                <w:color w:val="000000"/>
                <w:kern w:val="0"/>
                <w:sz w:val="24"/>
                <w:szCs w:val="24"/>
                <w:highlight w:val="none"/>
                <w:lang w:val="en-US" w:eastAsia="zh-CN" w:bidi="ar"/>
              </w:rPr>
              <w:t>或拍卖行业协会</w:t>
            </w:r>
            <w:r>
              <w:rPr>
                <w:rFonts w:hint="default" w:ascii="宋体" w:hAnsi="宋体" w:eastAsia="宋体" w:cs="宋体"/>
                <w:color w:val="000000"/>
                <w:kern w:val="0"/>
                <w:sz w:val="24"/>
                <w:szCs w:val="24"/>
                <w:highlight w:val="none"/>
                <w:lang w:val="en-US" w:eastAsia="zh-CN" w:bidi="ar"/>
              </w:rPr>
              <w:t>表彰的，得</w:t>
            </w:r>
            <w:r>
              <w:rPr>
                <w:rFonts w:hint="eastAsia" w:ascii="宋体" w:hAnsi="宋体" w:cs="宋体"/>
                <w:color w:val="000000"/>
                <w:kern w:val="0"/>
                <w:sz w:val="24"/>
                <w:szCs w:val="24"/>
                <w:highlight w:val="none"/>
                <w:lang w:val="en-US" w:eastAsia="zh-CN" w:bidi="ar"/>
              </w:rPr>
              <w:t>9</w:t>
            </w:r>
            <w:r>
              <w:rPr>
                <w:rFonts w:hint="default" w:ascii="宋体" w:hAnsi="宋体" w:eastAsia="宋体" w:cs="宋体"/>
                <w:color w:val="000000"/>
                <w:kern w:val="0"/>
                <w:sz w:val="24"/>
                <w:szCs w:val="24"/>
                <w:highlight w:val="none"/>
                <w:lang w:val="en-US" w:eastAsia="zh-CN" w:bidi="ar"/>
              </w:rPr>
              <w:t>分。</w:t>
            </w:r>
            <w:r>
              <w:rPr>
                <w:rFonts w:hint="eastAsia" w:ascii="宋体" w:hAnsi="宋体" w:cs="宋体"/>
                <w:color w:val="000000"/>
                <w:kern w:val="0"/>
                <w:sz w:val="24"/>
                <w:szCs w:val="24"/>
                <w:highlight w:val="none"/>
                <w:lang w:val="en-US" w:eastAsia="zh-CN" w:bidi="ar"/>
              </w:rPr>
              <w:t>满分9分。</w:t>
            </w:r>
          </w:p>
          <w:p w14:paraId="3351ACD3">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b/>
                <w:bCs/>
                <w:color w:val="000000"/>
                <w:kern w:val="0"/>
                <w:sz w:val="24"/>
                <w:szCs w:val="24"/>
                <w:highlight w:val="none"/>
                <w:lang w:val="en-US" w:eastAsia="zh-CN" w:bidi="ar"/>
              </w:rPr>
              <w:t>提供证明材料</w:t>
            </w:r>
          </w:p>
        </w:tc>
      </w:tr>
      <w:tr w14:paraId="658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vMerge w:val="continue"/>
            <w:tcBorders>
              <w:left w:val="single" w:color="auto" w:sz="4" w:space="0"/>
              <w:right w:val="single" w:color="auto" w:sz="4" w:space="0"/>
            </w:tcBorders>
            <w:noWrap w:val="0"/>
            <w:vAlign w:val="center"/>
          </w:tcPr>
          <w:p w14:paraId="3291878D">
            <w:pPr>
              <w:widowControl/>
              <w:spacing w:line="360" w:lineRule="exact"/>
              <w:ind w:firstLine="120" w:firstLineChars="50"/>
              <w:jc w:val="center"/>
              <w:rPr>
                <w:rFonts w:ascii="宋体" w:hAnsi="宋体" w:cs="宋体"/>
                <w:color w:val="auto"/>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CDD95CD">
            <w:pPr>
              <w:widowControl/>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w:t>
            </w:r>
          </w:p>
          <w:p w14:paraId="1F373A89">
            <w:pPr>
              <w:widowControl/>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CB918F">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供应商根据项目需求编制</w:t>
            </w:r>
            <w:r>
              <w:rPr>
                <w:rFonts w:hint="eastAsia" w:ascii="宋体" w:hAnsi="宋体" w:cs="宋体"/>
                <w:color w:val="000000"/>
                <w:kern w:val="0"/>
                <w:sz w:val="24"/>
                <w:szCs w:val="24"/>
                <w:highlight w:val="none"/>
                <w:lang w:val="en-US" w:eastAsia="zh-CN" w:bidi="ar"/>
              </w:rPr>
              <w:t>服务</w:t>
            </w:r>
            <w:r>
              <w:rPr>
                <w:rFonts w:hint="eastAsia" w:ascii="宋体" w:hAnsi="宋体" w:eastAsia="宋体" w:cs="宋体"/>
                <w:color w:val="000000"/>
                <w:kern w:val="0"/>
                <w:sz w:val="24"/>
                <w:szCs w:val="24"/>
                <w:highlight w:val="none"/>
                <w:lang w:val="en-US" w:eastAsia="zh-CN" w:bidi="ar"/>
              </w:rPr>
              <w:t>方案，至少包含下列内容：①项目</w:t>
            </w:r>
            <w:r>
              <w:rPr>
                <w:rFonts w:hint="eastAsia" w:ascii="宋体" w:hAnsi="宋体" w:cs="宋体"/>
                <w:color w:val="000000"/>
                <w:kern w:val="0"/>
                <w:sz w:val="24"/>
                <w:szCs w:val="24"/>
                <w:highlight w:val="none"/>
                <w:lang w:val="en-US" w:eastAsia="zh-CN" w:bidi="ar"/>
              </w:rPr>
              <w:t>理解</w:t>
            </w:r>
            <w:r>
              <w:rPr>
                <w:rFonts w:hint="eastAsia" w:ascii="宋体" w:hAnsi="宋体" w:eastAsia="宋体" w:cs="宋体"/>
                <w:color w:val="000000"/>
                <w:kern w:val="0"/>
                <w:sz w:val="24"/>
                <w:szCs w:val="24"/>
                <w:highlight w:val="none"/>
                <w:lang w:val="en-US" w:eastAsia="zh-CN" w:bidi="ar"/>
              </w:rPr>
              <w:t>分析；②</w:t>
            </w:r>
            <w:r>
              <w:rPr>
                <w:rFonts w:hint="eastAsia" w:ascii="宋体" w:hAnsi="宋体" w:cs="宋体"/>
                <w:color w:val="000000"/>
                <w:kern w:val="0"/>
                <w:sz w:val="24"/>
                <w:szCs w:val="24"/>
                <w:highlight w:val="none"/>
                <w:lang w:val="en-US" w:eastAsia="zh-CN" w:bidi="ar"/>
              </w:rPr>
              <w:t>拍卖前期工作准备</w:t>
            </w:r>
            <w:r>
              <w:rPr>
                <w:rFonts w:hint="eastAsia" w:ascii="宋体" w:hAnsi="宋体" w:eastAsia="宋体" w:cs="宋体"/>
                <w:color w:val="000000"/>
                <w:kern w:val="0"/>
                <w:sz w:val="24"/>
                <w:szCs w:val="24"/>
                <w:highlight w:val="none"/>
                <w:lang w:val="en-US" w:eastAsia="zh-CN" w:bidi="ar"/>
              </w:rPr>
              <w:t>；③</w:t>
            </w:r>
            <w:r>
              <w:rPr>
                <w:rFonts w:hint="eastAsia" w:ascii="宋体" w:hAnsi="宋体" w:cs="宋体"/>
                <w:color w:val="000000"/>
                <w:kern w:val="0"/>
                <w:sz w:val="24"/>
                <w:szCs w:val="24"/>
                <w:highlight w:val="none"/>
                <w:lang w:val="en-US" w:eastAsia="zh-CN" w:bidi="ar"/>
              </w:rPr>
              <w:t>公告制作</w:t>
            </w:r>
            <w:r>
              <w:rPr>
                <w:rFonts w:hint="eastAsia" w:ascii="宋体" w:hAnsi="宋体" w:eastAsia="宋体" w:cs="宋体"/>
                <w:color w:val="000000"/>
                <w:kern w:val="0"/>
                <w:sz w:val="24"/>
                <w:szCs w:val="24"/>
                <w:highlight w:val="none"/>
                <w:lang w:val="en-US" w:eastAsia="zh-CN" w:bidi="ar"/>
              </w:rPr>
              <w:t>；④</w:t>
            </w:r>
            <w:r>
              <w:rPr>
                <w:rFonts w:hint="eastAsia" w:ascii="宋体" w:hAnsi="宋体" w:cs="宋体"/>
                <w:color w:val="000000"/>
                <w:kern w:val="0"/>
                <w:sz w:val="24"/>
                <w:szCs w:val="24"/>
                <w:highlight w:val="none"/>
                <w:lang w:val="en-US" w:eastAsia="zh-CN" w:bidi="ar"/>
              </w:rPr>
              <w:t>会前宣传</w:t>
            </w:r>
            <w:r>
              <w:rPr>
                <w:rFonts w:hint="eastAsia" w:ascii="宋体" w:hAnsi="宋体" w:eastAsia="宋体" w:cs="宋体"/>
                <w:color w:val="000000"/>
                <w:kern w:val="0"/>
                <w:sz w:val="24"/>
                <w:szCs w:val="24"/>
                <w:highlight w:val="none"/>
                <w:lang w:val="en-US" w:eastAsia="zh-CN" w:bidi="ar"/>
              </w:rPr>
              <w:t>；⑤</w:t>
            </w:r>
            <w:r>
              <w:rPr>
                <w:rFonts w:hint="eastAsia" w:ascii="宋体" w:hAnsi="宋体" w:cs="宋体"/>
                <w:color w:val="000000"/>
                <w:kern w:val="0"/>
                <w:sz w:val="24"/>
                <w:szCs w:val="24"/>
                <w:highlight w:val="none"/>
                <w:lang w:val="en-US" w:eastAsia="zh-CN" w:bidi="ar"/>
              </w:rPr>
              <w:t>过程组织安排。</w:t>
            </w:r>
            <w:r>
              <w:rPr>
                <w:rFonts w:hint="eastAsia" w:ascii="宋体" w:hAnsi="宋体" w:eastAsia="宋体" w:cs="宋体"/>
                <w:color w:val="000000"/>
                <w:kern w:val="0"/>
                <w:sz w:val="24"/>
                <w:szCs w:val="24"/>
                <w:highlight w:val="none"/>
                <w:lang w:val="en-US" w:eastAsia="zh-CN" w:bidi="ar"/>
              </w:rPr>
              <w:t xml:space="preserve">根据供应商提供的方案中针对上述各小项内容的体现情况，由评审小组按顺序分别进行评审： </w:t>
            </w:r>
          </w:p>
          <w:p w14:paraId="72D7958B">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（1）方案中对应小项内容贴合项目实际需求，逻辑清晰，内容全面的，该小项得</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分； </w:t>
            </w:r>
          </w:p>
          <w:p w14:paraId="0A3CC17A">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（2）方案中对应小项内容与项目实际需求有出入，逻辑不清晰，内容缺失的，该小项得1分； </w:t>
            </w:r>
          </w:p>
          <w:p w14:paraId="2A2FA58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（3）未提供方案或未体现对应小项内容的，对应小项不得分。 </w:t>
            </w:r>
          </w:p>
          <w:p w14:paraId="0A10C46E">
            <w:pPr>
              <w:keepNext w:val="0"/>
              <w:keepLines w:val="0"/>
              <w:widowControl/>
              <w:suppressLineNumbers w:val="0"/>
              <w:spacing w:line="360" w:lineRule="auto"/>
              <w:jc w:val="both"/>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本项最高得10分。</w:t>
            </w:r>
          </w:p>
        </w:tc>
      </w:tr>
      <w:tr w14:paraId="7008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1191" w:type="dxa"/>
            <w:vMerge w:val="continue"/>
            <w:tcBorders>
              <w:left w:val="single" w:color="auto" w:sz="4" w:space="0"/>
              <w:right w:val="single" w:color="auto" w:sz="4" w:space="0"/>
            </w:tcBorders>
            <w:noWrap w:val="0"/>
            <w:vAlign w:val="center"/>
          </w:tcPr>
          <w:p w14:paraId="49F61924">
            <w:pPr>
              <w:widowControl/>
              <w:spacing w:line="360" w:lineRule="exact"/>
              <w:ind w:firstLine="120" w:firstLineChars="50"/>
              <w:jc w:val="center"/>
              <w:rPr>
                <w:rFonts w:ascii="宋体" w:hAnsi="宋体" w:cs="宋体"/>
                <w:color w:val="auto"/>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4C7FDFC">
            <w:pPr>
              <w:widowControl/>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服务保障（10分）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05CB07">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供应商根据项目需求编制</w:t>
            </w:r>
            <w:r>
              <w:rPr>
                <w:rFonts w:hint="eastAsia" w:ascii="宋体" w:hAnsi="宋体" w:cs="宋体"/>
                <w:color w:val="000000"/>
                <w:kern w:val="0"/>
                <w:sz w:val="24"/>
                <w:szCs w:val="24"/>
                <w:highlight w:val="none"/>
                <w:lang w:val="en-US" w:eastAsia="zh-CN" w:bidi="ar"/>
              </w:rPr>
              <w:t>服务保障</w:t>
            </w:r>
            <w:r>
              <w:rPr>
                <w:rFonts w:hint="eastAsia" w:ascii="宋体" w:hAnsi="宋体" w:eastAsia="宋体" w:cs="宋体"/>
                <w:color w:val="000000"/>
                <w:kern w:val="0"/>
                <w:sz w:val="24"/>
                <w:szCs w:val="24"/>
                <w:highlight w:val="none"/>
                <w:lang w:val="en-US" w:eastAsia="zh-CN" w:bidi="ar"/>
              </w:rPr>
              <w:t>方案，至少包含下列内容：①</w:t>
            </w:r>
            <w:r>
              <w:rPr>
                <w:rFonts w:hint="eastAsia" w:ascii="宋体" w:hAnsi="宋体" w:cs="宋体"/>
                <w:color w:val="000000"/>
                <w:kern w:val="0"/>
                <w:sz w:val="24"/>
                <w:szCs w:val="24"/>
                <w:highlight w:val="none"/>
                <w:lang w:val="en-US" w:eastAsia="zh-CN" w:bidi="ar"/>
              </w:rPr>
              <w:t>服务理念；</w:t>
            </w:r>
            <w:r>
              <w:rPr>
                <w:rFonts w:hint="eastAsia" w:ascii="宋体" w:hAnsi="宋体" w:eastAsia="宋体" w:cs="宋体"/>
                <w:color w:val="000000"/>
                <w:kern w:val="0"/>
                <w:sz w:val="24"/>
                <w:szCs w:val="24"/>
                <w:highlight w:val="none"/>
                <w:lang w:val="en-US" w:eastAsia="zh-CN" w:bidi="ar"/>
              </w:rPr>
              <w:t>②质量目标；③质量保障措施；④应急预案及保障措施；⑤</w:t>
            </w:r>
            <w:r>
              <w:rPr>
                <w:rFonts w:hint="eastAsia" w:ascii="宋体" w:hAnsi="宋体" w:cs="宋体"/>
                <w:color w:val="000000"/>
                <w:kern w:val="0"/>
                <w:sz w:val="24"/>
                <w:szCs w:val="24"/>
                <w:highlight w:val="none"/>
                <w:lang w:val="en-US" w:eastAsia="zh-CN" w:bidi="ar"/>
              </w:rPr>
              <w:t>服务</w:t>
            </w:r>
            <w:r>
              <w:rPr>
                <w:rFonts w:hint="eastAsia" w:ascii="宋体" w:hAnsi="宋体" w:eastAsia="宋体" w:cs="宋体"/>
                <w:color w:val="000000"/>
                <w:kern w:val="0"/>
                <w:sz w:val="24"/>
                <w:szCs w:val="24"/>
                <w:highlight w:val="none"/>
                <w:lang w:val="en-US" w:eastAsia="zh-CN" w:bidi="ar"/>
              </w:rPr>
              <w:t xml:space="preserve">质量承诺。根据供应商提供的方案中针对上述各小项内容的体现情况，由评审小组按顺序分别进行评审： </w:t>
            </w:r>
          </w:p>
          <w:p w14:paraId="53555524">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（1）方案中对应小项内容贴合项目实际需求，逻辑清晰，内容全面的，该小项得2分； </w:t>
            </w:r>
          </w:p>
          <w:p w14:paraId="5EB8E1C5">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（2）方案中对应小项内容与项目实际需求有出入，逻辑不清晰，内容缺失的，该小项得1分； </w:t>
            </w:r>
          </w:p>
          <w:p w14:paraId="3D82105E">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（3）未提供方案或未体现对应小项内容的，对应小项不得分。 </w:t>
            </w:r>
          </w:p>
          <w:p w14:paraId="4407645A">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本项最高得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 xml:space="preserve">分。 </w:t>
            </w:r>
          </w:p>
        </w:tc>
      </w:tr>
      <w:tr w14:paraId="3EAF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91" w:type="dxa"/>
            <w:vMerge w:val="continue"/>
            <w:tcBorders>
              <w:left w:val="single" w:color="auto" w:sz="4" w:space="0"/>
              <w:right w:val="single" w:color="auto" w:sz="4" w:space="0"/>
            </w:tcBorders>
            <w:noWrap w:val="0"/>
            <w:vAlign w:val="center"/>
          </w:tcPr>
          <w:p w14:paraId="6C6CA9E0">
            <w:pPr>
              <w:widowControl/>
              <w:spacing w:line="360" w:lineRule="exact"/>
              <w:ind w:firstLine="120" w:firstLineChars="50"/>
              <w:jc w:val="center"/>
              <w:rPr>
                <w:rFonts w:ascii="宋体" w:hAnsi="宋体" w:cs="宋体"/>
                <w:color w:val="auto"/>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5A8CFB">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项目重点 </w:t>
            </w:r>
          </w:p>
          <w:p w14:paraId="7F1B38C5">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难点分析</w:t>
            </w:r>
          </w:p>
          <w:p w14:paraId="4682EA77">
            <w:pPr>
              <w:widowControl/>
              <w:spacing w:line="36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BA1978C">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供应商根据项目需求，对项目重难点进行分析，至少包含下列内容：①重、难点阐述；②解决方案；③合理化建议。 </w:t>
            </w:r>
          </w:p>
          <w:p w14:paraId="546115B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根据供应商提供的方案中针对上述各小项内容的体现情况，由评审小组按顺序分别进行评审： </w:t>
            </w:r>
          </w:p>
          <w:p w14:paraId="1F1406E4">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（1）方案中对应小项内容贴合项目实际需求，逻辑清晰，内容全面的，该小项得2分； </w:t>
            </w:r>
          </w:p>
          <w:p w14:paraId="68100277">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（2）方案中对应小项内容与项目实际需求有出入，逻辑不清晰，内容缺失的，该小项得1分； </w:t>
            </w:r>
          </w:p>
          <w:p w14:paraId="11313AD0">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（3）未提供方案或未体现对应小项内容的，对应小项不得分。 </w:t>
            </w:r>
          </w:p>
          <w:p w14:paraId="0E5E8863">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本项最高得6分。 </w:t>
            </w:r>
          </w:p>
        </w:tc>
      </w:tr>
      <w:tr w14:paraId="7EA5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vMerge w:val="continue"/>
            <w:tcBorders>
              <w:left w:val="single" w:color="auto" w:sz="4" w:space="0"/>
              <w:right w:val="single" w:color="auto" w:sz="4" w:space="0"/>
            </w:tcBorders>
            <w:noWrap w:val="0"/>
            <w:vAlign w:val="center"/>
          </w:tcPr>
          <w:p w14:paraId="1CFFD9B7">
            <w:pPr>
              <w:widowControl/>
              <w:spacing w:line="360" w:lineRule="exact"/>
              <w:ind w:firstLine="120" w:firstLineChars="50"/>
              <w:jc w:val="center"/>
              <w:rPr>
                <w:rFonts w:ascii="宋体" w:hAnsi="宋体" w:cs="宋体"/>
                <w:color w:val="auto"/>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FE001D6">
            <w:pPr>
              <w:widowControl/>
              <w:spacing w:line="360" w:lineRule="exact"/>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 xml:space="preserve">售后服务 </w:t>
            </w:r>
          </w:p>
          <w:p w14:paraId="08716D18">
            <w:pPr>
              <w:widowControl/>
              <w:spacing w:line="360" w:lineRule="exact"/>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方案</w:t>
            </w:r>
          </w:p>
          <w:p w14:paraId="110C19DD">
            <w:pPr>
              <w:widowControl/>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77D6EAE">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供应商根据项目需求编制项目售后服务方案，至少包含下列内容：①售后服务要点分析；②售后服务响应机制；③售后服务人员保障。 </w:t>
            </w:r>
          </w:p>
          <w:p w14:paraId="15C4038B">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根据供应商提供的方案中针对上述各小项内容的体现情况，由评审小组按顺序分别进行评审： </w:t>
            </w:r>
          </w:p>
          <w:p w14:paraId="0BE24121">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（1）方案中对应小项内容贴合项目实际需求，逻辑清晰，内容全面的，该小项得</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分； </w:t>
            </w:r>
          </w:p>
          <w:p w14:paraId="5355F4B6">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（2）方案中对应小项内容与项目实际需求有出入，逻辑不清晰，内容缺失的，该小项得</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 xml:space="preserve">分； </w:t>
            </w:r>
          </w:p>
          <w:p w14:paraId="634B7878">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（3）未提供方案或未体现对应小项内容的，对应小项不得分。 </w:t>
            </w:r>
          </w:p>
          <w:p w14:paraId="19F9CDB5">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本项最高得</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 xml:space="preserve">分。 </w:t>
            </w:r>
          </w:p>
        </w:tc>
      </w:tr>
      <w:tr w14:paraId="1294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191" w:type="dxa"/>
            <w:tcBorders>
              <w:left w:val="single" w:color="auto" w:sz="4" w:space="0"/>
              <w:bottom w:val="single" w:color="auto" w:sz="4" w:space="0"/>
              <w:right w:val="single" w:color="auto" w:sz="4" w:space="0"/>
            </w:tcBorders>
            <w:noWrap w:val="0"/>
            <w:vAlign w:val="center"/>
          </w:tcPr>
          <w:p w14:paraId="2B6FA2D2">
            <w:pPr>
              <w:widowControl/>
              <w:spacing w:line="36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价格分值（</w:t>
            </w:r>
            <w:r>
              <w:rPr>
                <w:rFonts w:hint="eastAsia" w:ascii="宋体" w:hAnsi="宋体" w:cs="宋体"/>
                <w:bCs/>
                <w:color w:val="auto"/>
                <w:sz w:val="24"/>
                <w:szCs w:val="24"/>
                <w:highlight w:val="none"/>
                <w:lang w:val="en-US" w:eastAsia="zh-CN"/>
              </w:rPr>
              <w:t>20</w:t>
            </w:r>
            <w:r>
              <w:rPr>
                <w:rFonts w:hint="eastAsia" w:ascii="宋体" w:hAnsi="宋体" w:cs="宋体"/>
                <w:bCs/>
                <w:color w:val="auto"/>
                <w:sz w:val="24"/>
                <w:szCs w:val="24"/>
                <w:highlight w:val="none"/>
              </w:rPr>
              <w:t>分）</w:t>
            </w:r>
          </w:p>
        </w:tc>
        <w:tc>
          <w:tcPr>
            <w:tcW w:w="8373" w:type="dxa"/>
            <w:gridSpan w:val="2"/>
            <w:tcBorders>
              <w:top w:val="single" w:color="auto" w:sz="4" w:space="0"/>
              <w:left w:val="single" w:color="auto" w:sz="4" w:space="0"/>
              <w:bottom w:val="single" w:color="auto" w:sz="4" w:space="0"/>
              <w:right w:val="single" w:color="auto" w:sz="4" w:space="0"/>
            </w:tcBorders>
            <w:noWrap w:val="0"/>
            <w:vAlign w:val="center"/>
          </w:tcPr>
          <w:p w14:paraId="56C4B17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价格分统一采用低价优先法，即满足磋商文件要求且最终报价最低的价格作为评标基准价，其价格分为满分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分。其他磋商供应商的价格分统一按照下列公式计算（四舍五入保留至小数点后两位数）：</w:t>
            </w:r>
          </w:p>
          <w:p w14:paraId="20A75924">
            <w:pPr>
              <w:spacing w:line="360" w:lineRule="auto"/>
              <w:jc w:val="left"/>
              <w:rPr>
                <w:rFonts w:hint="default" w:ascii="宋体" w:hAnsi="宋体" w:eastAsia="宋体" w:cs="宋体"/>
                <w:b/>
                <w:bCs/>
                <w:highlight w:val="none"/>
                <w:lang w:val="en-US" w:eastAsia="zh-CN"/>
              </w:rPr>
            </w:pPr>
            <w:r>
              <w:rPr>
                <w:rFonts w:hint="eastAsia" w:ascii="宋体" w:hAnsi="宋体" w:eastAsia="宋体" w:cs="宋体"/>
                <w:color w:val="auto"/>
                <w:sz w:val="24"/>
                <w:szCs w:val="24"/>
                <w:highlight w:val="none"/>
              </w:rPr>
              <w:t>磋商报价得分＝（评标基准价/磋商报价）×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％×100</w:t>
            </w:r>
          </w:p>
        </w:tc>
      </w:tr>
    </w:tbl>
    <w:p w14:paraId="06E4E3F9">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D742286">
      <w:pPr>
        <w:pStyle w:val="12"/>
        <w:spacing w:line="480" w:lineRule="exact"/>
        <w:ind w:right="-11" w:firstLine="4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3、得分汇总</w:t>
      </w:r>
    </w:p>
    <w:p w14:paraId="4B7236CE">
      <w:pPr>
        <w:pStyle w:val="12"/>
        <w:spacing w:line="480" w:lineRule="exact"/>
        <w:ind w:right="-1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7299E537">
      <w:pPr>
        <w:spacing w:line="48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（2）按照有效磋商供应商综合总得分由高到低依次排出成交供应商及成交候选供应商。</w:t>
      </w:r>
      <w:r>
        <w:rPr>
          <w:rFonts w:hint="eastAsia" w:ascii="宋体" w:hAnsi="宋体" w:cs="宋体"/>
          <w:color w:val="auto"/>
          <w:sz w:val="24"/>
          <w:szCs w:val="24"/>
          <w:highlight w:val="none"/>
          <w:lang w:val="en-US" w:eastAsia="zh-CN"/>
        </w:rPr>
        <w:t>供应商综合总得分相同的，价格低的排序优先，综合总得分相同且价格相同的，采取随机抽签方式确定成交候选供应商排序。</w:t>
      </w:r>
    </w:p>
    <w:p w14:paraId="2F72A87D">
      <w:pPr>
        <w:pStyle w:val="2"/>
        <w:rPr>
          <w:rFonts w:hint="eastAsia" w:ascii="宋体" w:hAnsi="宋体" w:cs="宋体"/>
          <w:color w:val="auto"/>
          <w:sz w:val="24"/>
          <w:szCs w:val="24"/>
          <w:highlight w:val="none"/>
          <w:lang w:val="en-US" w:eastAsia="zh-CN"/>
        </w:rPr>
      </w:pPr>
    </w:p>
    <w:p w14:paraId="72E822FF">
      <w:pPr>
        <w:pStyle w:val="2"/>
        <w:rPr>
          <w:rFonts w:hint="eastAsia" w:ascii="宋体" w:hAnsi="宋体" w:cs="宋体"/>
          <w:color w:val="auto"/>
          <w:sz w:val="24"/>
          <w:szCs w:val="24"/>
          <w:highlight w:val="none"/>
          <w:lang w:val="en-US" w:eastAsia="zh-CN"/>
        </w:rPr>
      </w:pPr>
    </w:p>
    <w:p w14:paraId="17613C3F">
      <w:pPr>
        <w:pStyle w:val="2"/>
        <w:rPr>
          <w:rFonts w:hint="eastAsia" w:ascii="宋体" w:hAnsi="宋体" w:cs="宋体"/>
          <w:color w:val="auto"/>
          <w:sz w:val="24"/>
          <w:szCs w:val="24"/>
          <w:highlight w:val="none"/>
          <w:lang w:val="en-US" w:eastAsia="zh-CN"/>
        </w:rPr>
      </w:pPr>
    </w:p>
    <w:p w14:paraId="229F121F">
      <w:pPr>
        <w:pStyle w:val="2"/>
        <w:rPr>
          <w:rFonts w:hint="eastAsia" w:ascii="宋体" w:hAnsi="宋体" w:cs="宋体"/>
          <w:color w:val="auto"/>
          <w:sz w:val="24"/>
          <w:szCs w:val="24"/>
          <w:highlight w:val="none"/>
          <w:lang w:val="en-US" w:eastAsia="zh-CN"/>
        </w:rPr>
      </w:pPr>
    </w:p>
    <w:p w14:paraId="23A98A23">
      <w:pPr>
        <w:pStyle w:val="2"/>
        <w:rPr>
          <w:rFonts w:hint="eastAsia" w:ascii="宋体" w:hAnsi="宋体" w:cs="宋体"/>
          <w:color w:val="auto"/>
          <w:sz w:val="24"/>
          <w:szCs w:val="24"/>
          <w:highlight w:val="none"/>
          <w:lang w:val="en-US" w:eastAsia="zh-CN"/>
        </w:rPr>
      </w:pPr>
    </w:p>
    <w:p w14:paraId="48A98636">
      <w:pPr>
        <w:pStyle w:val="2"/>
        <w:rPr>
          <w:rFonts w:hint="eastAsia" w:ascii="宋体" w:hAnsi="宋体" w:cs="宋体"/>
          <w:color w:val="auto"/>
          <w:sz w:val="24"/>
          <w:szCs w:val="24"/>
          <w:highlight w:val="none"/>
          <w:lang w:val="en-US" w:eastAsia="zh-CN"/>
        </w:rPr>
      </w:pPr>
    </w:p>
    <w:p w14:paraId="6FB2F283">
      <w:pPr>
        <w:pStyle w:val="2"/>
        <w:rPr>
          <w:rFonts w:hint="eastAsia" w:ascii="宋体" w:hAnsi="宋体" w:cs="宋体"/>
          <w:color w:val="auto"/>
          <w:sz w:val="24"/>
          <w:szCs w:val="24"/>
          <w:highlight w:val="none"/>
          <w:lang w:val="en-US" w:eastAsia="zh-CN"/>
        </w:rPr>
      </w:pPr>
    </w:p>
    <w:p w14:paraId="2618F04C">
      <w:pPr>
        <w:pStyle w:val="2"/>
        <w:rPr>
          <w:rFonts w:hint="eastAsia" w:ascii="宋体" w:hAnsi="宋体" w:cs="宋体"/>
          <w:color w:val="auto"/>
          <w:sz w:val="24"/>
          <w:szCs w:val="24"/>
          <w:highlight w:val="none"/>
          <w:lang w:val="en-US" w:eastAsia="zh-CN"/>
        </w:rPr>
      </w:pPr>
    </w:p>
    <w:p w14:paraId="070C0DD8">
      <w:pPr>
        <w:spacing w:line="480" w:lineRule="exact"/>
        <w:ind w:firstLine="480" w:firstLineChars="200"/>
        <w:jc w:val="left"/>
        <w:rPr>
          <w:rFonts w:hint="eastAsia" w:ascii="宋体" w:hAnsi="宋体" w:cs="宋体"/>
          <w:color w:val="auto"/>
          <w:sz w:val="24"/>
          <w:szCs w:val="24"/>
          <w:highlight w:val="none"/>
          <w:lang w:val="en-US" w:eastAsia="zh-CN"/>
        </w:rPr>
      </w:pPr>
    </w:p>
    <w:p w14:paraId="53D8E26B">
      <w:pPr>
        <w:pStyle w:val="2"/>
        <w:rPr>
          <w:rFonts w:hint="eastAsia"/>
          <w:highlight w:val="none"/>
          <w:lang w:val="en-US" w:eastAsia="zh-CN"/>
        </w:rPr>
      </w:pPr>
    </w:p>
    <w:p w14:paraId="40CC86EC">
      <w:pPr>
        <w:spacing w:line="480" w:lineRule="exact"/>
        <w:ind w:firstLine="480" w:firstLineChars="200"/>
        <w:jc w:val="left"/>
        <w:rPr>
          <w:rFonts w:hint="eastAsia" w:ascii="宋体" w:hAnsi="宋体" w:cs="宋体"/>
          <w:color w:val="auto"/>
          <w:sz w:val="24"/>
          <w:szCs w:val="24"/>
          <w:highlight w:val="none"/>
          <w:lang w:val="en-US" w:eastAsia="zh-CN"/>
        </w:rPr>
      </w:pPr>
    </w:p>
    <w:p w14:paraId="5EA4978C">
      <w:pPr>
        <w:spacing w:line="480" w:lineRule="exact"/>
        <w:ind w:firstLine="480" w:firstLineChars="200"/>
        <w:jc w:val="left"/>
        <w:rPr>
          <w:rFonts w:hint="eastAsia" w:ascii="宋体" w:hAnsi="宋体" w:cs="宋体"/>
          <w:color w:val="auto"/>
          <w:sz w:val="24"/>
          <w:szCs w:val="24"/>
          <w:highlight w:val="none"/>
          <w:lang w:val="en-US" w:eastAsia="zh-CN"/>
        </w:rPr>
      </w:pPr>
    </w:p>
    <w:p w14:paraId="1C783701">
      <w:pPr>
        <w:pStyle w:val="4"/>
        <w:keepLines/>
        <w:spacing w:after="120" w:afterLines="50" w:line="360" w:lineRule="auto"/>
        <w:jc w:val="center"/>
        <w:rPr>
          <w:b/>
          <w:bCs/>
          <w:color w:val="auto"/>
          <w:kern w:val="44"/>
          <w:sz w:val="30"/>
          <w:szCs w:val="44"/>
          <w:highlight w:val="none"/>
        </w:rPr>
      </w:pPr>
      <w:bookmarkStart w:id="131" w:name="_Toc14458"/>
      <w:bookmarkStart w:id="132" w:name="_Toc20049"/>
      <w:bookmarkStart w:id="133" w:name="_Toc13210"/>
      <w:bookmarkStart w:id="134" w:name="_Toc7434"/>
      <w:bookmarkStart w:id="135" w:name="_Toc5553"/>
      <w:bookmarkStart w:id="136" w:name="_Toc8620"/>
      <w:r>
        <w:rPr>
          <w:rFonts w:hint="eastAsia"/>
          <w:b/>
          <w:bCs/>
          <w:color w:val="auto"/>
          <w:kern w:val="44"/>
          <w:sz w:val="30"/>
          <w:szCs w:val="44"/>
          <w:highlight w:val="none"/>
        </w:rPr>
        <w:t>五、响应文件格式</w:t>
      </w:r>
      <w:bookmarkEnd w:id="131"/>
      <w:bookmarkEnd w:id="132"/>
      <w:bookmarkEnd w:id="133"/>
      <w:bookmarkEnd w:id="134"/>
      <w:bookmarkEnd w:id="135"/>
      <w:bookmarkEnd w:id="136"/>
    </w:p>
    <w:p w14:paraId="4CE86B3D">
      <w:pPr>
        <w:rPr>
          <w:b/>
          <w:bCs/>
          <w:color w:val="auto"/>
          <w:kern w:val="44"/>
          <w:sz w:val="30"/>
          <w:szCs w:val="44"/>
          <w:highlight w:val="none"/>
        </w:rPr>
      </w:pPr>
    </w:p>
    <w:p w14:paraId="60501009">
      <w:pPr>
        <w:pStyle w:val="2"/>
        <w:rPr>
          <w:b/>
          <w:bCs/>
          <w:color w:val="auto"/>
          <w:kern w:val="44"/>
          <w:sz w:val="30"/>
          <w:szCs w:val="44"/>
          <w:highlight w:val="none"/>
        </w:rPr>
      </w:pPr>
    </w:p>
    <w:p w14:paraId="61323CD1">
      <w:pPr>
        <w:pStyle w:val="2"/>
        <w:rPr>
          <w:b/>
          <w:bCs/>
          <w:color w:val="auto"/>
          <w:kern w:val="44"/>
          <w:sz w:val="30"/>
          <w:szCs w:val="44"/>
          <w:highlight w:val="none"/>
        </w:rPr>
      </w:pPr>
    </w:p>
    <w:p w14:paraId="2710F92B">
      <w:pPr>
        <w:pStyle w:val="2"/>
        <w:rPr>
          <w:b/>
          <w:bCs/>
          <w:color w:val="auto"/>
          <w:kern w:val="44"/>
          <w:sz w:val="30"/>
          <w:szCs w:val="44"/>
          <w:highlight w:val="none"/>
        </w:rPr>
      </w:pPr>
    </w:p>
    <w:p w14:paraId="6895907C">
      <w:pPr>
        <w:pStyle w:val="2"/>
        <w:rPr>
          <w:b/>
          <w:bCs/>
          <w:color w:val="auto"/>
          <w:kern w:val="44"/>
          <w:sz w:val="30"/>
          <w:szCs w:val="44"/>
          <w:highlight w:val="none"/>
        </w:rPr>
      </w:pPr>
    </w:p>
    <w:p w14:paraId="462CCCD0">
      <w:pPr>
        <w:pStyle w:val="2"/>
        <w:rPr>
          <w:b/>
          <w:bCs/>
          <w:color w:val="auto"/>
          <w:kern w:val="44"/>
          <w:sz w:val="30"/>
          <w:szCs w:val="44"/>
          <w:highlight w:val="none"/>
        </w:rPr>
      </w:pPr>
    </w:p>
    <w:p w14:paraId="23E44151">
      <w:pPr>
        <w:spacing w:line="500" w:lineRule="exact"/>
        <w:jc w:val="center"/>
        <w:rPr>
          <w:rFonts w:ascii="宋体" w:hAnsi="宋体" w:cs="宋体"/>
          <w:b/>
          <w:color w:val="auto"/>
          <w:sz w:val="32"/>
          <w:highlight w:val="none"/>
        </w:rPr>
      </w:pPr>
    </w:p>
    <w:p w14:paraId="5B3EDFA3">
      <w:pPr>
        <w:spacing w:line="500" w:lineRule="exact"/>
        <w:jc w:val="center"/>
        <w:rPr>
          <w:rFonts w:ascii="宋体" w:hAnsi="宋体" w:cs="宋体"/>
          <w:b/>
          <w:color w:val="auto"/>
          <w:sz w:val="32"/>
          <w:highlight w:val="none"/>
        </w:rPr>
      </w:pPr>
      <w:r>
        <w:rPr>
          <w:rFonts w:hint="eastAsia" w:ascii="宋体" w:hAnsi="宋体" w:cs="宋体"/>
          <w:b/>
          <w:color w:val="auto"/>
          <w:sz w:val="32"/>
          <w:highlight w:val="none"/>
          <w:u w:val="single"/>
        </w:rPr>
        <w:t>　　　　　　　　　</w:t>
      </w:r>
      <w:bookmarkStart w:id="137" w:name="_Toc4448"/>
      <w:bookmarkStart w:id="138" w:name="_Toc22685"/>
      <w:r>
        <w:rPr>
          <w:rFonts w:hint="eastAsia" w:ascii="宋体" w:hAnsi="宋体" w:cs="宋体"/>
          <w:b/>
          <w:color w:val="auto"/>
          <w:sz w:val="32"/>
          <w:highlight w:val="none"/>
        </w:rPr>
        <w:t>项目</w:t>
      </w:r>
      <w:bookmarkEnd w:id="137"/>
      <w:bookmarkEnd w:id="138"/>
    </w:p>
    <w:p w14:paraId="296714BE">
      <w:pPr>
        <w:spacing w:line="900" w:lineRule="exact"/>
        <w:rPr>
          <w:rFonts w:ascii="宋体" w:hAnsi="宋体" w:cs="宋体"/>
          <w:b/>
          <w:color w:val="auto"/>
          <w:sz w:val="72"/>
          <w:highlight w:val="none"/>
        </w:rPr>
      </w:pPr>
    </w:p>
    <w:p w14:paraId="08AEEBA3">
      <w:pPr>
        <w:spacing w:line="900" w:lineRule="exact"/>
        <w:jc w:val="center"/>
        <w:rPr>
          <w:rFonts w:ascii="宋体" w:hAnsi="宋体" w:cs="宋体"/>
          <w:b/>
          <w:color w:val="auto"/>
          <w:sz w:val="36"/>
          <w:szCs w:val="10"/>
          <w:highlight w:val="none"/>
        </w:rPr>
      </w:pPr>
      <w:r>
        <w:rPr>
          <w:rFonts w:hint="eastAsia" w:ascii="宋体" w:hAnsi="宋体" w:cs="宋体"/>
          <w:b/>
          <w:color w:val="auto"/>
          <w:sz w:val="36"/>
          <w:szCs w:val="10"/>
          <w:highlight w:val="none"/>
        </w:rPr>
        <w:t>响应文件</w:t>
      </w:r>
    </w:p>
    <w:p w14:paraId="09A159F4">
      <w:pPr>
        <w:spacing w:after="120" w:afterLines="50"/>
        <w:jc w:val="center"/>
        <w:rPr>
          <w:rFonts w:ascii="宋体" w:hAnsi="宋体" w:cs="宋体"/>
          <w:b/>
          <w:color w:val="auto"/>
          <w:sz w:val="72"/>
          <w:highlight w:val="none"/>
        </w:rPr>
      </w:pPr>
    </w:p>
    <w:p w14:paraId="7218261F">
      <w:pPr>
        <w:spacing w:after="120" w:afterLines="50"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包</w:t>
      </w:r>
    </w:p>
    <w:p w14:paraId="080C3EF8">
      <w:pPr>
        <w:spacing w:after="120" w:afterLines="50" w:line="500" w:lineRule="exact"/>
        <w:jc w:val="center"/>
        <w:rPr>
          <w:rFonts w:ascii="宋体" w:hAnsi="宋体" w:cs="宋体"/>
          <w:b/>
          <w:color w:val="auto"/>
          <w:sz w:val="72"/>
          <w:highlight w:val="none"/>
        </w:rPr>
      </w:pPr>
    </w:p>
    <w:p w14:paraId="7C25249D">
      <w:pPr>
        <w:spacing w:after="120" w:afterLines="50" w:line="500" w:lineRule="exact"/>
        <w:ind w:firstLine="2088" w:firstLineChars="650"/>
        <w:rPr>
          <w:rFonts w:ascii="宋体" w:hAnsi="宋体" w:cs="宋体"/>
          <w:b/>
          <w:color w:val="auto"/>
          <w:sz w:val="32"/>
          <w:highlight w:val="none"/>
          <w:u w:val="single"/>
        </w:rPr>
      </w:pPr>
      <w:r>
        <w:rPr>
          <w:rFonts w:hint="eastAsia" w:ascii="宋体" w:hAnsi="宋体" w:cs="宋体"/>
          <w:b/>
          <w:color w:val="auto"/>
          <w:sz w:val="32"/>
          <w:highlight w:val="none"/>
        </w:rPr>
        <w:t>供应商：</w:t>
      </w:r>
    </w:p>
    <w:p w14:paraId="04172C93">
      <w:pPr>
        <w:spacing w:after="120" w:afterLines="50" w:line="500" w:lineRule="exact"/>
        <w:ind w:firstLine="2088" w:firstLineChars="650"/>
        <w:rPr>
          <w:rFonts w:ascii="宋体" w:hAnsi="宋体" w:cs="宋体"/>
          <w:b/>
          <w:color w:val="auto"/>
          <w:sz w:val="32"/>
          <w:highlight w:val="none"/>
        </w:rPr>
      </w:pPr>
      <w:bookmarkStart w:id="139" w:name="_Toc4670"/>
      <w:bookmarkStart w:id="140" w:name="_Toc5792"/>
      <w:r>
        <w:rPr>
          <w:rFonts w:hint="eastAsia" w:ascii="宋体" w:hAnsi="宋体" w:cs="宋体"/>
          <w:b/>
          <w:color w:val="auto"/>
          <w:sz w:val="32"/>
          <w:highlight w:val="none"/>
        </w:rPr>
        <w:t>年  月  日</w:t>
      </w:r>
      <w:bookmarkEnd w:id="139"/>
      <w:bookmarkEnd w:id="140"/>
    </w:p>
    <w:p w14:paraId="60EA277C">
      <w:pPr>
        <w:pStyle w:val="2"/>
        <w:rPr>
          <w:rFonts w:ascii="宋体" w:hAnsi="宋体" w:cs="宋体"/>
          <w:b/>
          <w:color w:val="auto"/>
          <w:sz w:val="32"/>
          <w:highlight w:val="none"/>
        </w:rPr>
      </w:pPr>
    </w:p>
    <w:p w14:paraId="7CECB389">
      <w:pPr>
        <w:pStyle w:val="2"/>
        <w:rPr>
          <w:rFonts w:ascii="宋体" w:hAnsi="宋体" w:cs="宋体"/>
          <w:b/>
          <w:color w:val="auto"/>
          <w:sz w:val="32"/>
          <w:highlight w:val="none"/>
        </w:rPr>
      </w:pPr>
    </w:p>
    <w:p w14:paraId="2F66FAF1">
      <w:pPr>
        <w:pStyle w:val="2"/>
        <w:rPr>
          <w:rFonts w:ascii="宋体" w:hAnsi="宋体" w:cs="宋体"/>
          <w:b/>
          <w:color w:val="auto"/>
          <w:sz w:val="32"/>
          <w:highlight w:val="none"/>
        </w:rPr>
      </w:pPr>
    </w:p>
    <w:p w14:paraId="7D965EC7">
      <w:pPr>
        <w:pStyle w:val="2"/>
        <w:rPr>
          <w:rFonts w:ascii="宋体" w:hAnsi="宋体" w:cs="宋体"/>
          <w:b/>
          <w:color w:val="auto"/>
          <w:sz w:val="32"/>
          <w:highlight w:val="none"/>
        </w:rPr>
      </w:pPr>
    </w:p>
    <w:p w14:paraId="7FA5CA82">
      <w:pPr>
        <w:pStyle w:val="2"/>
        <w:rPr>
          <w:rFonts w:ascii="宋体" w:hAnsi="宋体" w:cs="宋体"/>
          <w:b/>
          <w:color w:val="auto"/>
          <w:sz w:val="32"/>
          <w:highlight w:val="none"/>
        </w:rPr>
      </w:pPr>
    </w:p>
    <w:p w14:paraId="2A41ED72">
      <w:pPr>
        <w:pStyle w:val="2"/>
        <w:rPr>
          <w:rFonts w:ascii="宋体" w:hAnsi="宋体" w:cs="宋体"/>
          <w:b/>
          <w:color w:val="auto"/>
          <w:sz w:val="32"/>
          <w:highlight w:val="none"/>
        </w:rPr>
      </w:pPr>
    </w:p>
    <w:p w14:paraId="401245AF">
      <w:pPr>
        <w:pStyle w:val="2"/>
        <w:rPr>
          <w:rFonts w:ascii="宋体" w:hAnsi="宋体" w:cs="宋体"/>
          <w:b/>
          <w:color w:val="auto"/>
          <w:sz w:val="32"/>
          <w:highlight w:val="none"/>
        </w:rPr>
      </w:pPr>
    </w:p>
    <w:p w14:paraId="77E826D6">
      <w:pPr>
        <w:pStyle w:val="5"/>
        <w:adjustRightInd/>
        <w:spacing w:before="0" w:after="120" w:afterLines="50" w:line="360" w:lineRule="auto"/>
        <w:jc w:val="center"/>
        <w:rPr>
          <w:rFonts w:ascii="宋体" w:hAnsi="宋体" w:eastAsia="宋体" w:cs="宋体"/>
          <w:color w:val="auto"/>
          <w:sz w:val="24"/>
          <w:szCs w:val="24"/>
          <w:highlight w:val="none"/>
        </w:rPr>
      </w:pPr>
      <w:bookmarkStart w:id="141" w:name="_Toc3403"/>
      <w:bookmarkStart w:id="142" w:name="_Toc22602"/>
      <w:bookmarkStart w:id="143" w:name="_Toc20663"/>
      <w:r>
        <w:rPr>
          <w:rFonts w:hint="eastAsia" w:ascii="宋体" w:hAnsi="宋体" w:eastAsia="宋体" w:cs="宋体"/>
          <w:color w:val="auto"/>
          <w:sz w:val="24"/>
          <w:szCs w:val="24"/>
          <w:highlight w:val="none"/>
        </w:rPr>
        <w:t>响应文件资料清单</w:t>
      </w:r>
      <w:bookmarkEnd w:id="141"/>
      <w:bookmarkEnd w:id="142"/>
      <w:bookmarkEnd w:id="143"/>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22C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5D47BA6">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vAlign w:val="center"/>
          </w:tcPr>
          <w:p w14:paraId="26E398ED">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vAlign w:val="center"/>
          </w:tcPr>
          <w:p w14:paraId="22DBA7D6">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062F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FF25717">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vAlign w:val="center"/>
          </w:tcPr>
          <w:p w14:paraId="610A2E72">
            <w:pPr>
              <w:spacing w:line="440" w:lineRule="exact"/>
              <w:rPr>
                <w:rFonts w:ascii="宋体" w:hAnsi="宋体" w:cs="宋体"/>
                <w:color w:val="auto"/>
                <w:sz w:val="24"/>
                <w:highlight w:val="none"/>
              </w:rPr>
            </w:pPr>
            <w:r>
              <w:rPr>
                <w:rFonts w:hint="eastAsia" w:ascii="宋体" w:hAnsi="宋体" w:cs="宋体"/>
                <w:color w:val="auto"/>
                <w:sz w:val="24"/>
                <w:szCs w:val="24"/>
                <w:highlight w:val="none"/>
              </w:rPr>
              <w:t>报价单</w:t>
            </w:r>
          </w:p>
        </w:tc>
        <w:tc>
          <w:tcPr>
            <w:tcW w:w="1417" w:type="dxa"/>
            <w:vAlign w:val="center"/>
          </w:tcPr>
          <w:p w14:paraId="7D746619">
            <w:pPr>
              <w:spacing w:line="440" w:lineRule="exact"/>
              <w:jc w:val="center"/>
              <w:rPr>
                <w:rFonts w:ascii="宋体" w:hAnsi="宋体" w:cs="宋体"/>
                <w:b/>
                <w:color w:val="auto"/>
                <w:sz w:val="24"/>
                <w:highlight w:val="none"/>
              </w:rPr>
            </w:pPr>
          </w:p>
        </w:tc>
      </w:tr>
      <w:tr w14:paraId="47F1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595B2F7">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vAlign w:val="center"/>
          </w:tcPr>
          <w:p w14:paraId="05B518CC">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vAlign w:val="center"/>
          </w:tcPr>
          <w:p w14:paraId="78D59677">
            <w:pPr>
              <w:spacing w:line="440" w:lineRule="exact"/>
              <w:jc w:val="center"/>
              <w:rPr>
                <w:rFonts w:ascii="宋体" w:hAnsi="宋体" w:cs="宋体"/>
                <w:b/>
                <w:color w:val="auto"/>
                <w:sz w:val="24"/>
                <w:highlight w:val="none"/>
              </w:rPr>
            </w:pPr>
          </w:p>
        </w:tc>
      </w:tr>
      <w:tr w14:paraId="49CE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B93932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vAlign w:val="center"/>
          </w:tcPr>
          <w:p w14:paraId="65C2B338">
            <w:pPr>
              <w:pStyle w:val="61"/>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vAlign w:val="center"/>
          </w:tcPr>
          <w:p w14:paraId="0BA7EEC4">
            <w:pPr>
              <w:spacing w:line="440" w:lineRule="exact"/>
              <w:jc w:val="center"/>
              <w:rPr>
                <w:rFonts w:ascii="宋体" w:hAnsi="宋体" w:cs="宋体"/>
                <w:b/>
                <w:color w:val="auto"/>
                <w:sz w:val="24"/>
                <w:highlight w:val="none"/>
              </w:rPr>
            </w:pPr>
          </w:p>
        </w:tc>
      </w:tr>
      <w:tr w14:paraId="4285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6AF0434">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vAlign w:val="center"/>
          </w:tcPr>
          <w:p w14:paraId="75938635">
            <w:pPr>
              <w:pStyle w:val="61"/>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vAlign w:val="center"/>
          </w:tcPr>
          <w:p w14:paraId="477E3009">
            <w:pPr>
              <w:spacing w:line="440" w:lineRule="exact"/>
              <w:jc w:val="center"/>
              <w:rPr>
                <w:rFonts w:ascii="宋体" w:hAnsi="宋体" w:cs="宋体"/>
                <w:b/>
                <w:color w:val="auto"/>
                <w:sz w:val="24"/>
                <w:highlight w:val="none"/>
              </w:rPr>
            </w:pPr>
          </w:p>
        </w:tc>
      </w:tr>
      <w:tr w14:paraId="7360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63FAFE8">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vAlign w:val="center"/>
          </w:tcPr>
          <w:p w14:paraId="5A0067AB">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2402F00C">
            <w:pPr>
              <w:spacing w:line="440" w:lineRule="exact"/>
              <w:jc w:val="center"/>
              <w:rPr>
                <w:rFonts w:ascii="宋体" w:hAnsi="宋体" w:cs="宋体"/>
                <w:b/>
                <w:color w:val="auto"/>
                <w:sz w:val="24"/>
                <w:highlight w:val="none"/>
              </w:rPr>
            </w:pPr>
          </w:p>
        </w:tc>
      </w:tr>
      <w:tr w14:paraId="2E0F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36340656">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6038" w:type="dxa"/>
            <w:vAlign w:val="center"/>
          </w:tcPr>
          <w:p w14:paraId="2F964E70">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14D64D53">
            <w:pPr>
              <w:spacing w:line="440" w:lineRule="exact"/>
              <w:rPr>
                <w:rFonts w:ascii="宋体" w:hAnsi="宋体" w:cs="宋体"/>
                <w:b/>
                <w:color w:val="auto"/>
                <w:sz w:val="24"/>
                <w:highlight w:val="none"/>
              </w:rPr>
            </w:pPr>
          </w:p>
        </w:tc>
      </w:tr>
      <w:tr w14:paraId="7043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05AE361C">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七</w:t>
            </w:r>
          </w:p>
        </w:tc>
        <w:tc>
          <w:tcPr>
            <w:tcW w:w="6038" w:type="dxa"/>
            <w:vAlign w:val="center"/>
          </w:tcPr>
          <w:p w14:paraId="25BFDF08">
            <w:pPr>
              <w:spacing w:line="440" w:lineRule="exact"/>
              <w:rPr>
                <w:rFonts w:ascii="宋体" w:hAnsi="宋体" w:cs="宋体"/>
                <w:color w:val="auto"/>
                <w:sz w:val="24"/>
                <w:highlight w:val="none"/>
              </w:rPr>
            </w:pPr>
            <w:r>
              <w:rPr>
                <w:rFonts w:hint="eastAsia" w:ascii="宋体" w:hAnsi="宋体" w:cs="宋体"/>
                <w:color w:val="auto"/>
                <w:sz w:val="24"/>
                <w:szCs w:val="24"/>
                <w:highlight w:val="none"/>
              </w:rPr>
              <w:t>相关服务承诺函</w:t>
            </w:r>
          </w:p>
        </w:tc>
        <w:tc>
          <w:tcPr>
            <w:tcW w:w="1417" w:type="dxa"/>
            <w:vAlign w:val="center"/>
          </w:tcPr>
          <w:p w14:paraId="086246E4">
            <w:pPr>
              <w:spacing w:line="440" w:lineRule="exact"/>
              <w:rPr>
                <w:rFonts w:ascii="宋体" w:hAnsi="宋体" w:cs="宋体"/>
                <w:b/>
                <w:color w:val="auto"/>
                <w:sz w:val="24"/>
                <w:highlight w:val="none"/>
              </w:rPr>
            </w:pPr>
          </w:p>
        </w:tc>
      </w:tr>
      <w:tr w14:paraId="68C5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6EAFCB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八</w:t>
            </w:r>
          </w:p>
        </w:tc>
        <w:tc>
          <w:tcPr>
            <w:tcW w:w="6038" w:type="dxa"/>
            <w:vAlign w:val="center"/>
          </w:tcPr>
          <w:p w14:paraId="04351496">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51A0FF06">
            <w:pPr>
              <w:spacing w:line="440" w:lineRule="exact"/>
              <w:rPr>
                <w:rFonts w:ascii="宋体" w:hAnsi="宋体" w:cs="宋体"/>
                <w:b/>
                <w:color w:val="auto"/>
                <w:sz w:val="24"/>
                <w:highlight w:val="none"/>
              </w:rPr>
            </w:pPr>
          </w:p>
        </w:tc>
      </w:tr>
      <w:tr w14:paraId="337B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4594780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6038" w:type="dxa"/>
            <w:vAlign w:val="center"/>
          </w:tcPr>
          <w:p w14:paraId="131B2069">
            <w:pPr>
              <w:spacing w:line="440" w:lineRule="exact"/>
              <w:rPr>
                <w:rFonts w:ascii="宋体" w:hAnsi="宋体" w:cs="宋体"/>
                <w:color w:val="auto"/>
                <w:sz w:val="24"/>
                <w:highlight w:val="none"/>
              </w:rPr>
            </w:pPr>
          </w:p>
        </w:tc>
        <w:tc>
          <w:tcPr>
            <w:tcW w:w="1417" w:type="dxa"/>
            <w:vAlign w:val="center"/>
          </w:tcPr>
          <w:p w14:paraId="1F446A1D">
            <w:pPr>
              <w:spacing w:line="440" w:lineRule="exact"/>
              <w:rPr>
                <w:rFonts w:ascii="宋体" w:hAnsi="宋体" w:cs="宋体"/>
                <w:b/>
                <w:color w:val="auto"/>
                <w:sz w:val="24"/>
                <w:highlight w:val="none"/>
              </w:rPr>
            </w:pPr>
          </w:p>
        </w:tc>
      </w:tr>
    </w:tbl>
    <w:p w14:paraId="396CC309">
      <w:pPr>
        <w:rPr>
          <w:color w:val="auto"/>
          <w:highlight w:val="none"/>
        </w:rPr>
      </w:pPr>
      <w:bookmarkStart w:id="144" w:name="_Toc10603"/>
      <w:bookmarkStart w:id="145" w:name="_Toc8158"/>
    </w:p>
    <w:p w14:paraId="3B0447A4">
      <w:pPr>
        <w:rPr>
          <w:color w:val="auto"/>
          <w:highlight w:val="none"/>
        </w:rPr>
      </w:pPr>
    </w:p>
    <w:p w14:paraId="62A407CE">
      <w:pPr>
        <w:rPr>
          <w:color w:val="auto"/>
          <w:highlight w:val="none"/>
        </w:rPr>
      </w:pPr>
    </w:p>
    <w:p w14:paraId="25B4F670">
      <w:pPr>
        <w:rPr>
          <w:color w:val="auto"/>
          <w:highlight w:val="none"/>
        </w:rPr>
      </w:pPr>
    </w:p>
    <w:p w14:paraId="530F3B6E">
      <w:pPr>
        <w:rPr>
          <w:color w:val="auto"/>
          <w:highlight w:val="none"/>
        </w:rPr>
      </w:pPr>
    </w:p>
    <w:p w14:paraId="2B34D293">
      <w:pPr>
        <w:rPr>
          <w:color w:val="auto"/>
          <w:highlight w:val="none"/>
        </w:rPr>
      </w:pPr>
    </w:p>
    <w:p w14:paraId="3B07C1E9">
      <w:pPr>
        <w:pStyle w:val="2"/>
        <w:rPr>
          <w:color w:val="auto"/>
          <w:highlight w:val="none"/>
        </w:rPr>
      </w:pPr>
    </w:p>
    <w:p w14:paraId="4E765C13">
      <w:pPr>
        <w:pStyle w:val="2"/>
        <w:rPr>
          <w:color w:val="auto"/>
          <w:highlight w:val="none"/>
        </w:rPr>
      </w:pPr>
    </w:p>
    <w:p w14:paraId="5611B796">
      <w:pPr>
        <w:pStyle w:val="2"/>
        <w:rPr>
          <w:color w:val="auto"/>
          <w:highlight w:val="none"/>
        </w:rPr>
      </w:pPr>
    </w:p>
    <w:p w14:paraId="5AFE1010">
      <w:pPr>
        <w:pStyle w:val="2"/>
        <w:rPr>
          <w:color w:val="auto"/>
          <w:highlight w:val="none"/>
        </w:rPr>
      </w:pPr>
    </w:p>
    <w:p w14:paraId="0E5C51F2">
      <w:pPr>
        <w:pStyle w:val="33"/>
        <w:ind w:firstLine="560"/>
        <w:rPr>
          <w:color w:val="auto"/>
          <w:highlight w:val="none"/>
        </w:rPr>
      </w:pPr>
    </w:p>
    <w:p w14:paraId="27F2819A">
      <w:pPr>
        <w:pStyle w:val="33"/>
        <w:ind w:firstLine="560"/>
        <w:rPr>
          <w:color w:val="auto"/>
          <w:highlight w:val="none"/>
        </w:rPr>
      </w:pPr>
    </w:p>
    <w:p w14:paraId="1ADEEE03">
      <w:pPr>
        <w:pStyle w:val="33"/>
        <w:ind w:firstLine="560"/>
        <w:rPr>
          <w:color w:val="auto"/>
          <w:highlight w:val="none"/>
        </w:rPr>
      </w:pPr>
    </w:p>
    <w:p w14:paraId="57213E28">
      <w:pPr>
        <w:pStyle w:val="33"/>
        <w:ind w:firstLine="560"/>
        <w:rPr>
          <w:color w:val="auto"/>
          <w:highlight w:val="none"/>
        </w:rPr>
      </w:pPr>
    </w:p>
    <w:p w14:paraId="3B3C4C58">
      <w:pPr>
        <w:pStyle w:val="33"/>
        <w:ind w:firstLine="560"/>
        <w:rPr>
          <w:color w:val="auto"/>
          <w:highlight w:val="none"/>
        </w:rPr>
      </w:pPr>
    </w:p>
    <w:p w14:paraId="53029ED4">
      <w:pPr>
        <w:pStyle w:val="33"/>
        <w:ind w:firstLine="560"/>
        <w:rPr>
          <w:color w:val="auto"/>
          <w:highlight w:val="none"/>
        </w:rPr>
      </w:pPr>
    </w:p>
    <w:p w14:paraId="34E1BFE0">
      <w:pPr>
        <w:rPr>
          <w:color w:val="auto"/>
          <w:highlight w:val="none"/>
        </w:rPr>
      </w:pPr>
    </w:p>
    <w:p w14:paraId="6DAD149D">
      <w:pPr>
        <w:rPr>
          <w:color w:val="auto"/>
          <w:highlight w:val="none"/>
        </w:rPr>
      </w:pPr>
    </w:p>
    <w:p w14:paraId="778FE218">
      <w:pPr>
        <w:rPr>
          <w:color w:val="auto"/>
          <w:highlight w:val="none"/>
        </w:rPr>
      </w:pPr>
    </w:p>
    <w:p w14:paraId="11522152">
      <w:pPr>
        <w:rPr>
          <w:color w:val="auto"/>
          <w:highlight w:val="none"/>
        </w:rPr>
      </w:pPr>
    </w:p>
    <w:p w14:paraId="6D315069">
      <w:pPr>
        <w:pStyle w:val="5"/>
        <w:adjustRightInd/>
        <w:spacing w:before="0" w:after="120" w:afterLines="50" w:line="360" w:lineRule="auto"/>
        <w:rPr>
          <w:rFonts w:ascii="宋体" w:hAnsi="宋体" w:eastAsia="宋体" w:cs="宋体"/>
          <w:color w:val="auto"/>
          <w:sz w:val="24"/>
          <w:szCs w:val="24"/>
          <w:highlight w:val="none"/>
        </w:rPr>
      </w:pPr>
      <w:bookmarkStart w:id="146" w:name="_Toc15618"/>
      <w:bookmarkStart w:id="147" w:name="_Toc16872"/>
      <w:r>
        <w:rPr>
          <w:rFonts w:hint="eastAsia" w:ascii="宋体" w:hAnsi="宋体" w:eastAsia="宋体" w:cs="宋体"/>
          <w:color w:val="auto"/>
          <w:sz w:val="24"/>
          <w:szCs w:val="24"/>
          <w:highlight w:val="none"/>
        </w:rPr>
        <w:t>附件一</w:t>
      </w:r>
      <w:bookmarkEnd w:id="144"/>
      <w:bookmarkEnd w:id="145"/>
      <w:bookmarkEnd w:id="146"/>
      <w:bookmarkEnd w:id="147"/>
    </w:p>
    <w:p w14:paraId="1A5F94F7">
      <w:pPr>
        <w:pStyle w:val="5"/>
        <w:adjustRightInd/>
        <w:spacing w:before="0" w:after="120" w:afterLines="50" w:line="360" w:lineRule="auto"/>
        <w:jc w:val="center"/>
        <w:rPr>
          <w:rFonts w:hint="eastAsia" w:ascii="宋体" w:hAnsi="宋体" w:eastAsia="宋体" w:cs="宋体"/>
          <w:color w:val="auto"/>
          <w:sz w:val="24"/>
          <w:szCs w:val="24"/>
          <w:highlight w:val="none"/>
        </w:rPr>
      </w:pPr>
      <w:bookmarkStart w:id="148" w:name="_Toc25684"/>
      <w:bookmarkStart w:id="149" w:name="_Toc10816"/>
      <w:bookmarkStart w:id="150" w:name="_Toc31990"/>
      <w:bookmarkStart w:id="151" w:name="_Toc9181"/>
      <w:bookmarkStart w:id="152" w:name="_Toc5601"/>
      <w:r>
        <w:rPr>
          <w:rFonts w:hint="eastAsia" w:ascii="宋体" w:hAnsi="宋体" w:eastAsia="宋体" w:cs="宋体"/>
          <w:color w:val="auto"/>
          <w:sz w:val="24"/>
          <w:szCs w:val="24"/>
          <w:highlight w:val="none"/>
        </w:rPr>
        <w:t>报价单</w:t>
      </w:r>
      <w:bookmarkEnd w:id="148"/>
      <w:bookmarkEnd w:id="149"/>
      <w:bookmarkEnd w:id="150"/>
      <w:bookmarkEnd w:id="151"/>
      <w:bookmarkEnd w:id="152"/>
    </w:p>
    <w:p w14:paraId="6A281F0F">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1-1响应报价</w:t>
      </w:r>
    </w:p>
    <w:p w14:paraId="17DB6043">
      <w:pPr>
        <w:rPr>
          <w:rFonts w:hint="eastAsia"/>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7289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0E28867C">
            <w:pPr>
              <w:spacing w:line="360" w:lineRule="auto"/>
              <w:ind w:firstLine="482" w:firstLineChars="200"/>
              <w:rPr>
                <w:rFonts w:ascii="新宋体" w:hAnsi="新宋体" w:eastAsia="新宋体" w:cs="新宋体"/>
                <w:b/>
                <w:color w:val="auto"/>
                <w:sz w:val="24"/>
                <w:highlight w:val="none"/>
              </w:rPr>
            </w:pPr>
            <w:bookmarkStart w:id="153" w:name="_Toc2007"/>
            <w:bookmarkStart w:id="154" w:name="_Toc16998"/>
            <w:r>
              <w:rPr>
                <w:rFonts w:hint="eastAsia" w:ascii="新宋体" w:hAnsi="新宋体" w:eastAsia="新宋体" w:cs="新宋体"/>
                <w:b/>
                <w:color w:val="auto"/>
                <w:sz w:val="24"/>
                <w:highlight w:val="none"/>
              </w:rPr>
              <w:t>供应商名称</w:t>
            </w:r>
          </w:p>
        </w:tc>
        <w:tc>
          <w:tcPr>
            <w:tcW w:w="6492" w:type="dxa"/>
            <w:tcBorders>
              <w:left w:val="single" w:color="auto" w:sz="4" w:space="0"/>
            </w:tcBorders>
            <w:vAlign w:val="center"/>
          </w:tcPr>
          <w:p w14:paraId="30671A85">
            <w:pPr>
              <w:spacing w:line="360" w:lineRule="auto"/>
              <w:ind w:firstLine="482" w:firstLineChars="200"/>
              <w:rPr>
                <w:rFonts w:ascii="新宋体" w:hAnsi="新宋体" w:eastAsia="新宋体" w:cs="新宋体"/>
                <w:b/>
                <w:color w:val="auto"/>
                <w:sz w:val="24"/>
                <w:highlight w:val="none"/>
              </w:rPr>
            </w:pPr>
          </w:p>
        </w:tc>
      </w:tr>
      <w:tr w14:paraId="18EA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6CC66771">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报价范围</w:t>
            </w:r>
          </w:p>
        </w:tc>
        <w:tc>
          <w:tcPr>
            <w:tcW w:w="6492" w:type="dxa"/>
            <w:tcBorders>
              <w:left w:val="single" w:color="auto" w:sz="4" w:space="0"/>
            </w:tcBorders>
            <w:vAlign w:val="center"/>
          </w:tcPr>
          <w:p w14:paraId="0BA7456A">
            <w:pPr>
              <w:widowControl/>
              <w:spacing w:line="360" w:lineRule="auto"/>
              <w:ind w:firstLine="482" w:firstLineChars="200"/>
              <w:rPr>
                <w:rFonts w:ascii="新宋体" w:hAnsi="新宋体" w:eastAsia="新宋体" w:cs="新宋体"/>
                <w:b/>
                <w:color w:val="auto"/>
                <w:sz w:val="24"/>
                <w:highlight w:val="none"/>
              </w:rPr>
            </w:pPr>
            <w:r>
              <w:rPr>
                <w:rFonts w:hint="eastAsia" w:ascii="新宋体" w:hAnsi="新宋体" w:eastAsia="新宋体" w:cs="新宋体"/>
                <w:b/>
                <w:color w:val="auto"/>
                <w:sz w:val="24"/>
                <w:highlight w:val="none"/>
              </w:rPr>
              <w:t>谈判文件规定的全部内容</w:t>
            </w:r>
          </w:p>
        </w:tc>
      </w:tr>
      <w:tr w14:paraId="54A9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633" w:type="dxa"/>
            <w:tcBorders>
              <w:top w:val="single" w:color="auto" w:sz="4" w:space="0"/>
            </w:tcBorders>
            <w:vAlign w:val="center"/>
          </w:tcPr>
          <w:p w14:paraId="79B9B712">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响应报价</w:t>
            </w:r>
          </w:p>
          <w:p w14:paraId="601D2CD4">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w:t>
            </w:r>
            <w:r>
              <w:rPr>
                <w:rFonts w:hint="eastAsia" w:ascii="新宋体" w:hAnsi="新宋体" w:eastAsia="新宋体" w:cs="新宋体"/>
                <w:bCs/>
                <w:color w:val="auto"/>
                <w:sz w:val="24"/>
                <w:highlight w:val="none"/>
                <w:lang w:val="en-US" w:eastAsia="zh-CN"/>
              </w:rPr>
              <w:t>%</w:t>
            </w:r>
            <w:r>
              <w:rPr>
                <w:rFonts w:hint="eastAsia" w:ascii="新宋体" w:hAnsi="新宋体" w:eastAsia="新宋体" w:cs="新宋体"/>
                <w:bCs/>
                <w:color w:val="auto"/>
                <w:sz w:val="24"/>
                <w:highlight w:val="none"/>
              </w:rPr>
              <w:t>）</w:t>
            </w:r>
          </w:p>
        </w:tc>
        <w:tc>
          <w:tcPr>
            <w:tcW w:w="6492" w:type="dxa"/>
            <w:vAlign w:val="center"/>
          </w:tcPr>
          <w:p w14:paraId="37AC6E08">
            <w:pPr>
              <w:snapToGrid w:val="0"/>
              <w:spacing w:line="360" w:lineRule="auto"/>
              <w:ind w:firstLine="480" w:firstLineChars="200"/>
              <w:rPr>
                <w:rFonts w:ascii="新宋体" w:hAnsi="新宋体" w:eastAsia="新宋体" w:cs="新宋体"/>
                <w:bCs/>
                <w:color w:val="auto"/>
                <w:sz w:val="24"/>
                <w:highlight w:val="none"/>
                <w:u w:val="single"/>
              </w:rPr>
            </w:pPr>
            <w:r>
              <w:rPr>
                <w:rFonts w:hint="eastAsia" w:ascii="新宋体" w:hAnsi="新宋体" w:eastAsia="新宋体" w:cs="新宋体"/>
                <w:bCs/>
                <w:color w:val="auto"/>
                <w:sz w:val="24"/>
                <w:highlight w:val="none"/>
              </w:rPr>
              <w:t>大写：</w:t>
            </w:r>
          </w:p>
          <w:p w14:paraId="02E16BED">
            <w:pPr>
              <w:snapToGrid w:val="0"/>
              <w:spacing w:line="360" w:lineRule="auto"/>
              <w:ind w:firstLine="480" w:firstLineChars="200"/>
              <w:rPr>
                <w:rFonts w:ascii="新宋体" w:hAnsi="新宋体" w:eastAsia="新宋体" w:cs="新宋体"/>
                <w:bCs/>
                <w:color w:val="auto"/>
                <w:sz w:val="24"/>
                <w:highlight w:val="none"/>
                <w:u w:val="single"/>
              </w:rPr>
            </w:pPr>
            <w:r>
              <w:rPr>
                <w:rFonts w:hint="eastAsia" w:ascii="新宋体" w:hAnsi="新宋体" w:eastAsia="新宋体" w:cs="新宋体"/>
                <w:bCs/>
                <w:color w:val="auto"/>
                <w:sz w:val="24"/>
                <w:highlight w:val="none"/>
              </w:rPr>
              <w:t>小写</w:t>
            </w:r>
            <w:r>
              <w:rPr>
                <w:rFonts w:hint="eastAsia" w:ascii="新宋体" w:hAnsi="新宋体" w:eastAsia="新宋体" w:cs="新宋体"/>
                <w:b/>
                <w:color w:val="auto"/>
                <w:sz w:val="24"/>
                <w:highlight w:val="none"/>
              </w:rPr>
              <w:t>：</w:t>
            </w:r>
          </w:p>
          <w:p w14:paraId="47A903C7">
            <w:pPr>
              <w:snapToGrid w:val="0"/>
              <w:spacing w:line="360" w:lineRule="auto"/>
              <w:ind w:firstLine="480" w:firstLineChars="200"/>
              <w:rPr>
                <w:rFonts w:ascii="新宋体" w:hAnsi="新宋体" w:eastAsia="新宋体" w:cs="新宋体"/>
                <w:b/>
                <w:color w:val="auto"/>
                <w:sz w:val="24"/>
                <w:highlight w:val="none"/>
              </w:rPr>
            </w:pPr>
            <w:r>
              <w:rPr>
                <w:rFonts w:hint="eastAsia" w:ascii="新宋体" w:hAnsi="新宋体" w:eastAsia="新宋体" w:cs="新宋体"/>
                <w:color w:val="auto"/>
                <w:sz w:val="24"/>
                <w:highlight w:val="none"/>
              </w:rPr>
              <w:t>报价保留两位小数</w:t>
            </w:r>
          </w:p>
        </w:tc>
      </w:tr>
      <w:tr w14:paraId="4C70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633" w:type="dxa"/>
            <w:vAlign w:val="center"/>
          </w:tcPr>
          <w:p w14:paraId="7D8CAADA">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备注说明</w:t>
            </w:r>
          </w:p>
        </w:tc>
        <w:tc>
          <w:tcPr>
            <w:tcW w:w="6492" w:type="dxa"/>
          </w:tcPr>
          <w:p w14:paraId="4585C8C6">
            <w:pPr>
              <w:spacing w:line="360" w:lineRule="auto"/>
              <w:ind w:firstLine="482" w:firstLineChars="200"/>
              <w:rPr>
                <w:rFonts w:ascii="新宋体" w:hAnsi="新宋体" w:eastAsia="新宋体" w:cs="新宋体"/>
                <w:b/>
                <w:color w:val="auto"/>
                <w:sz w:val="24"/>
                <w:highlight w:val="none"/>
              </w:rPr>
            </w:pPr>
          </w:p>
        </w:tc>
      </w:tr>
    </w:tbl>
    <w:p w14:paraId="0BEE5909">
      <w:pPr>
        <w:rPr>
          <w:rFonts w:hint="eastAsia" w:ascii="宋体" w:hAnsi="宋体" w:cs="宋体"/>
          <w:color w:val="auto"/>
          <w:sz w:val="24"/>
          <w:szCs w:val="24"/>
          <w:highlight w:val="none"/>
          <w:lang w:val="en-US" w:eastAsia="zh-CN"/>
        </w:rPr>
      </w:pPr>
    </w:p>
    <w:p w14:paraId="4D5CF27E">
      <w:pPr>
        <w:rPr>
          <w:rFonts w:hint="eastAsia" w:ascii="宋体" w:hAnsi="宋体" w:cs="宋体"/>
          <w:color w:val="auto"/>
          <w:sz w:val="24"/>
          <w:szCs w:val="24"/>
          <w:highlight w:val="none"/>
          <w:lang w:val="en-US" w:eastAsia="zh-CN"/>
        </w:rPr>
      </w:pPr>
    </w:p>
    <w:p w14:paraId="355EC282">
      <w:pPr>
        <w:rPr>
          <w:rFonts w:hint="eastAsia" w:ascii="宋体" w:hAnsi="宋体" w:cs="宋体"/>
          <w:color w:val="auto"/>
          <w:sz w:val="24"/>
          <w:szCs w:val="24"/>
          <w:highlight w:val="none"/>
          <w:lang w:val="en-US" w:eastAsia="zh-CN"/>
        </w:rPr>
      </w:pPr>
    </w:p>
    <w:p w14:paraId="7295FE9F">
      <w:pPr>
        <w:rPr>
          <w:rFonts w:hint="eastAsia" w:ascii="宋体" w:hAnsi="宋体" w:cs="宋体"/>
          <w:color w:val="auto"/>
          <w:sz w:val="24"/>
          <w:szCs w:val="24"/>
          <w:highlight w:val="none"/>
          <w:lang w:val="en-US" w:eastAsia="zh-CN"/>
        </w:rPr>
      </w:pPr>
    </w:p>
    <w:p w14:paraId="01B01FF0">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供应商</w:t>
      </w:r>
      <w:r>
        <w:rPr>
          <w:rFonts w:hint="eastAsia"/>
          <w:bCs/>
          <w:color w:val="auto"/>
          <w:sz w:val="24"/>
          <w:szCs w:val="24"/>
          <w:highlight w:val="none"/>
          <w:lang w:eastAsia="zh-CN"/>
        </w:rPr>
        <w:t>（</w:t>
      </w:r>
      <w:r>
        <w:rPr>
          <w:rFonts w:hint="eastAsia"/>
          <w:bCs/>
          <w:color w:val="auto"/>
          <w:sz w:val="24"/>
          <w:szCs w:val="24"/>
          <w:highlight w:val="none"/>
          <w:lang w:val="en-US" w:eastAsia="zh-CN"/>
        </w:rPr>
        <w:t>盖章</w:t>
      </w:r>
      <w:r>
        <w:rPr>
          <w:rFonts w:hint="eastAsia"/>
          <w:bCs/>
          <w:color w:val="auto"/>
          <w:sz w:val="24"/>
          <w:szCs w:val="24"/>
          <w:highlight w:val="none"/>
          <w:lang w:eastAsia="zh-CN"/>
        </w:rPr>
        <w:t>）</w:t>
      </w:r>
      <w:r>
        <w:rPr>
          <w:rFonts w:hint="eastAsia"/>
          <w:bCs/>
          <w:color w:val="auto"/>
          <w:sz w:val="24"/>
          <w:szCs w:val="24"/>
          <w:highlight w:val="none"/>
        </w:rPr>
        <w:t>：</w:t>
      </w:r>
    </w:p>
    <w:p w14:paraId="25C817B2">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法定代表人或委托代理人（签字或盖章）：</w:t>
      </w:r>
    </w:p>
    <w:p w14:paraId="6C02519B">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日期：</w:t>
      </w:r>
    </w:p>
    <w:p w14:paraId="322A8257">
      <w:pPr>
        <w:rPr>
          <w:rFonts w:hint="eastAsia" w:ascii="宋体" w:hAnsi="宋体" w:cs="宋体"/>
          <w:color w:val="auto"/>
          <w:sz w:val="24"/>
          <w:szCs w:val="24"/>
          <w:highlight w:val="none"/>
          <w:lang w:val="en-US" w:eastAsia="zh-CN"/>
        </w:rPr>
      </w:pPr>
    </w:p>
    <w:p w14:paraId="0AABCA24">
      <w:pPr>
        <w:rPr>
          <w:rFonts w:hint="eastAsia" w:ascii="宋体" w:hAnsi="宋体" w:cs="宋体"/>
          <w:color w:val="auto"/>
          <w:sz w:val="24"/>
          <w:szCs w:val="24"/>
          <w:highlight w:val="none"/>
          <w:lang w:val="en-US" w:eastAsia="zh-CN"/>
        </w:rPr>
      </w:pPr>
    </w:p>
    <w:p w14:paraId="1F28A255">
      <w:pPr>
        <w:rPr>
          <w:rFonts w:hint="eastAsia" w:ascii="宋体" w:hAnsi="宋体" w:cs="宋体"/>
          <w:color w:val="auto"/>
          <w:sz w:val="24"/>
          <w:szCs w:val="24"/>
          <w:highlight w:val="none"/>
          <w:lang w:val="en-US" w:eastAsia="zh-CN"/>
        </w:rPr>
      </w:pPr>
    </w:p>
    <w:p w14:paraId="25AC2DE5">
      <w:pPr>
        <w:pStyle w:val="2"/>
        <w:rPr>
          <w:rFonts w:hint="eastAsia" w:ascii="宋体" w:hAnsi="宋体" w:cs="宋体"/>
          <w:color w:val="auto"/>
          <w:sz w:val="24"/>
          <w:szCs w:val="24"/>
          <w:highlight w:val="none"/>
          <w:lang w:val="en-US" w:eastAsia="zh-CN"/>
        </w:rPr>
      </w:pPr>
    </w:p>
    <w:p w14:paraId="500EB5BE">
      <w:pPr>
        <w:pStyle w:val="2"/>
        <w:rPr>
          <w:rFonts w:hint="eastAsia" w:ascii="宋体" w:hAnsi="宋体" w:cs="宋体"/>
          <w:color w:val="auto"/>
          <w:sz w:val="24"/>
          <w:szCs w:val="24"/>
          <w:highlight w:val="none"/>
          <w:lang w:val="en-US" w:eastAsia="zh-CN"/>
        </w:rPr>
      </w:pPr>
    </w:p>
    <w:p w14:paraId="653C02A7">
      <w:pPr>
        <w:pStyle w:val="2"/>
        <w:rPr>
          <w:rFonts w:hint="eastAsia" w:ascii="宋体" w:hAnsi="宋体" w:cs="宋体"/>
          <w:color w:val="auto"/>
          <w:sz w:val="24"/>
          <w:szCs w:val="24"/>
          <w:highlight w:val="none"/>
          <w:lang w:val="en-US" w:eastAsia="zh-CN"/>
        </w:rPr>
      </w:pPr>
    </w:p>
    <w:p w14:paraId="718E0C14">
      <w:pPr>
        <w:pStyle w:val="2"/>
        <w:rPr>
          <w:rFonts w:hint="eastAsia" w:ascii="宋体" w:hAnsi="宋体" w:cs="宋体"/>
          <w:color w:val="auto"/>
          <w:sz w:val="24"/>
          <w:szCs w:val="24"/>
          <w:highlight w:val="none"/>
          <w:lang w:val="en-US" w:eastAsia="zh-CN"/>
        </w:rPr>
      </w:pPr>
    </w:p>
    <w:p w14:paraId="0D5029D2">
      <w:pPr>
        <w:pStyle w:val="2"/>
        <w:rPr>
          <w:rFonts w:hint="eastAsia" w:ascii="宋体" w:hAnsi="宋体" w:cs="宋体"/>
          <w:color w:val="auto"/>
          <w:sz w:val="24"/>
          <w:szCs w:val="24"/>
          <w:highlight w:val="none"/>
          <w:lang w:val="en-US" w:eastAsia="zh-CN"/>
        </w:rPr>
      </w:pPr>
    </w:p>
    <w:p w14:paraId="677E9F4D">
      <w:pPr>
        <w:pStyle w:val="2"/>
        <w:rPr>
          <w:rFonts w:hint="eastAsia" w:ascii="宋体" w:hAnsi="宋体" w:cs="宋体"/>
          <w:color w:val="auto"/>
          <w:sz w:val="24"/>
          <w:szCs w:val="24"/>
          <w:highlight w:val="none"/>
          <w:lang w:val="en-US" w:eastAsia="zh-CN"/>
        </w:rPr>
      </w:pPr>
    </w:p>
    <w:p w14:paraId="56849121">
      <w:pPr>
        <w:pStyle w:val="2"/>
        <w:rPr>
          <w:rFonts w:hint="eastAsia" w:ascii="宋体" w:hAnsi="宋体" w:cs="宋体"/>
          <w:color w:val="auto"/>
          <w:sz w:val="24"/>
          <w:szCs w:val="24"/>
          <w:highlight w:val="none"/>
          <w:lang w:val="en-US" w:eastAsia="zh-CN"/>
        </w:rPr>
      </w:pPr>
    </w:p>
    <w:p w14:paraId="4B2B15A9">
      <w:pPr>
        <w:pStyle w:val="2"/>
        <w:rPr>
          <w:rFonts w:hint="eastAsia" w:ascii="宋体" w:hAnsi="宋体" w:cs="宋体"/>
          <w:color w:val="auto"/>
          <w:sz w:val="24"/>
          <w:szCs w:val="24"/>
          <w:highlight w:val="none"/>
          <w:lang w:val="en-US" w:eastAsia="zh-CN"/>
        </w:rPr>
      </w:pPr>
    </w:p>
    <w:p w14:paraId="21A5D9CD">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1-2最终承诺报价</w:t>
      </w:r>
    </w:p>
    <w:p w14:paraId="5F7D5194">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最终承诺报价</w:t>
      </w:r>
    </w:p>
    <w:p w14:paraId="7D94394C">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第</w:t>
      </w:r>
      <w:r>
        <w:rPr>
          <w:rFonts w:hint="eastAsia" w:ascii="宋体" w:hAnsi="宋体" w:cs="宋体"/>
          <w:b/>
          <w:bCs/>
          <w:color w:val="auto"/>
          <w:sz w:val="28"/>
          <w:szCs w:val="28"/>
          <w:highlight w:val="none"/>
          <w:u w:val="single"/>
          <w:lang w:val="en-US" w:eastAsia="zh-CN"/>
        </w:rPr>
        <w:t xml:space="preserve">  2  </w:t>
      </w:r>
      <w:r>
        <w:rPr>
          <w:rFonts w:hint="eastAsia" w:ascii="宋体" w:hAnsi="宋体" w:cs="宋体"/>
          <w:b/>
          <w:bCs/>
          <w:color w:val="auto"/>
          <w:sz w:val="28"/>
          <w:szCs w:val="28"/>
          <w:highlight w:val="none"/>
          <w:lang w:val="en-US" w:eastAsia="zh-CN"/>
        </w:rPr>
        <w:t>轮</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1210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4192AE90">
            <w:pPr>
              <w:spacing w:line="360" w:lineRule="auto"/>
              <w:ind w:firstLine="482" w:firstLineChars="200"/>
              <w:rPr>
                <w:rFonts w:ascii="新宋体" w:hAnsi="新宋体" w:eastAsia="新宋体" w:cs="新宋体"/>
                <w:b/>
                <w:color w:val="auto"/>
                <w:sz w:val="24"/>
                <w:highlight w:val="none"/>
              </w:rPr>
            </w:pPr>
            <w:r>
              <w:rPr>
                <w:rFonts w:hint="eastAsia" w:ascii="新宋体" w:hAnsi="新宋体" w:eastAsia="新宋体" w:cs="新宋体"/>
                <w:b/>
                <w:color w:val="auto"/>
                <w:sz w:val="24"/>
                <w:highlight w:val="none"/>
              </w:rPr>
              <w:t>供应商名称</w:t>
            </w:r>
          </w:p>
        </w:tc>
        <w:tc>
          <w:tcPr>
            <w:tcW w:w="6492" w:type="dxa"/>
            <w:tcBorders>
              <w:left w:val="single" w:color="auto" w:sz="4" w:space="0"/>
            </w:tcBorders>
            <w:vAlign w:val="center"/>
          </w:tcPr>
          <w:p w14:paraId="76E4D028">
            <w:pPr>
              <w:spacing w:line="360" w:lineRule="auto"/>
              <w:ind w:firstLine="482" w:firstLineChars="200"/>
              <w:rPr>
                <w:rFonts w:ascii="新宋体" w:hAnsi="新宋体" w:eastAsia="新宋体" w:cs="新宋体"/>
                <w:b/>
                <w:color w:val="auto"/>
                <w:sz w:val="24"/>
                <w:highlight w:val="none"/>
              </w:rPr>
            </w:pPr>
          </w:p>
        </w:tc>
      </w:tr>
      <w:tr w14:paraId="68E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1736982E">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报价范围</w:t>
            </w:r>
          </w:p>
        </w:tc>
        <w:tc>
          <w:tcPr>
            <w:tcW w:w="6492" w:type="dxa"/>
            <w:tcBorders>
              <w:left w:val="single" w:color="auto" w:sz="4" w:space="0"/>
            </w:tcBorders>
            <w:vAlign w:val="center"/>
          </w:tcPr>
          <w:p w14:paraId="54ED231C">
            <w:pPr>
              <w:widowControl/>
              <w:spacing w:line="360" w:lineRule="auto"/>
              <w:ind w:firstLine="482" w:firstLineChars="200"/>
              <w:rPr>
                <w:rFonts w:ascii="新宋体" w:hAnsi="新宋体" w:eastAsia="新宋体" w:cs="新宋体"/>
                <w:b/>
                <w:color w:val="auto"/>
                <w:sz w:val="24"/>
                <w:highlight w:val="none"/>
              </w:rPr>
            </w:pPr>
            <w:r>
              <w:rPr>
                <w:rFonts w:hint="eastAsia" w:ascii="新宋体" w:hAnsi="新宋体" w:eastAsia="新宋体" w:cs="新宋体"/>
                <w:b/>
                <w:color w:val="auto"/>
                <w:sz w:val="24"/>
                <w:highlight w:val="none"/>
              </w:rPr>
              <w:t>谈判文件规定的全部内容</w:t>
            </w:r>
          </w:p>
        </w:tc>
      </w:tr>
      <w:tr w14:paraId="513D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0CB894A">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lang w:val="en-US" w:eastAsia="zh-CN"/>
              </w:rPr>
              <w:t>最终承诺</w:t>
            </w:r>
            <w:r>
              <w:rPr>
                <w:rFonts w:hint="eastAsia" w:ascii="新宋体" w:hAnsi="新宋体" w:eastAsia="新宋体" w:cs="新宋体"/>
                <w:bCs/>
                <w:color w:val="auto"/>
                <w:sz w:val="24"/>
                <w:highlight w:val="none"/>
              </w:rPr>
              <w:t>报价</w:t>
            </w:r>
          </w:p>
          <w:p w14:paraId="75E03FCC">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w:t>
            </w:r>
            <w:r>
              <w:rPr>
                <w:rFonts w:hint="eastAsia" w:ascii="新宋体" w:hAnsi="新宋体" w:eastAsia="新宋体" w:cs="新宋体"/>
                <w:bCs/>
                <w:color w:val="auto"/>
                <w:sz w:val="24"/>
                <w:highlight w:val="none"/>
                <w:lang w:val="en-US" w:eastAsia="zh-CN"/>
              </w:rPr>
              <w:t>%</w:t>
            </w:r>
            <w:r>
              <w:rPr>
                <w:rFonts w:hint="eastAsia" w:ascii="新宋体" w:hAnsi="新宋体" w:eastAsia="新宋体" w:cs="新宋体"/>
                <w:bCs/>
                <w:color w:val="auto"/>
                <w:sz w:val="24"/>
                <w:highlight w:val="none"/>
              </w:rPr>
              <w:t>）</w:t>
            </w:r>
          </w:p>
        </w:tc>
        <w:tc>
          <w:tcPr>
            <w:tcW w:w="6492" w:type="dxa"/>
            <w:vAlign w:val="center"/>
          </w:tcPr>
          <w:p w14:paraId="778F6657">
            <w:pPr>
              <w:snapToGrid w:val="0"/>
              <w:spacing w:line="360" w:lineRule="auto"/>
              <w:ind w:firstLine="480" w:firstLineChars="200"/>
              <w:rPr>
                <w:rFonts w:ascii="新宋体" w:hAnsi="新宋体" w:eastAsia="新宋体" w:cs="新宋体"/>
                <w:bCs/>
                <w:color w:val="auto"/>
                <w:sz w:val="24"/>
                <w:highlight w:val="none"/>
                <w:u w:val="single"/>
              </w:rPr>
            </w:pPr>
            <w:r>
              <w:rPr>
                <w:rFonts w:hint="eastAsia" w:ascii="新宋体" w:hAnsi="新宋体" w:eastAsia="新宋体" w:cs="新宋体"/>
                <w:bCs/>
                <w:color w:val="auto"/>
                <w:sz w:val="24"/>
                <w:highlight w:val="none"/>
              </w:rPr>
              <w:t>大写：</w:t>
            </w:r>
          </w:p>
          <w:p w14:paraId="5D00883C">
            <w:pPr>
              <w:snapToGrid w:val="0"/>
              <w:spacing w:line="360" w:lineRule="auto"/>
              <w:ind w:firstLine="480" w:firstLineChars="200"/>
              <w:rPr>
                <w:rFonts w:ascii="新宋体" w:hAnsi="新宋体" w:eastAsia="新宋体" w:cs="新宋体"/>
                <w:bCs/>
                <w:color w:val="auto"/>
                <w:sz w:val="24"/>
                <w:highlight w:val="none"/>
                <w:u w:val="single"/>
              </w:rPr>
            </w:pPr>
            <w:r>
              <w:rPr>
                <w:rFonts w:hint="eastAsia" w:ascii="新宋体" w:hAnsi="新宋体" w:eastAsia="新宋体" w:cs="新宋体"/>
                <w:bCs/>
                <w:color w:val="auto"/>
                <w:sz w:val="24"/>
                <w:highlight w:val="none"/>
              </w:rPr>
              <w:t>小写</w:t>
            </w:r>
            <w:r>
              <w:rPr>
                <w:rFonts w:hint="eastAsia" w:ascii="新宋体" w:hAnsi="新宋体" w:eastAsia="新宋体" w:cs="新宋体"/>
                <w:b/>
                <w:color w:val="auto"/>
                <w:sz w:val="24"/>
                <w:highlight w:val="none"/>
              </w:rPr>
              <w:t>：</w:t>
            </w:r>
          </w:p>
          <w:p w14:paraId="635305D0">
            <w:pPr>
              <w:snapToGrid w:val="0"/>
              <w:spacing w:line="360" w:lineRule="auto"/>
              <w:ind w:firstLine="480" w:firstLineChars="200"/>
              <w:rPr>
                <w:rFonts w:ascii="新宋体" w:hAnsi="新宋体" w:eastAsia="新宋体" w:cs="新宋体"/>
                <w:b/>
                <w:color w:val="auto"/>
                <w:sz w:val="24"/>
                <w:highlight w:val="none"/>
              </w:rPr>
            </w:pPr>
            <w:r>
              <w:rPr>
                <w:rFonts w:hint="eastAsia" w:ascii="新宋体" w:hAnsi="新宋体" w:eastAsia="新宋体" w:cs="新宋体"/>
                <w:color w:val="auto"/>
                <w:sz w:val="24"/>
                <w:highlight w:val="none"/>
              </w:rPr>
              <w:t>报价保留两位小数</w:t>
            </w:r>
          </w:p>
        </w:tc>
      </w:tr>
      <w:tr w14:paraId="310E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633" w:type="dxa"/>
            <w:vAlign w:val="center"/>
          </w:tcPr>
          <w:p w14:paraId="193D9C3E">
            <w:pPr>
              <w:spacing w:line="360" w:lineRule="auto"/>
              <w:jc w:val="center"/>
              <w:rPr>
                <w:rFonts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备注说明</w:t>
            </w:r>
          </w:p>
        </w:tc>
        <w:tc>
          <w:tcPr>
            <w:tcW w:w="6492" w:type="dxa"/>
          </w:tcPr>
          <w:p w14:paraId="5032CE08">
            <w:pPr>
              <w:spacing w:line="360" w:lineRule="auto"/>
              <w:ind w:firstLine="482" w:firstLineChars="200"/>
              <w:rPr>
                <w:rFonts w:ascii="新宋体" w:hAnsi="新宋体" w:eastAsia="新宋体" w:cs="新宋体"/>
                <w:b/>
                <w:color w:val="auto"/>
                <w:sz w:val="24"/>
                <w:highlight w:val="none"/>
              </w:rPr>
            </w:pPr>
          </w:p>
        </w:tc>
      </w:tr>
    </w:tbl>
    <w:p w14:paraId="06DC688E">
      <w:pPr>
        <w:pStyle w:val="2"/>
        <w:ind w:left="0" w:leftChars="0" w:firstLine="0" w:firstLineChars="0"/>
        <w:rPr>
          <w:rFonts w:hint="default"/>
          <w:highlight w:val="none"/>
          <w:lang w:val="en-US" w:eastAsia="zh-CN"/>
        </w:rPr>
      </w:pPr>
    </w:p>
    <w:p w14:paraId="1321B6C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14:paraId="1B3C9D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1、磋商过程中，在采购文件实质性要求不变的情况下，供应商后一轮报价不得高于前一轮报价。</w:t>
      </w:r>
    </w:p>
    <w:p w14:paraId="14ED4A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2、本表由供应商自行打印并签字、盖章后携带至磋商现场填写，份数3-5份。</w:t>
      </w:r>
    </w:p>
    <w:p w14:paraId="06C1C4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为避免供应商互相协商报价、评审现场泄露报价的情况，请各参与供应商提前准备好二轮报价密封于信封内；待技术分评审完毕后，由现场工作人员统一收集交由磋商小组进行商务评审。本次磋商，不开展3轮及以上磋商活动。</w:t>
      </w:r>
    </w:p>
    <w:p w14:paraId="1092F005">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17926D34">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686D3097">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33C6F098">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794D81B4">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供应商</w:t>
      </w:r>
      <w:r>
        <w:rPr>
          <w:rFonts w:hint="eastAsia"/>
          <w:bCs/>
          <w:color w:val="auto"/>
          <w:sz w:val="24"/>
          <w:szCs w:val="24"/>
          <w:highlight w:val="none"/>
          <w:lang w:eastAsia="zh-CN"/>
        </w:rPr>
        <w:t>（</w:t>
      </w:r>
      <w:r>
        <w:rPr>
          <w:rFonts w:hint="eastAsia"/>
          <w:bCs/>
          <w:color w:val="auto"/>
          <w:sz w:val="24"/>
          <w:szCs w:val="24"/>
          <w:highlight w:val="none"/>
          <w:lang w:val="en-US" w:eastAsia="zh-CN"/>
        </w:rPr>
        <w:t>盖章</w:t>
      </w:r>
      <w:r>
        <w:rPr>
          <w:rFonts w:hint="eastAsia"/>
          <w:bCs/>
          <w:color w:val="auto"/>
          <w:sz w:val="24"/>
          <w:szCs w:val="24"/>
          <w:highlight w:val="none"/>
          <w:lang w:eastAsia="zh-CN"/>
        </w:rPr>
        <w:t>）</w:t>
      </w:r>
      <w:r>
        <w:rPr>
          <w:rFonts w:hint="eastAsia"/>
          <w:bCs/>
          <w:color w:val="auto"/>
          <w:sz w:val="24"/>
          <w:szCs w:val="24"/>
          <w:highlight w:val="none"/>
        </w:rPr>
        <w:t>：</w:t>
      </w:r>
    </w:p>
    <w:p w14:paraId="1534A8F6">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法定代表人或委托代理人（签字或盖章）：</w:t>
      </w:r>
    </w:p>
    <w:p w14:paraId="2B52DDCC">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日期：</w:t>
      </w:r>
    </w:p>
    <w:p w14:paraId="654BE4B1">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1D38361A">
      <w:pPr>
        <w:pStyle w:val="2"/>
        <w:rPr>
          <w:rFonts w:hint="eastAsia"/>
          <w:highlight w:val="none"/>
        </w:rPr>
      </w:pPr>
    </w:p>
    <w:p w14:paraId="21CDB812">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1F2CFFF0">
      <w:pPr>
        <w:pStyle w:val="5"/>
        <w:adjustRightInd/>
        <w:spacing w:before="0" w:after="120" w:afterLines="50" w:line="360" w:lineRule="auto"/>
        <w:rPr>
          <w:rFonts w:ascii="宋体" w:hAnsi="宋体" w:eastAsia="宋体" w:cs="宋体"/>
          <w:color w:val="auto"/>
          <w:sz w:val="24"/>
          <w:szCs w:val="24"/>
          <w:highlight w:val="none"/>
        </w:rPr>
      </w:pPr>
      <w:bookmarkStart w:id="155" w:name="_Toc10063"/>
      <w:bookmarkStart w:id="156" w:name="_Toc24672"/>
      <w:r>
        <w:rPr>
          <w:rFonts w:hint="eastAsia" w:ascii="宋体" w:hAnsi="宋体" w:eastAsia="宋体" w:cs="宋体"/>
          <w:color w:val="auto"/>
          <w:sz w:val="24"/>
          <w:szCs w:val="24"/>
          <w:highlight w:val="none"/>
        </w:rPr>
        <w:t>附件二</w:t>
      </w:r>
      <w:bookmarkEnd w:id="153"/>
      <w:bookmarkEnd w:id="154"/>
      <w:bookmarkEnd w:id="155"/>
      <w:bookmarkEnd w:id="156"/>
    </w:p>
    <w:p w14:paraId="009F608D">
      <w:pPr>
        <w:pStyle w:val="5"/>
        <w:adjustRightInd/>
        <w:spacing w:before="0" w:after="120" w:afterLines="50" w:line="360" w:lineRule="auto"/>
        <w:jc w:val="center"/>
        <w:rPr>
          <w:rFonts w:ascii="宋体" w:hAnsi="宋体" w:eastAsia="宋体" w:cs="宋体"/>
          <w:color w:val="auto"/>
          <w:sz w:val="24"/>
          <w:szCs w:val="24"/>
          <w:highlight w:val="none"/>
        </w:rPr>
      </w:pPr>
      <w:bookmarkStart w:id="157" w:name="_Toc29464"/>
      <w:bookmarkStart w:id="158" w:name="_Toc17280"/>
      <w:bookmarkStart w:id="159" w:name="_Toc3262"/>
      <w:bookmarkStart w:id="160" w:name="_Toc32483"/>
      <w:bookmarkStart w:id="161" w:name="_Toc8998"/>
      <w:r>
        <w:rPr>
          <w:rFonts w:hint="eastAsia" w:ascii="宋体" w:hAnsi="宋体" w:eastAsia="宋体" w:cs="宋体"/>
          <w:color w:val="auto"/>
          <w:sz w:val="24"/>
          <w:szCs w:val="24"/>
          <w:highlight w:val="none"/>
        </w:rPr>
        <w:t>供应商基本信息</w:t>
      </w:r>
      <w:bookmarkEnd w:id="157"/>
      <w:bookmarkEnd w:id="158"/>
      <w:bookmarkEnd w:id="159"/>
      <w:bookmarkEnd w:id="160"/>
      <w:bookmarkEnd w:id="161"/>
    </w:p>
    <w:p w14:paraId="3CCDBBB9">
      <w:pPr>
        <w:pStyle w:val="2"/>
        <w:spacing w:after="0" w:line="520" w:lineRule="exact"/>
        <w:ind w:firstLine="0"/>
        <w:jc w:val="center"/>
        <w:rPr>
          <w:rFonts w:ascii="宋体" w:hAnsi="宋体" w:cs="宋体"/>
          <w:color w:val="auto"/>
          <w:highlight w:val="none"/>
        </w:rPr>
      </w:pPr>
    </w:p>
    <w:p w14:paraId="55E0E1E0">
      <w:pPr>
        <w:pStyle w:val="2"/>
        <w:spacing w:after="0" w:line="520" w:lineRule="exact"/>
        <w:ind w:firstLine="0"/>
        <w:jc w:val="center"/>
        <w:rPr>
          <w:rFonts w:ascii="宋体" w:hAnsi="宋体" w:cs="宋体"/>
          <w:color w:val="auto"/>
          <w:highlight w:val="none"/>
        </w:rPr>
      </w:pPr>
    </w:p>
    <w:p w14:paraId="18FB2184">
      <w:pPr>
        <w:pStyle w:val="2"/>
        <w:spacing w:after="0" w:line="520" w:lineRule="exact"/>
        <w:ind w:firstLine="0"/>
        <w:jc w:val="center"/>
        <w:rPr>
          <w:rFonts w:ascii="宋体" w:hAnsi="宋体" w:cs="宋体"/>
          <w:color w:val="auto"/>
          <w:highlight w:val="none"/>
        </w:rPr>
      </w:pPr>
    </w:p>
    <w:p w14:paraId="1154D93F">
      <w:pPr>
        <w:pStyle w:val="2"/>
        <w:spacing w:after="0" w:line="520" w:lineRule="exact"/>
        <w:ind w:firstLine="0"/>
        <w:jc w:val="center"/>
        <w:rPr>
          <w:rFonts w:ascii="宋体" w:hAnsi="宋体" w:cs="宋体"/>
          <w:color w:val="auto"/>
          <w:highlight w:val="none"/>
        </w:rPr>
      </w:pPr>
    </w:p>
    <w:p w14:paraId="0224D291">
      <w:pPr>
        <w:pStyle w:val="2"/>
        <w:spacing w:after="0" w:line="520" w:lineRule="exact"/>
        <w:ind w:firstLine="0"/>
        <w:jc w:val="center"/>
        <w:rPr>
          <w:rFonts w:ascii="宋体" w:hAnsi="宋体" w:cs="宋体"/>
          <w:color w:val="auto"/>
          <w:highlight w:val="none"/>
        </w:rPr>
      </w:pPr>
    </w:p>
    <w:p w14:paraId="7D88F5F2">
      <w:pPr>
        <w:pStyle w:val="2"/>
        <w:spacing w:after="0" w:line="520" w:lineRule="exact"/>
        <w:ind w:firstLine="0"/>
        <w:jc w:val="center"/>
        <w:rPr>
          <w:rFonts w:ascii="宋体" w:hAnsi="宋体" w:cs="宋体"/>
          <w:color w:val="auto"/>
          <w:highlight w:val="none"/>
        </w:rPr>
      </w:pPr>
    </w:p>
    <w:p w14:paraId="5CEF3F05">
      <w:pPr>
        <w:pStyle w:val="2"/>
        <w:spacing w:after="0" w:line="520" w:lineRule="exact"/>
        <w:ind w:firstLine="0"/>
        <w:jc w:val="center"/>
        <w:rPr>
          <w:rFonts w:ascii="宋体" w:hAnsi="宋体" w:cs="宋体"/>
          <w:color w:val="auto"/>
          <w:highlight w:val="none"/>
        </w:rPr>
      </w:pPr>
    </w:p>
    <w:p w14:paraId="337ABE24">
      <w:pPr>
        <w:pStyle w:val="2"/>
        <w:spacing w:after="0" w:line="520" w:lineRule="exact"/>
        <w:ind w:firstLine="0"/>
        <w:jc w:val="center"/>
        <w:rPr>
          <w:rFonts w:ascii="宋体" w:hAnsi="宋体" w:cs="宋体"/>
          <w:color w:val="auto"/>
          <w:highlight w:val="none"/>
        </w:rPr>
      </w:pPr>
    </w:p>
    <w:p w14:paraId="144F1A8E">
      <w:pPr>
        <w:pStyle w:val="2"/>
        <w:spacing w:after="0" w:line="520" w:lineRule="exact"/>
        <w:ind w:firstLine="0"/>
        <w:jc w:val="center"/>
        <w:rPr>
          <w:rFonts w:ascii="宋体" w:hAnsi="宋体" w:cs="宋体"/>
          <w:color w:val="auto"/>
          <w:highlight w:val="none"/>
        </w:rPr>
      </w:pPr>
    </w:p>
    <w:p w14:paraId="73BCCA87">
      <w:pPr>
        <w:pStyle w:val="2"/>
        <w:spacing w:after="0" w:line="520" w:lineRule="exact"/>
        <w:ind w:firstLine="0"/>
        <w:jc w:val="center"/>
        <w:rPr>
          <w:rFonts w:ascii="宋体" w:hAnsi="宋体" w:cs="宋体"/>
          <w:color w:val="auto"/>
          <w:highlight w:val="none"/>
        </w:rPr>
      </w:pPr>
    </w:p>
    <w:p w14:paraId="4AECEA01">
      <w:pPr>
        <w:pStyle w:val="2"/>
        <w:spacing w:after="0" w:line="520" w:lineRule="exact"/>
        <w:ind w:firstLine="0"/>
        <w:jc w:val="center"/>
        <w:rPr>
          <w:rFonts w:ascii="宋体" w:hAnsi="宋体" w:cs="宋体"/>
          <w:color w:val="auto"/>
          <w:highlight w:val="none"/>
        </w:rPr>
      </w:pPr>
    </w:p>
    <w:p w14:paraId="24318CE8">
      <w:pPr>
        <w:pStyle w:val="2"/>
        <w:spacing w:after="0" w:line="520" w:lineRule="exact"/>
        <w:ind w:firstLine="0"/>
        <w:jc w:val="center"/>
        <w:rPr>
          <w:rFonts w:ascii="宋体" w:hAnsi="宋体" w:cs="宋体"/>
          <w:color w:val="auto"/>
          <w:highlight w:val="none"/>
        </w:rPr>
      </w:pPr>
    </w:p>
    <w:p w14:paraId="7AC1AE3B">
      <w:pPr>
        <w:pStyle w:val="2"/>
        <w:spacing w:after="0" w:line="520" w:lineRule="exact"/>
        <w:ind w:firstLine="0"/>
        <w:jc w:val="center"/>
        <w:rPr>
          <w:rFonts w:ascii="宋体" w:hAnsi="宋体" w:cs="宋体"/>
          <w:color w:val="auto"/>
          <w:highlight w:val="none"/>
        </w:rPr>
      </w:pPr>
    </w:p>
    <w:p w14:paraId="61F99FA7">
      <w:pPr>
        <w:pStyle w:val="2"/>
        <w:spacing w:after="0" w:line="520" w:lineRule="exact"/>
        <w:ind w:firstLine="0"/>
        <w:jc w:val="center"/>
        <w:rPr>
          <w:rFonts w:ascii="宋体" w:hAnsi="宋体" w:cs="宋体"/>
          <w:color w:val="auto"/>
          <w:highlight w:val="none"/>
        </w:rPr>
      </w:pPr>
    </w:p>
    <w:p w14:paraId="1A412477">
      <w:pPr>
        <w:pStyle w:val="2"/>
        <w:spacing w:after="0" w:line="520" w:lineRule="exact"/>
        <w:ind w:firstLine="0"/>
        <w:jc w:val="center"/>
        <w:rPr>
          <w:rFonts w:ascii="宋体" w:hAnsi="宋体" w:cs="宋体"/>
          <w:color w:val="auto"/>
          <w:highlight w:val="none"/>
        </w:rPr>
      </w:pPr>
    </w:p>
    <w:p w14:paraId="378360AC">
      <w:pPr>
        <w:pStyle w:val="2"/>
        <w:spacing w:after="0" w:line="520" w:lineRule="exact"/>
        <w:ind w:firstLine="0"/>
        <w:jc w:val="center"/>
        <w:rPr>
          <w:rFonts w:ascii="宋体" w:hAnsi="宋体" w:cs="宋体"/>
          <w:color w:val="auto"/>
          <w:highlight w:val="none"/>
        </w:rPr>
      </w:pPr>
    </w:p>
    <w:p w14:paraId="2A9D127F">
      <w:pPr>
        <w:pStyle w:val="2"/>
        <w:spacing w:after="0" w:line="520" w:lineRule="exact"/>
        <w:ind w:firstLine="0"/>
        <w:jc w:val="center"/>
        <w:rPr>
          <w:rFonts w:ascii="宋体" w:hAnsi="宋体" w:cs="宋体"/>
          <w:color w:val="auto"/>
          <w:highlight w:val="none"/>
        </w:rPr>
      </w:pPr>
    </w:p>
    <w:p w14:paraId="45BDF848">
      <w:pPr>
        <w:pStyle w:val="2"/>
        <w:spacing w:after="0" w:line="520" w:lineRule="exact"/>
        <w:ind w:firstLine="0"/>
        <w:jc w:val="center"/>
        <w:rPr>
          <w:rFonts w:ascii="宋体" w:hAnsi="宋体" w:cs="宋体"/>
          <w:color w:val="auto"/>
          <w:highlight w:val="none"/>
        </w:rPr>
      </w:pPr>
    </w:p>
    <w:p w14:paraId="554F55F1">
      <w:pPr>
        <w:pStyle w:val="2"/>
        <w:spacing w:after="0" w:line="520" w:lineRule="exact"/>
        <w:ind w:firstLine="0"/>
        <w:jc w:val="center"/>
        <w:rPr>
          <w:rFonts w:ascii="宋体" w:hAnsi="宋体" w:cs="宋体"/>
          <w:color w:val="auto"/>
          <w:highlight w:val="none"/>
        </w:rPr>
      </w:pPr>
    </w:p>
    <w:p w14:paraId="6F40ECE7">
      <w:pPr>
        <w:pStyle w:val="2"/>
        <w:spacing w:after="0" w:line="520" w:lineRule="exact"/>
        <w:ind w:firstLine="0"/>
        <w:jc w:val="center"/>
        <w:rPr>
          <w:rFonts w:ascii="宋体" w:hAnsi="宋体" w:cs="宋体"/>
          <w:color w:val="auto"/>
          <w:highlight w:val="none"/>
        </w:rPr>
      </w:pPr>
    </w:p>
    <w:p w14:paraId="283BB08C">
      <w:pPr>
        <w:pStyle w:val="2"/>
        <w:spacing w:after="0" w:line="520" w:lineRule="exact"/>
        <w:ind w:firstLine="0"/>
        <w:jc w:val="center"/>
        <w:rPr>
          <w:rFonts w:ascii="宋体" w:hAnsi="宋体" w:cs="宋体"/>
          <w:color w:val="auto"/>
          <w:highlight w:val="none"/>
        </w:rPr>
      </w:pPr>
    </w:p>
    <w:p w14:paraId="4B66787C">
      <w:pPr>
        <w:pStyle w:val="2"/>
        <w:spacing w:after="0" w:line="520" w:lineRule="exact"/>
        <w:ind w:firstLine="0"/>
        <w:jc w:val="center"/>
        <w:rPr>
          <w:rFonts w:ascii="宋体" w:hAnsi="宋体" w:cs="宋体"/>
          <w:color w:val="auto"/>
          <w:highlight w:val="none"/>
        </w:rPr>
      </w:pPr>
    </w:p>
    <w:p w14:paraId="322D2857">
      <w:pPr>
        <w:pStyle w:val="5"/>
        <w:adjustRightInd/>
        <w:spacing w:before="0" w:after="120" w:afterLines="50" w:line="360" w:lineRule="auto"/>
        <w:rPr>
          <w:rFonts w:ascii="宋体" w:hAnsi="宋体" w:eastAsia="宋体" w:cs="宋体"/>
          <w:color w:val="auto"/>
          <w:sz w:val="24"/>
          <w:szCs w:val="24"/>
          <w:highlight w:val="none"/>
        </w:rPr>
      </w:pPr>
      <w:bookmarkStart w:id="162" w:name="_Toc22187"/>
      <w:bookmarkStart w:id="163" w:name="_Toc18369"/>
      <w:bookmarkStart w:id="164" w:name="_Toc29009"/>
      <w:bookmarkStart w:id="165" w:name="_Toc11062"/>
      <w:r>
        <w:rPr>
          <w:rFonts w:hint="eastAsia" w:ascii="宋体" w:hAnsi="宋体" w:eastAsia="宋体" w:cs="宋体"/>
          <w:color w:val="auto"/>
          <w:sz w:val="24"/>
          <w:szCs w:val="24"/>
          <w:highlight w:val="none"/>
        </w:rPr>
        <w:t>附件三</w:t>
      </w:r>
      <w:bookmarkEnd w:id="162"/>
      <w:bookmarkEnd w:id="163"/>
      <w:bookmarkEnd w:id="164"/>
      <w:bookmarkEnd w:id="165"/>
    </w:p>
    <w:p w14:paraId="4EFBCD0C">
      <w:pPr>
        <w:pStyle w:val="5"/>
        <w:adjustRightInd/>
        <w:spacing w:before="0" w:after="120" w:afterLines="50" w:line="360" w:lineRule="auto"/>
        <w:jc w:val="center"/>
        <w:rPr>
          <w:rFonts w:ascii="宋体" w:hAnsi="宋体" w:eastAsia="宋体" w:cs="宋体"/>
          <w:color w:val="auto"/>
          <w:sz w:val="24"/>
          <w:szCs w:val="24"/>
          <w:highlight w:val="none"/>
        </w:rPr>
      </w:pPr>
      <w:bookmarkStart w:id="166" w:name="_Toc10696"/>
      <w:bookmarkStart w:id="167" w:name="_Toc13141"/>
      <w:bookmarkStart w:id="168" w:name="_Toc30135"/>
      <w:bookmarkStart w:id="169" w:name="_Toc16368"/>
      <w:bookmarkStart w:id="170" w:name="_Toc24149"/>
      <w:r>
        <w:rPr>
          <w:rFonts w:hint="eastAsia" w:ascii="宋体" w:hAnsi="宋体" w:eastAsia="宋体" w:cs="宋体"/>
          <w:color w:val="auto"/>
          <w:sz w:val="24"/>
          <w:szCs w:val="24"/>
          <w:highlight w:val="none"/>
        </w:rPr>
        <w:t>磋商授权书</w:t>
      </w:r>
      <w:bookmarkEnd w:id="166"/>
      <w:bookmarkEnd w:id="167"/>
      <w:bookmarkEnd w:id="168"/>
      <w:bookmarkEnd w:id="169"/>
      <w:bookmarkEnd w:id="170"/>
    </w:p>
    <w:p w14:paraId="6AEAC1D1">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致：_________________</w:t>
      </w:r>
    </w:p>
    <w:p w14:paraId="3BBA7B1A">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）项目磋商活动的合法代理人，以我方名义全权处理与该项目磋商、签订合同以及合同执行有关的一切事务。</w:t>
      </w:r>
    </w:p>
    <w:p w14:paraId="267CE964">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797FCCCC">
      <w:pPr>
        <w:spacing w:line="520" w:lineRule="exact"/>
        <w:jc w:val="left"/>
        <w:rPr>
          <w:rFonts w:ascii="宋体" w:hAnsi="宋体" w:cs="宋体"/>
          <w:color w:val="auto"/>
          <w:sz w:val="24"/>
          <w:szCs w:val="24"/>
          <w:highlight w:val="none"/>
        </w:rPr>
      </w:pPr>
    </w:p>
    <w:p w14:paraId="68505BE1">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13B08E1E">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30C7E2F8">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AE8A244">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1546E315">
      <w:pPr>
        <w:spacing w:line="520" w:lineRule="exact"/>
        <w:ind w:firstLine="1084" w:firstLineChars="450"/>
        <w:jc w:val="left"/>
        <w:rPr>
          <w:rFonts w:ascii="宋体" w:hAnsi="宋体" w:cs="宋体"/>
          <w:b/>
          <w:bCs/>
          <w:color w:val="auto"/>
          <w:sz w:val="24"/>
          <w:szCs w:val="24"/>
          <w:highlight w:val="none"/>
        </w:rPr>
      </w:pPr>
    </w:p>
    <w:p w14:paraId="387857BC">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10C9FF09">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07A11BA4">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656B5CD9">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55ADA4F4">
      <w:pPr>
        <w:spacing w:line="520" w:lineRule="exact"/>
        <w:jc w:val="left"/>
        <w:rPr>
          <w:rFonts w:ascii="宋体" w:hAnsi="宋体" w:cs="宋体"/>
          <w:color w:val="auto"/>
          <w:sz w:val="24"/>
          <w:szCs w:val="24"/>
          <w:highlight w:val="none"/>
        </w:rPr>
      </w:pPr>
    </w:p>
    <w:p w14:paraId="03D538C9">
      <w:pPr>
        <w:wordWrap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4377010">
      <w:pPr>
        <w:spacing w:line="520" w:lineRule="exact"/>
        <w:ind w:firstLine="4228" w:firstLineChars="1762"/>
        <w:rPr>
          <w:rFonts w:ascii="宋体" w:hAnsi="宋体" w:cs="宋体"/>
          <w:color w:val="auto"/>
          <w:sz w:val="24"/>
          <w:szCs w:val="24"/>
          <w:highlight w:val="none"/>
          <w:u w:val="single"/>
        </w:rPr>
      </w:pPr>
      <w:r>
        <w:rPr>
          <w:rFonts w:hint="eastAsia" w:ascii="宋体" w:hAnsi="宋体" w:cs="宋体"/>
          <w:color w:val="auto"/>
          <w:sz w:val="24"/>
          <w:szCs w:val="24"/>
          <w:highlight w:val="none"/>
        </w:rPr>
        <w:t>供应商（公章）：</w:t>
      </w:r>
    </w:p>
    <w:p w14:paraId="2B6CF0DC">
      <w:pPr>
        <w:tabs>
          <w:tab w:val="left" w:pos="630"/>
        </w:tabs>
        <w:spacing w:line="520" w:lineRule="exact"/>
        <w:ind w:firstLine="4228" w:firstLineChars="1762"/>
        <w:rPr>
          <w:rFonts w:ascii="宋体" w:hAnsi="宋体" w:cs="宋体"/>
          <w:color w:val="auto"/>
          <w:sz w:val="24"/>
          <w:szCs w:val="24"/>
          <w:highlight w:val="none"/>
        </w:rPr>
      </w:pPr>
      <w:r>
        <w:rPr>
          <w:rFonts w:hint="eastAsia" w:ascii="宋体" w:hAnsi="宋体" w:cs="宋体"/>
          <w:color w:val="auto"/>
          <w:sz w:val="24"/>
          <w:szCs w:val="24"/>
          <w:highlight w:val="none"/>
        </w:rPr>
        <w:t>日期：</w:t>
      </w:r>
    </w:p>
    <w:p w14:paraId="662C4C3D">
      <w:pPr>
        <w:pStyle w:val="2"/>
        <w:rPr>
          <w:rFonts w:ascii="宋体" w:hAnsi="宋体" w:cs="宋体"/>
          <w:b/>
          <w:bCs/>
          <w:color w:val="auto"/>
          <w:szCs w:val="24"/>
          <w:highlight w:val="none"/>
        </w:rPr>
      </w:pPr>
    </w:p>
    <w:p w14:paraId="43D2F090">
      <w:pPr>
        <w:pStyle w:val="2"/>
        <w:rPr>
          <w:rFonts w:ascii="宋体" w:hAnsi="宋体" w:cs="宋体"/>
          <w:b/>
          <w:bCs/>
          <w:color w:val="auto"/>
          <w:szCs w:val="24"/>
          <w:highlight w:val="none"/>
        </w:rPr>
      </w:pPr>
    </w:p>
    <w:p w14:paraId="22111C3A">
      <w:pPr>
        <w:pStyle w:val="5"/>
        <w:adjustRightInd/>
        <w:spacing w:before="0" w:after="120" w:afterLines="50" w:line="360" w:lineRule="auto"/>
        <w:rPr>
          <w:rFonts w:ascii="宋体" w:hAnsi="宋体" w:eastAsia="宋体" w:cs="宋体"/>
          <w:color w:val="auto"/>
          <w:sz w:val="24"/>
          <w:szCs w:val="24"/>
          <w:highlight w:val="none"/>
        </w:rPr>
      </w:pPr>
      <w:bookmarkStart w:id="171" w:name="_Toc23589"/>
      <w:bookmarkStart w:id="172" w:name="_Toc17226"/>
      <w:bookmarkStart w:id="173" w:name="_Toc19927"/>
      <w:bookmarkStart w:id="174" w:name="_Toc32717"/>
      <w:r>
        <w:rPr>
          <w:rFonts w:hint="eastAsia" w:ascii="宋体" w:hAnsi="宋体" w:eastAsia="宋体" w:cs="宋体"/>
          <w:color w:val="auto"/>
          <w:sz w:val="24"/>
          <w:szCs w:val="24"/>
          <w:highlight w:val="none"/>
        </w:rPr>
        <w:t>附件四</w:t>
      </w:r>
      <w:bookmarkEnd w:id="171"/>
      <w:bookmarkEnd w:id="172"/>
      <w:bookmarkEnd w:id="173"/>
      <w:bookmarkEnd w:id="174"/>
    </w:p>
    <w:p w14:paraId="0C90813D">
      <w:pPr>
        <w:pStyle w:val="5"/>
        <w:adjustRightInd/>
        <w:spacing w:before="0" w:after="120" w:afterLines="50" w:line="360" w:lineRule="auto"/>
        <w:jc w:val="center"/>
        <w:rPr>
          <w:rFonts w:ascii="宋体" w:hAnsi="宋体" w:eastAsia="宋体" w:cs="宋体"/>
          <w:color w:val="auto"/>
          <w:sz w:val="24"/>
          <w:szCs w:val="24"/>
          <w:highlight w:val="none"/>
        </w:rPr>
      </w:pPr>
      <w:bookmarkStart w:id="175" w:name="_Toc6278"/>
      <w:bookmarkStart w:id="176" w:name="_Toc1906"/>
      <w:bookmarkStart w:id="177" w:name="_Toc393"/>
      <w:bookmarkStart w:id="178" w:name="_Toc29263"/>
      <w:bookmarkStart w:id="179" w:name="_Toc28665"/>
      <w:bookmarkStart w:id="180" w:name="_Toc417045478"/>
      <w:r>
        <w:rPr>
          <w:rFonts w:hint="eastAsia" w:ascii="宋体" w:hAnsi="宋体" w:eastAsia="宋体" w:cs="宋体"/>
          <w:color w:val="auto"/>
          <w:sz w:val="24"/>
          <w:szCs w:val="24"/>
          <w:highlight w:val="none"/>
        </w:rPr>
        <w:t>磋商响应函</w:t>
      </w:r>
      <w:bookmarkEnd w:id="175"/>
      <w:bookmarkEnd w:id="176"/>
      <w:bookmarkEnd w:id="177"/>
      <w:bookmarkEnd w:id="178"/>
      <w:bookmarkEnd w:id="179"/>
    </w:p>
    <w:p w14:paraId="7DE16003">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val="0"/>
          <w:bCs/>
          <w:color w:val="auto"/>
          <w:sz w:val="24"/>
          <w:szCs w:val="24"/>
          <w:highlight w:val="none"/>
        </w:rPr>
        <w:t>___________</w:t>
      </w:r>
    </w:p>
    <w:p w14:paraId="29DD11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10E7B7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2、我方愿意按照磋商文件规定的各项要求，向采购人提供所需的服务。</w:t>
      </w:r>
    </w:p>
    <w:p w14:paraId="19961E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3CD2DE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7333EBD6">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36C823E">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8FEB2DA">
      <w:pPr>
        <w:rPr>
          <w:rFonts w:hint="eastAsia" w:ascii="宋体" w:hAnsi="宋体"/>
          <w:color w:val="auto"/>
          <w:sz w:val="24"/>
          <w:szCs w:val="24"/>
          <w:highlight w:val="none"/>
          <w:u w:val="single"/>
          <w:lang w:val="en-US" w:eastAsia="zh-CN"/>
        </w:rPr>
      </w:pPr>
    </w:p>
    <w:p w14:paraId="56C16D7C">
      <w:pPr>
        <w:pStyle w:val="2"/>
        <w:rPr>
          <w:rFonts w:hint="default"/>
          <w:color w:val="auto"/>
          <w:highlight w:val="none"/>
          <w:lang w:val="en-US" w:eastAsia="zh-CN"/>
        </w:rPr>
      </w:pPr>
    </w:p>
    <w:p w14:paraId="1791EB64">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供应商</w:t>
      </w:r>
      <w:r>
        <w:rPr>
          <w:rFonts w:hint="eastAsia"/>
          <w:bCs/>
          <w:color w:val="auto"/>
          <w:sz w:val="24"/>
          <w:szCs w:val="24"/>
          <w:highlight w:val="none"/>
          <w:lang w:eastAsia="zh-CN"/>
        </w:rPr>
        <w:t>（</w:t>
      </w:r>
      <w:r>
        <w:rPr>
          <w:rFonts w:hint="eastAsia"/>
          <w:bCs/>
          <w:color w:val="auto"/>
          <w:sz w:val="24"/>
          <w:szCs w:val="24"/>
          <w:highlight w:val="none"/>
          <w:lang w:val="en-US" w:eastAsia="zh-CN"/>
        </w:rPr>
        <w:t>盖章</w:t>
      </w:r>
      <w:r>
        <w:rPr>
          <w:rFonts w:hint="eastAsia"/>
          <w:bCs/>
          <w:color w:val="auto"/>
          <w:sz w:val="24"/>
          <w:szCs w:val="24"/>
          <w:highlight w:val="none"/>
          <w:lang w:eastAsia="zh-CN"/>
        </w:rPr>
        <w:t>）</w:t>
      </w:r>
      <w:r>
        <w:rPr>
          <w:rFonts w:hint="eastAsia"/>
          <w:bCs/>
          <w:color w:val="auto"/>
          <w:sz w:val="24"/>
          <w:szCs w:val="24"/>
          <w:highlight w:val="none"/>
        </w:rPr>
        <w:t>：</w:t>
      </w:r>
    </w:p>
    <w:p w14:paraId="53BD753F">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法定代表人或委托代理人（签字或盖章）：</w:t>
      </w:r>
    </w:p>
    <w:p w14:paraId="464F2688">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日期：</w:t>
      </w:r>
    </w:p>
    <w:p w14:paraId="0B3CCCDB">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4CD485BD">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20EC4597">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194C15F9">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57FAFF03">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19DF92E3">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144762CC">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0E52BE69">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646BAADB">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52A4762F">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3C27E0F0">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7801E3E0">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p>
    <w:p w14:paraId="5A74D29E">
      <w:pPr>
        <w:pStyle w:val="5"/>
        <w:adjustRightInd/>
        <w:spacing w:before="0" w:after="120" w:afterLines="50" w:line="360" w:lineRule="auto"/>
        <w:rPr>
          <w:rFonts w:ascii="宋体" w:hAnsi="宋体" w:eastAsia="宋体" w:cs="宋体"/>
          <w:color w:val="auto"/>
          <w:sz w:val="24"/>
          <w:szCs w:val="24"/>
          <w:highlight w:val="none"/>
        </w:rPr>
      </w:pPr>
      <w:bookmarkStart w:id="181" w:name="_Toc21593"/>
      <w:bookmarkStart w:id="182" w:name="_Toc30354"/>
      <w:bookmarkStart w:id="183" w:name="_Toc12128"/>
      <w:bookmarkStart w:id="184" w:name="_Toc10971"/>
      <w:r>
        <w:rPr>
          <w:rFonts w:hint="eastAsia" w:ascii="宋体" w:hAnsi="宋体" w:eastAsia="宋体" w:cs="宋体"/>
          <w:color w:val="auto"/>
          <w:sz w:val="24"/>
          <w:szCs w:val="24"/>
          <w:highlight w:val="none"/>
        </w:rPr>
        <w:t>附件</w:t>
      </w:r>
      <w:bookmarkEnd w:id="180"/>
      <w:r>
        <w:rPr>
          <w:rFonts w:hint="eastAsia" w:ascii="宋体" w:hAnsi="宋体" w:eastAsia="宋体" w:cs="宋体"/>
          <w:color w:val="auto"/>
          <w:sz w:val="24"/>
          <w:szCs w:val="24"/>
          <w:highlight w:val="none"/>
        </w:rPr>
        <w:t>五</w:t>
      </w:r>
      <w:bookmarkEnd w:id="181"/>
      <w:bookmarkEnd w:id="182"/>
      <w:bookmarkEnd w:id="183"/>
      <w:bookmarkEnd w:id="184"/>
    </w:p>
    <w:p w14:paraId="030F28A5">
      <w:pPr>
        <w:pStyle w:val="5"/>
        <w:adjustRightInd/>
        <w:spacing w:before="0" w:after="120" w:afterLines="50" w:line="360" w:lineRule="auto"/>
        <w:jc w:val="center"/>
        <w:rPr>
          <w:rFonts w:hint="eastAsia" w:ascii="宋体" w:hAnsi="宋体" w:eastAsia="宋体" w:cs="宋体"/>
          <w:color w:val="auto"/>
          <w:sz w:val="24"/>
          <w:szCs w:val="24"/>
          <w:highlight w:val="none"/>
        </w:rPr>
      </w:pPr>
      <w:bookmarkStart w:id="185" w:name="_Toc363199274"/>
      <w:bookmarkStart w:id="186" w:name="_Toc18709"/>
      <w:bookmarkStart w:id="187" w:name="_Toc20743"/>
      <w:r>
        <w:rPr>
          <w:rFonts w:hint="eastAsia" w:ascii="宋体" w:hAnsi="宋体" w:eastAsia="宋体" w:cs="宋体"/>
          <w:color w:val="auto"/>
          <w:sz w:val="24"/>
          <w:szCs w:val="24"/>
          <w:highlight w:val="none"/>
        </w:rPr>
        <w:t>无重大违法记录声明函</w:t>
      </w:r>
    </w:p>
    <w:p w14:paraId="170E823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color w:val="auto"/>
          <w:sz w:val="24"/>
          <w:szCs w:val="24"/>
          <w:highlight w:val="none"/>
        </w:rPr>
      </w:pPr>
      <w:r>
        <w:rPr>
          <w:rFonts w:hint="eastAsia"/>
          <w:color w:val="auto"/>
          <w:sz w:val="24"/>
          <w:szCs w:val="24"/>
          <w:highlight w:val="none"/>
        </w:rPr>
        <w:t>本公司郑重声明，根据《中华人民共和国政府采购法》及《中华人民共和国政府采购法实施条例》的规定，参加本次</w:t>
      </w:r>
      <w:r>
        <w:rPr>
          <w:rFonts w:hint="eastAsia"/>
          <w:color w:val="auto"/>
          <w:sz w:val="24"/>
          <w:szCs w:val="24"/>
          <w:highlight w:val="none"/>
          <w:lang w:val="en-US" w:eastAsia="zh-CN"/>
        </w:rPr>
        <w:t>采购</w:t>
      </w:r>
      <w:r>
        <w:rPr>
          <w:rFonts w:hint="eastAsia"/>
          <w:color w:val="auto"/>
          <w:sz w:val="24"/>
          <w:szCs w:val="24"/>
          <w:highlight w:val="none"/>
        </w:rPr>
        <w:t>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998A0A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color w:val="auto"/>
          <w:sz w:val="24"/>
          <w:szCs w:val="24"/>
          <w:highlight w:val="none"/>
        </w:rPr>
      </w:pPr>
      <w:r>
        <w:rPr>
          <w:rFonts w:hint="eastAsia"/>
          <w:color w:val="auto"/>
          <w:sz w:val="24"/>
          <w:szCs w:val="24"/>
          <w:highlight w:val="none"/>
        </w:rPr>
        <w:t>本公司对上述声明的真实性负责。如有虚假，将依法承担相应责任。</w:t>
      </w:r>
    </w:p>
    <w:p w14:paraId="6C8559E0">
      <w:pPr>
        <w:keepNext w:val="0"/>
        <w:keepLines w:val="0"/>
        <w:pageBreakBefore w:val="0"/>
        <w:widowControl w:val="0"/>
        <w:kinsoku/>
        <w:wordWrap/>
        <w:overflowPunct/>
        <w:topLinePunct w:val="0"/>
        <w:autoSpaceDE/>
        <w:autoSpaceDN/>
        <w:bidi w:val="0"/>
        <w:adjustRightInd/>
        <w:snapToGrid/>
        <w:spacing w:line="360" w:lineRule="auto"/>
        <w:ind w:right="0" w:firstLine="6480" w:firstLineChars="2700"/>
        <w:textAlignment w:val="auto"/>
        <w:rPr>
          <w:rFonts w:hint="eastAsia"/>
          <w:bCs/>
          <w:color w:val="auto"/>
          <w:sz w:val="24"/>
          <w:szCs w:val="24"/>
          <w:highlight w:val="none"/>
        </w:rPr>
      </w:pPr>
    </w:p>
    <w:p w14:paraId="79448C4F">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供应商</w:t>
      </w:r>
      <w:r>
        <w:rPr>
          <w:rFonts w:hint="eastAsia"/>
          <w:bCs/>
          <w:color w:val="auto"/>
          <w:sz w:val="24"/>
          <w:szCs w:val="24"/>
          <w:highlight w:val="none"/>
          <w:lang w:eastAsia="zh-CN"/>
        </w:rPr>
        <w:t>（</w:t>
      </w:r>
      <w:r>
        <w:rPr>
          <w:rFonts w:hint="eastAsia"/>
          <w:bCs/>
          <w:color w:val="auto"/>
          <w:sz w:val="24"/>
          <w:szCs w:val="24"/>
          <w:highlight w:val="none"/>
          <w:lang w:val="en-US" w:eastAsia="zh-CN"/>
        </w:rPr>
        <w:t>盖章</w:t>
      </w:r>
      <w:r>
        <w:rPr>
          <w:rFonts w:hint="eastAsia"/>
          <w:bCs/>
          <w:color w:val="auto"/>
          <w:sz w:val="24"/>
          <w:szCs w:val="24"/>
          <w:highlight w:val="none"/>
          <w:lang w:eastAsia="zh-CN"/>
        </w:rPr>
        <w:t>）</w:t>
      </w:r>
      <w:r>
        <w:rPr>
          <w:rFonts w:hint="eastAsia"/>
          <w:bCs/>
          <w:color w:val="auto"/>
          <w:sz w:val="24"/>
          <w:szCs w:val="24"/>
          <w:highlight w:val="none"/>
        </w:rPr>
        <w:t>：</w:t>
      </w:r>
    </w:p>
    <w:p w14:paraId="2DBD7251">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日期：</w:t>
      </w:r>
    </w:p>
    <w:p w14:paraId="67C2F43A">
      <w:pPr>
        <w:rPr>
          <w:color w:val="auto"/>
          <w:sz w:val="24"/>
          <w:szCs w:val="24"/>
          <w:highlight w:val="none"/>
        </w:rPr>
      </w:pPr>
    </w:p>
    <w:p w14:paraId="1C255A9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b/>
          <w:bCs/>
          <w:color w:val="auto"/>
          <w:sz w:val="24"/>
          <w:szCs w:val="24"/>
          <w:highlight w:val="none"/>
        </w:rPr>
      </w:pPr>
    </w:p>
    <w:p w14:paraId="6B58527A">
      <w:pPr>
        <w:pStyle w:val="2"/>
        <w:rPr>
          <w:rFonts w:hint="eastAsia"/>
          <w:highlight w:val="none"/>
        </w:rPr>
      </w:pPr>
    </w:p>
    <w:p w14:paraId="08BD98A2">
      <w:pPr>
        <w:pStyle w:val="33"/>
        <w:rPr>
          <w:rFonts w:hint="eastAsia"/>
          <w:color w:val="auto"/>
          <w:highlight w:val="none"/>
        </w:rPr>
      </w:pPr>
    </w:p>
    <w:p w14:paraId="0FC98884">
      <w:pPr>
        <w:pStyle w:val="5"/>
        <w:adjustRightInd/>
        <w:spacing w:before="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无不良信用记录承诺函</w:t>
      </w:r>
    </w:p>
    <w:p w14:paraId="0CA6D5F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本公司郑重承诺，我公司无以下不良信用记录情形：</w:t>
      </w:r>
    </w:p>
    <w:p w14:paraId="1BB046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（1）供应商被人民法院列入失信被执行人的；</w:t>
      </w:r>
    </w:p>
    <w:p w14:paraId="42AA8F0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（2）供应商被市场监督管理部门列入企业经营异常名录的；</w:t>
      </w:r>
    </w:p>
    <w:p w14:paraId="05C30F4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（3）供应商被税务部门列入重大税收违法案件当事人名单的；</w:t>
      </w:r>
    </w:p>
    <w:p w14:paraId="6CC3825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（4）供应商被政府采购监管部门列入政府采购严重违法失信行为记录名单的；</w:t>
      </w:r>
    </w:p>
    <w:p w14:paraId="41DD1DA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我公司承诺：合同签订前，若我公司具有不良信用记录情形，贵方可取消我公司</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 xml:space="preserve">资格或者不授予合同，所有责任由我公司自行承担。同时，我公司愿意无条件接受监管部门的调查处理。 </w:t>
      </w:r>
    </w:p>
    <w:p w14:paraId="2EBF6EAF">
      <w:pPr>
        <w:keepNext w:val="0"/>
        <w:keepLines w:val="0"/>
        <w:pageBreakBefore w:val="0"/>
        <w:widowControl w:val="0"/>
        <w:kinsoku/>
        <w:wordWrap/>
        <w:overflowPunct/>
        <w:topLinePunct w:val="0"/>
        <w:autoSpaceDE/>
        <w:autoSpaceDN/>
        <w:bidi w:val="0"/>
        <w:adjustRightInd/>
        <w:snapToGrid/>
        <w:spacing w:line="360" w:lineRule="auto"/>
        <w:ind w:right="0" w:firstLine="6480" w:firstLineChars="2700"/>
        <w:textAlignment w:val="auto"/>
        <w:rPr>
          <w:rFonts w:hint="eastAsia"/>
          <w:bCs/>
          <w:color w:val="auto"/>
          <w:sz w:val="24"/>
          <w:szCs w:val="24"/>
          <w:highlight w:val="none"/>
        </w:rPr>
      </w:pPr>
    </w:p>
    <w:p w14:paraId="54061B96">
      <w:pPr>
        <w:keepNext w:val="0"/>
        <w:keepLines w:val="0"/>
        <w:pageBreakBefore w:val="0"/>
        <w:widowControl w:val="0"/>
        <w:kinsoku/>
        <w:wordWrap/>
        <w:overflowPunct/>
        <w:topLinePunct w:val="0"/>
        <w:autoSpaceDE/>
        <w:autoSpaceDN/>
        <w:bidi w:val="0"/>
        <w:adjustRightInd/>
        <w:snapToGrid/>
        <w:spacing w:line="360" w:lineRule="auto"/>
        <w:ind w:right="0" w:firstLine="6480" w:firstLineChars="2700"/>
        <w:textAlignment w:val="auto"/>
        <w:rPr>
          <w:rFonts w:hint="eastAsia"/>
          <w:bCs/>
          <w:color w:val="auto"/>
          <w:sz w:val="24"/>
          <w:szCs w:val="24"/>
          <w:highlight w:val="none"/>
        </w:rPr>
      </w:pPr>
    </w:p>
    <w:p w14:paraId="57092097">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供应商</w:t>
      </w:r>
      <w:r>
        <w:rPr>
          <w:rFonts w:hint="eastAsia"/>
          <w:bCs/>
          <w:color w:val="auto"/>
          <w:sz w:val="24"/>
          <w:szCs w:val="24"/>
          <w:highlight w:val="none"/>
          <w:lang w:eastAsia="zh-CN"/>
        </w:rPr>
        <w:t>（</w:t>
      </w:r>
      <w:r>
        <w:rPr>
          <w:rFonts w:hint="eastAsia"/>
          <w:bCs/>
          <w:color w:val="auto"/>
          <w:sz w:val="24"/>
          <w:szCs w:val="24"/>
          <w:highlight w:val="none"/>
          <w:lang w:val="en-US" w:eastAsia="zh-CN"/>
        </w:rPr>
        <w:t>盖章</w:t>
      </w:r>
      <w:r>
        <w:rPr>
          <w:rFonts w:hint="eastAsia"/>
          <w:bCs/>
          <w:color w:val="auto"/>
          <w:sz w:val="24"/>
          <w:szCs w:val="24"/>
          <w:highlight w:val="none"/>
          <w:lang w:eastAsia="zh-CN"/>
        </w:rPr>
        <w:t>）</w:t>
      </w:r>
      <w:r>
        <w:rPr>
          <w:rFonts w:hint="eastAsia"/>
          <w:bCs/>
          <w:color w:val="auto"/>
          <w:sz w:val="24"/>
          <w:szCs w:val="24"/>
          <w:highlight w:val="none"/>
        </w:rPr>
        <w:t>：</w:t>
      </w:r>
    </w:p>
    <w:p w14:paraId="18C65818">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日期：</w:t>
      </w:r>
    </w:p>
    <w:p w14:paraId="3B576283">
      <w:pPr>
        <w:rPr>
          <w:color w:val="auto"/>
          <w:sz w:val="24"/>
          <w:szCs w:val="24"/>
          <w:highlight w:val="none"/>
        </w:rPr>
      </w:pPr>
    </w:p>
    <w:p w14:paraId="16BBC1A8">
      <w:pPr>
        <w:tabs>
          <w:tab w:val="left" w:pos="630"/>
        </w:tabs>
        <w:spacing w:line="360" w:lineRule="auto"/>
        <w:ind w:firstLine="5428" w:firstLineChars="2262"/>
        <w:rPr>
          <w:rFonts w:ascii="宋体" w:hAnsi="宋体"/>
          <w:bCs/>
          <w:color w:val="auto"/>
          <w:sz w:val="24"/>
          <w:szCs w:val="24"/>
          <w:highlight w:val="none"/>
        </w:rPr>
      </w:pPr>
    </w:p>
    <w:p w14:paraId="229314BB">
      <w:pPr>
        <w:pStyle w:val="5"/>
        <w:adjustRightInd/>
        <w:spacing w:before="0" w:after="120" w:afterLines="50" w:line="360" w:lineRule="auto"/>
        <w:rPr>
          <w:rFonts w:ascii="宋体" w:hAnsi="宋体" w:eastAsia="宋体" w:cs="宋体"/>
          <w:color w:val="auto"/>
          <w:sz w:val="24"/>
          <w:szCs w:val="24"/>
          <w:highlight w:val="none"/>
        </w:rPr>
      </w:pPr>
      <w:bookmarkStart w:id="188" w:name="_Toc16517"/>
      <w:bookmarkStart w:id="189" w:name="_Toc32069"/>
      <w:r>
        <w:rPr>
          <w:rFonts w:hint="eastAsia" w:ascii="宋体" w:hAnsi="宋体" w:eastAsia="宋体" w:cs="宋体"/>
          <w:color w:val="auto"/>
          <w:sz w:val="24"/>
          <w:szCs w:val="24"/>
          <w:highlight w:val="none"/>
        </w:rPr>
        <w:t>附件</w:t>
      </w:r>
      <w:bookmarkEnd w:id="185"/>
      <w:r>
        <w:rPr>
          <w:rFonts w:hint="eastAsia" w:ascii="宋体" w:hAnsi="宋体" w:eastAsia="宋体" w:cs="宋体"/>
          <w:color w:val="auto"/>
          <w:sz w:val="24"/>
          <w:szCs w:val="24"/>
          <w:highlight w:val="none"/>
        </w:rPr>
        <w:t>六</w:t>
      </w:r>
      <w:bookmarkEnd w:id="186"/>
      <w:bookmarkEnd w:id="187"/>
      <w:bookmarkEnd w:id="188"/>
      <w:bookmarkEnd w:id="189"/>
    </w:p>
    <w:p w14:paraId="4B6ACA96">
      <w:pPr>
        <w:pStyle w:val="5"/>
        <w:adjustRightInd/>
        <w:spacing w:before="0" w:after="120" w:afterLines="50" w:line="360" w:lineRule="auto"/>
        <w:jc w:val="center"/>
        <w:rPr>
          <w:rFonts w:hint="eastAsia" w:ascii="宋体" w:hAnsi="宋体" w:eastAsia="宋体" w:cs="宋体"/>
          <w:color w:val="auto"/>
          <w:sz w:val="24"/>
          <w:szCs w:val="24"/>
          <w:highlight w:val="none"/>
          <w:lang w:val="zh-CN"/>
        </w:rPr>
      </w:pPr>
      <w:bookmarkStart w:id="190" w:name="_Toc14009"/>
      <w:bookmarkStart w:id="191" w:name="_Toc25238"/>
      <w:bookmarkStart w:id="192" w:name="_Toc18402"/>
      <w:bookmarkStart w:id="193" w:name="_Toc13081"/>
      <w:bookmarkStart w:id="194" w:name="_Toc30075"/>
      <w:r>
        <w:rPr>
          <w:rFonts w:hint="eastAsia" w:ascii="宋体" w:hAnsi="宋体" w:eastAsia="宋体" w:cs="宋体"/>
          <w:color w:val="auto"/>
          <w:sz w:val="24"/>
          <w:szCs w:val="24"/>
          <w:highlight w:val="none"/>
          <w:lang w:val="zh-CN"/>
        </w:rPr>
        <w:t>响应情况表</w:t>
      </w:r>
      <w:bookmarkEnd w:id="190"/>
      <w:bookmarkEnd w:id="191"/>
      <w:bookmarkEnd w:id="192"/>
      <w:bookmarkEnd w:id="193"/>
      <w:bookmarkEnd w:id="194"/>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83"/>
        <w:gridCol w:w="2005"/>
        <w:gridCol w:w="2042"/>
        <w:gridCol w:w="2222"/>
        <w:gridCol w:w="1978"/>
      </w:tblGrid>
      <w:tr w14:paraId="77FF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4830" w:type="dxa"/>
            <w:gridSpan w:val="3"/>
            <w:vAlign w:val="center"/>
          </w:tcPr>
          <w:p w14:paraId="09052926">
            <w:pPr>
              <w:jc w:val="center"/>
              <w:rPr>
                <w:rFonts w:ascii="宋体" w:hAnsi="宋体" w:cs="宋体"/>
                <w:b/>
                <w:color w:val="auto"/>
                <w:sz w:val="24"/>
                <w:szCs w:val="21"/>
                <w:highlight w:val="none"/>
              </w:rPr>
            </w:pPr>
            <w:bookmarkStart w:id="195" w:name="_Toc471299110"/>
            <w:r>
              <w:rPr>
                <w:rFonts w:hint="eastAsia" w:ascii="宋体" w:hAnsi="宋体" w:cs="宋体"/>
                <w:b/>
                <w:color w:val="auto"/>
                <w:sz w:val="24"/>
                <w:szCs w:val="21"/>
                <w:highlight w:val="none"/>
              </w:rPr>
              <w:t>按磋商文件规定填写</w:t>
            </w:r>
          </w:p>
        </w:tc>
        <w:tc>
          <w:tcPr>
            <w:tcW w:w="4200" w:type="dxa"/>
            <w:gridSpan w:val="2"/>
            <w:vAlign w:val="center"/>
          </w:tcPr>
          <w:p w14:paraId="02B28B3F">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4F6D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783" w:type="dxa"/>
            <w:noWrap w:val="0"/>
            <w:vAlign w:val="center"/>
          </w:tcPr>
          <w:p w14:paraId="13664B88">
            <w:pPr>
              <w:jc w:val="center"/>
              <w:rPr>
                <w:rFonts w:ascii="宋体" w:cs="宋体"/>
                <w:b/>
                <w:color w:val="auto"/>
                <w:sz w:val="24"/>
                <w:szCs w:val="21"/>
                <w:highlight w:val="none"/>
              </w:rPr>
            </w:pPr>
            <w:r>
              <w:rPr>
                <w:rFonts w:hint="eastAsia" w:ascii="宋体" w:hAnsi="宋体" w:cs="宋体"/>
                <w:b/>
                <w:color w:val="auto"/>
                <w:sz w:val="24"/>
                <w:szCs w:val="21"/>
                <w:highlight w:val="none"/>
              </w:rPr>
              <w:t>序号</w:t>
            </w:r>
          </w:p>
        </w:tc>
        <w:tc>
          <w:tcPr>
            <w:tcW w:w="2005" w:type="dxa"/>
            <w:noWrap w:val="0"/>
            <w:vAlign w:val="center"/>
          </w:tcPr>
          <w:p w14:paraId="714A4908">
            <w:pPr>
              <w:jc w:val="center"/>
              <w:rPr>
                <w:rFonts w:ascii="宋体" w:cs="宋体"/>
                <w:b/>
                <w:color w:val="auto"/>
                <w:sz w:val="24"/>
                <w:szCs w:val="21"/>
                <w:highlight w:val="none"/>
              </w:rPr>
            </w:pPr>
            <w:r>
              <w:rPr>
                <w:rFonts w:hint="eastAsia" w:ascii="宋体" w:hAnsi="宋体" w:cs="宋体"/>
                <w:b/>
                <w:color w:val="auto"/>
                <w:sz w:val="24"/>
                <w:szCs w:val="21"/>
                <w:highlight w:val="none"/>
              </w:rPr>
              <w:t>内容</w:t>
            </w:r>
          </w:p>
        </w:tc>
        <w:tc>
          <w:tcPr>
            <w:tcW w:w="2042" w:type="dxa"/>
            <w:noWrap w:val="0"/>
            <w:vAlign w:val="center"/>
          </w:tcPr>
          <w:p w14:paraId="2B7112BA">
            <w:pPr>
              <w:jc w:val="center"/>
              <w:rPr>
                <w:rFonts w:ascii="宋体" w:cs="宋体"/>
                <w:b/>
                <w:color w:val="auto"/>
                <w:sz w:val="24"/>
                <w:szCs w:val="21"/>
                <w:highlight w:val="none"/>
              </w:rPr>
            </w:pPr>
            <w:r>
              <w:rPr>
                <w:rFonts w:hint="eastAsia" w:ascii="宋体" w:hAnsi="宋体" w:cs="宋体"/>
                <w:b/>
                <w:color w:val="auto"/>
                <w:sz w:val="24"/>
                <w:szCs w:val="21"/>
                <w:highlight w:val="none"/>
                <w:lang w:val="en-US" w:eastAsia="zh-CN"/>
              </w:rPr>
              <w:t>采购</w:t>
            </w:r>
            <w:r>
              <w:rPr>
                <w:rFonts w:hint="eastAsia" w:ascii="宋体" w:hAnsi="宋体" w:cs="宋体"/>
                <w:b/>
                <w:color w:val="auto"/>
                <w:sz w:val="24"/>
                <w:szCs w:val="21"/>
                <w:highlight w:val="none"/>
              </w:rPr>
              <w:t>文件要求</w:t>
            </w:r>
          </w:p>
        </w:tc>
        <w:tc>
          <w:tcPr>
            <w:tcW w:w="2222" w:type="dxa"/>
            <w:noWrap w:val="0"/>
            <w:vAlign w:val="center"/>
          </w:tcPr>
          <w:p w14:paraId="22422A72">
            <w:pPr>
              <w:jc w:val="center"/>
              <w:rPr>
                <w:rFonts w:asci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noWrap w:val="0"/>
            <w:vAlign w:val="center"/>
          </w:tcPr>
          <w:p w14:paraId="388B871C">
            <w:pPr>
              <w:jc w:val="center"/>
              <w:rPr>
                <w:rFonts w:ascii="宋体" w:cs="宋体"/>
                <w:b/>
                <w:color w:val="auto"/>
                <w:sz w:val="24"/>
                <w:szCs w:val="21"/>
                <w:highlight w:val="none"/>
              </w:rPr>
            </w:pPr>
            <w:r>
              <w:rPr>
                <w:rFonts w:hint="eastAsia" w:ascii="宋体" w:hAnsi="宋体" w:cs="宋体"/>
                <w:b/>
                <w:color w:val="auto"/>
                <w:sz w:val="24"/>
                <w:szCs w:val="21"/>
                <w:highlight w:val="none"/>
              </w:rPr>
              <w:t>偏离说明</w:t>
            </w:r>
          </w:p>
        </w:tc>
      </w:tr>
      <w:tr w14:paraId="1D8A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783" w:type="dxa"/>
            <w:noWrap w:val="0"/>
            <w:vAlign w:val="center"/>
          </w:tcPr>
          <w:p w14:paraId="43F64FB7">
            <w:pPr>
              <w:jc w:val="center"/>
              <w:rPr>
                <w:rFonts w:ascii="宋体" w:cs="宋体"/>
                <w:color w:val="auto"/>
                <w:sz w:val="24"/>
                <w:szCs w:val="24"/>
                <w:highlight w:val="none"/>
              </w:rPr>
            </w:pPr>
            <w:r>
              <w:rPr>
                <w:rFonts w:ascii="宋体" w:hAnsi="宋体" w:cs="宋体"/>
                <w:color w:val="auto"/>
                <w:sz w:val="24"/>
                <w:szCs w:val="24"/>
                <w:highlight w:val="none"/>
              </w:rPr>
              <w:t>1</w:t>
            </w:r>
          </w:p>
        </w:tc>
        <w:tc>
          <w:tcPr>
            <w:tcW w:w="2005" w:type="dxa"/>
            <w:noWrap w:val="0"/>
            <w:vAlign w:val="center"/>
          </w:tcPr>
          <w:p w14:paraId="70E57830">
            <w:pPr>
              <w:jc w:val="center"/>
              <w:rPr>
                <w:rFonts w:hint="default"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服务要求</w:t>
            </w:r>
          </w:p>
        </w:tc>
        <w:tc>
          <w:tcPr>
            <w:tcW w:w="2042" w:type="dxa"/>
            <w:noWrap w:val="0"/>
            <w:vAlign w:val="center"/>
          </w:tcPr>
          <w:p w14:paraId="4D920E2A">
            <w:pPr>
              <w:rPr>
                <w:rFonts w:ascii="宋体" w:cs="宋体"/>
                <w:color w:val="auto"/>
                <w:sz w:val="24"/>
                <w:szCs w:val="24"/>
                <w:highlight w:val="none"/>
              </w:rPr>
            </w:pPr>
          </w:p>
        </w:tc>
        <w:tc>
          <w:tcPr>
            <w:tcW w:w="2222" w:type="dxa"/>
            <w:noWrap w:val="0"/>
            <w:vAlign w:val="center"/>
          </w:tcPr>
          <w:p w14:paraId="410D1044">
            <w:pPr>
              <w:rPr>
                <w:rFonts w:ascii="宋体" w:cs="宋体"/>
                <w:color w:val="auto"/>
                <w:sz w:val="24"/>
                <w:szCs w:val="24"/>
                <w:highlight w:val="none"/>
              </w:rPr>
            </w:pPr>
          </w:p>
        </w:tc>
        <w:tc>
          <w:tcPr>
            <w:tcW w:w="1978" w:type="dxa"/>
            <w:noWrap w:val="0"/>
            <w:vAlign w:val="center"/>
          </w:tcPr>
          <w:p w14:paraId="73BB62DE">
            <w:pPr>
              <w:rPr>
                <w:rFonts w:ascii="宋体" w:cs="宋体"/>
                <w:color w:val="auto"/>
                <w:sz w:val="24"/>
                <w:szCs w:val="24"/>
                <w:highlight w:val="none"/>
              </w:rPr>
            </w:pPr>
          </w:p>
        </w:tc>
      </w:tr>
      <w:tr w14:paraId="4F99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783" w:type="dxa"/>
            <w:noWrap w:val="0"/>
            <w:vAlign w:val="center"/>
          </w:tcPr>
          <w:p w14:paraId="3D294F86">
            <w:pPr>
              <w:jc w:val="center"/>
              <w:rPr>
                <w:rFonts w:hint="eastAsia" w:asci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2005" w:type="dxa"/>
            <w:noWrap w:val="0"/>
            <w:vAlign w:val="center"/>
          </w:tcPr>
          <w:p w14:paraId="2D58F3F6">
            <w:pPr>
              <w:jc w:val="center"/>
              <w:rPr>
                <w:rFonts w:ascii="宋体" w:cs="宋体"/>
                <w:color w:val="auto"/>
                <w:sz w:val="24"/>
                <w:szCs w:val="24"/>
                <w:highlight w:val="none"/>
              </w:rPr>
            </w:pPr>
            <w:r>
              <w:rPr>
                <w:rFonts w:hint="eastAsia" w:ascii="宋体" w:hAnsi="宋体"/>
                <w:color w:val="auto"/>
                <w:sz w:val="24"/>
                <w:szCs w:val="28"/>
                <w:highlight w:val="none"/>
              </w:rPr>
              <w:t>服务期</w:t>
            </w:r>
          </w:p>
        </w:tc>
        <w:tc>
          <w:tcPr>
            <w:tcW w:w="2042" w:type="dxa"/>
            <w:noWrap w:val="0"/>
            <w:vAlign w:val="center"/>
          </w:tcPr>
          <w:p w14:paraId="3E53F61B">
            <w:pPr>
              <w:rPr>
                <w:rFonts w:ascii="宋体" w:cs="宋体"/>
                <w:color w:val="auto"/>
                <w:sz w:val="24"/>
                <w:szCs w:val="24"/>
                <w:highlight w:val="none"/>
              </w:rPr>
            </w:pPr>
          </w:p>
        </w:tc>
        <w:tc>
          <w:tcPr>
            <w:tcW w:w="2222" w:type="dxa"/>
            <w:noWrap w:val="0"/>
            <w:vAlign w:val="center"/>
          </w:tcPr>
          <w:p w14:paraId="503AF17B">
            <w:pPr>
              <w:rPr>
                <w:rFonts w:ascii="宋体" w:cs="宋体"/>
                <w:color w:val="auto"/>
                <w:sz w:val="24"/>
                <w:szCs w:val="24"/>
                <w:highlight w:val="none"/>
              </w:rPr>
            </w:pPr>
          </w:p>
        </w:tc>
        <w:tc>
          <w:tcPr>
            <w:tcW w:w="1978" w:type="dxa"/>
            <w:noWrap w:val="0"/>
            <w:vAlign w:val="center"/>
          </w:tcPr>
          <w:p w14:paraId="6C4DE548">
            <w:pPr>
              <w:rPr>
                <w:rFonts w:ascii="宋体" w:cs="宋体"/>
                <w:color w:val="auto"/>
                <w:sz w:val="24"/>
                <w:szCs w:val="24"/>
                <w:highlight w:val="none"/>
              </w:rPr>
            </w:pPr>
          </w:p>
        </w:tc>
      </w:tr>
      <w:tr w14:paraId="2DD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783" w:type="dxa"/>
            <w:noWrap w:val="0"/>
            <w:vAlign w:val="center"/>
          </w:tcPr>
          <w:p w14:paraId="3C4E57EC">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005" w:type="dxa"/>
            <w:noWrap w:val="0"/>
            <w:vAlign w:val="center"/>
          </w:tcPr>
          <w:p w14:paraId="2786EF02">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4"/>
                <w:highlight w:val="none"/>
                <w:lang w:val="en-US" w:eastAsia="zh-CN"/>
              </w:rPr>
              <w:t>付款方式</w:t>
            </w:r>
          </w:p>
        </w:tc>
        <w:tc>
          <w:tcPr>
            <w:tcW w:w="2042" w:type="dxa"/>
            <w:noWrap w:val="0"/>
            <w:vAlign w:val="center"/>
          </w:tcPr>
          <w:p w14:paraId="4A6B4A41">
            <w:pPr>
              <w:rPr>
                <w:rFonts w:ascii="宋体" w:cs="宋体"/>
                <w:color w:val="auto"/>
                <w:sz w:val="24"/>
                <w:szCs w:val="24"/>
                <w:highlight w:val="none"/>
              </w:rPr>
            </w:pPr>
          </w:p>
        </w:tc>
        <w:tc>
          <w:tcPr>
            <w:tcW w:w="2222" w:type="dxa"/>
            <w:noWrap w:val="0"/>
            <w:vAlign w:val="center"/>
          </w:tcPr>
          <w:p w14:paraId="5F4E6AD4">
            <w:pPr>
              <w:rPr>
                <w:rFonts w:ascii="宋体" w:cs="宋体"/>
                <w:color w:val="auto"/>
                <w:sz w:val="24"/>
                <w:szCs w:val="24"/>
                <w:highlight w:val="none"/>
              </w:rPr>
            </w:pPr>
          </w:p>
        </w:tc>
        <w:tc>
          <w:tcPr>
            <w:tcW w:w="1978" w:type="dxa"/>
            <w:noWrap w:val="0"/>
            <w:vAlign w:val="center"/>
          </w:tcPr>
          <w:p w14:paraId="696A55F0">
            <w:pPr>
              <w:rPr>
                <w:rFonts w:ascii="宋体" w:cs="宋体"/>
                <w:color w:val="auto"/>
                <w:sz w:val="24"/>
                <w:szCs w:val="24"/>
                <w:highlight w:val="none"/>
              </w:rPr>
            </w:pPr>
          </w:p>
        </w:tc>
      </w:tr>
      <w:tr w14:paraId="6853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783" w:type="dxa"/>
            <w:noWrap w:val="0"/>
            <w:vAlign w:val="center"/>
          </w:tcPr>
          <w:p w14:paraId="547B3407">
            <w:pPr>
              <w:jc w:val="center"/>
              <w:rPr>
                <w:rFonts w:hint="eastAsia" w:ascii="宋体" w:eastAsia="宋体" w:cs="宋体"/>
                <w:color w:val="auto"/>
                <w:sz w:val="24"/>
                <w:szCs w:val="24"/>
                <w:highlight w:val="none"/>
                <w:lang w:eastAsia="zh-CN"/>
              </w:rPr>
            </w:pPr>
            <w:r>
              <w:rPr>
                <w:rFonts w:hint="eastAsia" w:ascii="宋体" w:cs="宋体"/>
                <w:color w:val="auto"/>
                <w:sz w:val="24"/>
                <w:szCs w:val="24"/>
                <w:highlight w:val="none"/>
                <w:lang w:val="en-US" w:eastAsia="zh-CN"/>
              </w:rPr>
              <w:t>4</w:t>
            </w:r>
          </w:p>
        </w:tc>
        <w:tc>
          <w:tcPr>
            <w:tcW w:w="2005" w:type="dxa"/>
            <w:noWrap w:val="0"/>
            <w:vAlign w:val="center"/>
          </w:tcPr>
          <w:p w14:paraId="709D37D2">
            <w:pPr>
              <w:jc w:val="center"/>
              <w:rPr>
                <w:rFonts w:ascii="宋体" w:cs="宋体"/>
                <w:color w:val="auto"/>
                <w:sz w:val="24"/>
                <w:szCs w:val="24"/>
                <w:highlight w:val="none"/>
              </w:rPr>
            </w:pPr>
            <w:r>
              <w:rPr>
                <w:rFonts w:hint="eastAsia" w:ascii="宋体" w:hAnsi="宋体" w:cs="宋体"/>
                <w:color w:val="auto"/>
                <w:sz w:val="24"/>
                <w:szCs w:val="24"/>
                <w:highlight w:val="none"/>
              </w:rPr>
              <w:t>其他</w:t>
            </w:r>
          </w:p>
        </w:tc>
        <w:tc>
          <w:tcPr>
            <w:tcW w:w="2042" w:type="dxa"/>
            <w:noWrap w:val="0"/>
            <w:vAlign w:val="center"/>
          </w:tcPr>
          <w:p w14:paraId="7C16A4C2">
            <w:pPr>
              <w:rPr>
                <w:rFonts w:ascii="宋体" w:cs="宋体"/>
                <w:color w:val="auto"/>
                <w:sz w:val="24"/>
                <w:szCs w:val="24"/>
                <w:highlight w:val="none"/>
              </w:rPr>
            </w:pPr>
          </w:p>
        </w:tc>
        <w:tc>
          <w:tcPr>
            <w:tcW w:w="2222" w:type="dxa"/>
            <w:noWrap w:val="0"/>
            <w:vAlign w:val="center"/>
          </w:tcPr>
          <w:p w14:paraId="3682B6A4">
            <w:pPr>
              <w:rPr>
                <w:rFonts w:ascii="宋体" w:cs="宋体"/>
                <w:color w:val="auto"/>
                <w:sz w:val="24"/>
                <w:szCs w:val="24"/>
                <w:highlight w:val="none"/>
              </w:rPr>
            </w:pPr>
          </w:p>
        </w:tc>
        <w:tc>
          <w:tcPr>
            <w:tcW w:w="1978" w:type="dxa"/>
            <w:noWrap w:val="0"/>
            <w:vAlign w:val="center"/>
          </w:tcPr>
          <w:p w14:paraId="5163AD6D">
            <w:pPr>
              <w:rPr>
                <w:rFonts w:ascii="宋体" w:cs="宋体"/>
                <w:color w:val="auto"/>
                <w:sz w:val="24"/>
                <w:szCs w:val="24"/>
                <w:highlight w:val="none"/>
              </w:rPr>
            </w:pPr>
          </w:p>
        </w:tc>
      </w:tr>
    </w:tbl>
    <w:p w14:paraId="7B0D7C15">
      <w:pPr>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olor w:val="auto"/>
          <w:sz w:val="24"/>
          <w:szCs w:val="28"/>
          <w:highlight w:val="none"/>
          <w:lang w:val="en-US" w:eastAsia="zh-CN"/>
        </w:rPr>
        <w:t>磋商</w:t>
      </w:r>
      <w:r>
        <w:rPr>
          <w:rFonts w:hint="eastAsia" w:ascii="宋体" w:hAnsi="宋体"/>
          <w:color w:val="auto"/>
          <w:sz w:val="24"/>
          <w:szCs w:val="28"/>
          <w:highlight w:val="none"/>
        </w:rPr>
        <w:t>文件要求的</w:t>
      </w:r>
      <w:r>
        <w:rPr>
          <w:rFonts w:hint="eastAsia" w:ascii="宋体" w:hAnsi="宋体"/>
          <w:bCs/>
          <w:color w:val="auto"/>
          <w:sz w:val="24"/>
          <w:szCs w:val="28"/>
          <w:highlight w:val="none"/>
        </w:rPr>
        <w:t>所有实质性响应条款</w:t>
      </w:r>
      <w:r>
        <w:rPr>
          <w:rFonts w:hint="eastAsia" w:ascii="宋体" w:hAnsi="宋体"/>
          <w:color w:val="auto"/>
          <w:sz w:val="24"/>
          <w:szCs w:val="28"/>
          <w:highlight w:val="none"/>
        </w:rPr>
        <w:t>无重大偏离、付款响应、服务期响应等须与</w:t>
      </w:r>
      <w:r>
        <w:rPr>
          <w:rFonts w:hint="eastAsia" w:ascii="宋体" w:hAnsi="宋体"/>
          <w:color w:val="auto"/>
          <w:sz w:val="24"/>
          <w:szCs w:val="28"/>
          <w:highlight w:val="none"/>
          <w:lang w:val="en-US" w:eastAsia="zh-CN"/>
        </w:rPr>
        <w:t>磋商</w:t>
      </w:r>
      <w:r>
        <w:rPr>
          <w:rFonts w:hint="eastAsia" w:ascii="宋体" w:hAnsi="宋体"/>
          <w:color w:val="auto"/>
          <w:sz w:val="24"/>
          <w:szCs w:val="28"/>
          <w:highlight w:val="none"/>
        </w:rPr>
        <w:t>文件要求无重大偏离，否则可能导致</w:t>
      </w:r>
      <w:r>
        <w:rPr>
          <w:rFonts w:hint="eastAsia" w:ascii="宋体" w:hAnsi="宋体"/>
          <w:color w:val="auto"/>
          <w:sz w:val="24"/>
          <w:szCs w:val="28"/>
          <w:highlight w:val="none"/>
          <w:lang w:val="en-US" w:eastAsia="zh-CN"/>
        </w:rPr>
        <w:t>响应</w:t>
      </w:r>
      <w:r>
        <w:rPr>
          <w:rFonts w:hint="eastAsia" w:ascii="宋体" w:hAnsi="宋体"/>
          <w:color w:val="auto"/>
          <w:sz w:val="24"/>
          <w:szCs w:val="28"/>
          <w:highlight w:val="none"/>
        </w:rPr>
        <w:t>无效。</w:t>
      </w:r>
    </w:p>
    <w:p w14:paraId="2AF7129A">
      <w:pPr>
        <w:snapToGrid w:val="0"/>
        <w:spacing w:line="460" w:lineRule="exact"/>
        <w:rPr>
          <w:rFonts w:ascii="宋体" w:hAnsi="宋体" w:cs="宋体"/>
          <w:b/>
          <w:bCs/>
          <w:color w:val="auto"/>
          <w:sz w:val="24"/>
          <w:szCs w:val="24"/>
          <w:highlight w:val="none"/>
        </w:rPr>
      </w:pPr>
    </w:p>
    <w:p w14:paraId="0677A054">
      <w:pPr>
        <w:snapToGrid w:val="0"/>
        <w:spacing w:line="460" w:lineRule="exact"/>
        <w:rPr>
          <w:rFonts w:ascii="宋体" w:hAnsi="宋体" w:cs="宋体"/>
          <w:b/>
          <w:bCs/>
          <w:color w:val="auto"/>
          <w:sz w:val="24"/>
          <w:szCs w:val="24"/>
          <w:highlight w:val="none"/>
        </w:rPr>
      </w:pPr>
    </w:p>
    <w:p w14:paraId="4C9A80DD">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供应商</w:t>
      </w:r>
      <w:r>
        <w:rPr>
          <w:rFonts w:hint="eastAsia"/>
          <w:bCs/>
          <w:color w:val="auto"/>
          <w:sz w:val="24"/>
          <w:szCs w:val="24"/>
          <w:highlight w:val="none"/>
          <w:lang w:eastAsia="zh-CN"/>
        </w:rPr>
        <w:t>（</w:t>
      </w:r>
      <w:r>
        <w:rPr>
          <w:rFonts w:hint="eastAsia"/>
          <w:bCs/>
          <w:color w:val="auto"/>
          <w:sz w:val="24"/>
          <w:szCs w:val="24"/>
          <w:highlight w:val="none"/>
          <w:lang w:val="en-US" w:eastAsia="zh-CN"/>
        </w:rPr>
        <w:t>盖章</w:t>
      </w:r>
      <w:r>
        <w:rPr>
          <w:rFonts w:hint="eastAsia"/>
          <w:bCs/>
          <w:color w:val="auto"/>
          <w:sz w:val="24"/>
          <w:szCs w:val="24"/>
          <w:highlight w:val="none"/>
          <w:lang w:eastAsia="zh-CN"/>
        </w:rPr>
        <w:t>）</w:t>
      </w:r>
      <w:r>
        <w:rPr>
          <w:rFonts w:hint="eastAsia"/>
          <w:bCs/>
          <w:color w:val="auto"/>
          <w:sz w:val="24"/>
          <w:szCs w:val="24"/>
          <w:highlight w:val="none"/>
        </w:rPr>
        <w:t>：</w:t>
      </w:r>
    </w:p>
    <w:p w14:paraId="13AD82F5">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法定代表人或委托代理人（签字或盖章）：</w:t>
      </w:r>
    </w:p>
    <w:p w14:paraId="0C6AB72F">
      <w:pPr>
        <w:keepNext w:val="0"/>
        <w:keepLines w:val="0"/>
        <w:pageBreakBefore w:val="0"/>
        <w:widowControl w:val="0"/>
        <w:kinsoku/>
        <w:wordWrap/>
        <w:overflowPunct/>
        <w:topLinePunct w:val="0"/>
        <w:autoSpaceDE/>
        <w:autoSpaceDN/>
        <w:bidi w:val="0"/>
        <w:adjustRightInd/>
        <w:snapToGrid/>
        <w:spacing w:line="360" w:lineRule="auto"/>
        <w:ind w:left="0" w:leftChars="0" w:right="0" w:firstLine="2400" w:firstLineChars="1000"/>
        <w:textAlignment w:val="auto"/>
        <w:rPr>
          <w:rFonts w:hint="eastAsia"/>
          <w:bCs/>
          <w:color w:val="auto"/>
          <w:sz w:val="24"/>
          <w:szCs w:val="24"/>
          <w:highlight w:val="none"/>
        </w:rPr>
      </w:pPr>
      <w:r>
        <w:rPr>
          <w:rFonts w:hint="eastAsia"/>
          <w:bCs/>
          <w:color w:val="auto"/>
          <w:sz w:val="24"/>
          <w:szCs w:val="24"/>
          <w:highlight w:val="none"/>
        </w:rPr>
        <w:t>日期：</w:t>
      </w:r>
    </w:p>
    <w:p w14:paraId="56DE20BD">
      <w:pPr>
        <w:pStyle w:val="2"/>
        <w:rPr>
          <w:rFonts w:hint="eastAsia"/>
          <w:bCs/>
          <w:color w:val="auto"/>
          <w:sz w:val="24"/>
          <w:szCs w:val="24"/>
          <w:highlight w:val="none"/>
        </w:rPr>
      </w:pPr>
    </w:p>
    <w:p w14:paraId="6654B336">
      <w:pPr>
        <w:pStyle w:val="2"/>
        <w:rPr>
          <w:rFonts w:hint="eastAsia"/>
          <w:bCs/>
          <w:color w:val="auto"/>
          <w:sz w:val="24"/>
          <w:szCs w:val="24"/>
          <w:highlight w:val="none"/>
        </w:rPr>
      </w:pPr>
    </w:p>
    <w:p w14:paraId="66DC6310">
      <w:pPr>
        <w:pStyle w:val="2"/>
        <w:rPr>
          <w:rFonts w:hint="eastAsia"/>
          <w:bCs/>
          <w:color w:val="auto"/>
          <w:sz w:val="24"/>
          <w:szCs w:val="24"/>
          <w:highlight w:val="none"/>
        </w:rPr>
      </w:pPr>
    </w:p>
    <w:p w14:paraId="0230836A">
      <w:pPr>
        <w:pStyle w:val="2"/>
        <w:rPr>
          <w:rFonts w:hint="eastAsia"/>
          <w:bCs/>
          <w:color w:val="auto"/>
          <w:sz w:val="24"/>
          <w:szCs w:val="24"/>
          <w:highlight w:val="none"/>
        </w:rPr>
      </w:pPr>
    </w:p>
    <w:p w14:paraId="1C5825D5">
      <w:pPr>
        <w:pStyle w:val="2"/>
        <w:rPr>
          <w:rFonts w:hint="eastAsia"/>
          <w:bCs/>
          <w:color w:val="auto"/>
          <w:sz w:val="24"/>
          <w:szCs w:val="24"/>
          <w:highlight w:val="none"/>
        </w:rPr>
      </w:pPr>
    </w:p>
    <w:p w14:paraId="2A3D7335">
      <w:pPr>
        <w:pStyle w:val="2"/>
        <w:rPr>
          <w:rFonts w:hint="eastAsia"/>
          <w:bCs/>
          <w:color w:val="auto"/>
          <w:sz w:val="24"/>
          <w:szCs w:val="24"/>
          <w:highlight w:val="none"/>
        </w:rPr>
      </w:pPr>
    </w:p>
    <w:p w14:paraId="77BE6ABE">
      <w:pPr>
        <w:pStyle w:val="2"/>
        <w:rPr>
          <w:rFonts w:hint="eastAsia"/>
          <w:bCs/>
          <w:color w:val="auto"/>
          <w:sz w:val="24"/>
          <w:szCs w:val="24"/>
          <w:highlight w:val="none"/>
        </w:rPr>
      </w:pPr>
    </w:p>
    <w:p w14:paraId="2B139572">
      <w:pPr>
        <w:pStyle w:val="2"/>
        <w:rPr>
          <w:rFonts w:hint="eastAsia"/>
          <w:bCs/>
          <w:color w:val="auto"/>
          <w:sz w:val="24"/>
          <w:szCs w:val="24"/>
          <w:highlight w:val="none"/>
        </w:rPr>
      </w:pPr>
    </w:p>
    <w:p w14:paraId="67440340">
      <w:pPr>
        <w:pStyle w:val="2"/>
        <w:rPr>
          <w:rFonts w:hint="eastAsia"/>
          <w:bCs/>
          <w:color w:val="auto"/>
          <w:sz w:val="24"/>
          <w:szCs w:val="24"/>
          <w:highlight w:val="none"/>
        </w:rPr>
      </w:pPr>
    </w:p>
    <w:p w14:paraId="79DA7155">
      <w:pPr>
        <w:pStyle w:val="2"/>
        <w:rPr>
          <w:rFonts w:hint="eastAsia"/>
          <w:bCs/>
          <w:color w:val="auto"/>
          <w:sz w:val="24"/>
          <w:szCs w:val="24"/>
          <w:highlight w:val="none"/>
        </w:rPr>
      </w:pPr>
    </w:p>
    <w:p w14:paraId="286EF66B">
      <w:pPr>
        <w:pStyle w:val="2"/>
        <w:rPr>
          <w:rFonts w:hint="eastAsia"/>
          <w:bCs/>
          <w:color w:val="auto"/>
          <w:sz w:val="24"/>
          <w:szCs w:val="24"/>
          <w:highlight w:val="none"/>
        </w:rPr>
      </w:pPr>
    </w:p>
    <w:p w14:paraId="5BC0F512">
      <w:pPr>
        <w:pStyle w:val="5"/>
        <w:adjustRightInd/>
        <w:spacing w:before="0" w:after="120" w:afterLines="50" w:line="360" w:lineRule="auto"/>
        <w:rPr>
          <w:rFonts w:ascii="宋体" w:hAnsi="宋体" w:eastAsia="宋体" w:cs="宋体"/>
          <w:color w:val="auto"/>
          <w:sz w:val="24"/>
          <w:szCs w:val="24"/>
          <w:highlight w:val="none"/>
        </w:rPr>
      </w:pPr>
      <w:bookmarkStart w:id="196" w:name="_Toc1127"/>
      <w:bookmarkStart w:id="197" w:name="_Toc22037"/>
      <w:bookmarkStart w:id="198" w:name="_Toc18263"/>
      <w:bookmarkStart w:id="199" w:name="_Toc29422"/>
      <w:r>
        <w:rPr>
          <w:rFonts w:hint="eastAsia" w:ascii="宋体" w:hAnsi="宋体" w:eastAsia="宋体" w:cs="宋体"/>
          <w:color w:val="auto"/>
          <w:sz w:val="24"/>
          <w:szCs w:val="24"/>
          <w:highlight w:val="none"/>
        </w:rPr>
        <w:t>附件</w:t>
      </w:r>
      <w:bookmarkEnd w:id="195"/>
      <w:r>
        <w:rPr>
          <w:rFonts w:hint="eastAsia" w:ascii="宋体" w:hAnsi="宋体" w:eastAsia="宋体" w:cs="宋体"/>
          <w:color w:val="auto"/>
          <w:sz w:val="24"/>
          <w:szCs w:val="24"/>
          <w:highlight w:val="none"/>
        </w:rPr>
        <w:t>七</w:t>
      </w:r>
      <w:bookmarkEnd w:id="196"/>
      <w:bookmarkEnd w:id="197"/>
      <w:bookmarkEnd w:id="198"/>
      <w:bookmarkEnd w:id="199"/>
    </w:p>
    <w:p w14:paraId="5DE1F80F">
      <w:pPr>
        <w:pStyle w:val="5"/>
        <w:adjustRightInd/>
        <w:spacing w:before="0" w:after="120" w:afterLines="50" w:line="360" w:lineRule="auto"/>
        <w:jc w:val="center"/>
        <w:rPr>
          <w:rFonts w:ascii="宋体" w:hAnsi="宋体" w:eastAsia="宋体" w:cs="宋体"/>
          <w:color w:val="auto"/>
          <w:sz w:val="24"/>
          <w:szCs w:val="24"/>
          <w:highlight w:val="none"/>
        </w:rPr>
      </w:pPr>
      <w:bookmarkStart w:id="200" w:name="_Toc18625"/>
      <w:bookmarkStart w:id="201" w:name="_Toc17135"/>
      <w:bookmarkStart w:id="202" w:name="_Toc29341"/>
      <w:bookmarkStart w:id="203" w:name="_Toc1624"/>
      <w:r>
        <w:rPr>
          <w:rFonts w:hint="eastAsia" w:ascii="宋体" w:hAnsi="宋体" w:eastAsia="宋体" w:cs="宋体"/>
          <w:color w:val="auto"/>
          <w:sz w:val="24"/>
          <w:szCs w:val="24"/>
          <w:highlight w:val="none"/>
        </w:rPr>
        <w:t>相关服务承诺函</w:t>
      </w:r>
      <w:bookmarkEnd w:id="200"/>
      <w:bookmarkEnd w:id="201"/>
      <w:bookmarkEnd w:id="202"/>
      <w:bookmarkEnd w:id="203"/>
    </w:p>
    <w:p w14:paraId="537496DB">
      <w:pPr>
        <w:jc w:val="center"/>
        <w:rPr>
          <w:rFonts w:ascii="宋体" w:hAnsi="宋体" w:cs="宋体"/>
          <w:color w:val="auto"/>
          <w:sz w:val="24"/>
          <w:szCs w:val="28"/>
          <w:highlight w:val="none"/>
        </w:rPr>
      </w:pPr>
      <w:r>
        <w:rPr>
          <w:rFonts w:hint="eastAsia" w:ascii="宋体" w:hAnsi="宋体" w:cs="宋体"/>
          <w:color w:val="auto"/>
          <w:sz w:val="24"/>
          <w:szCs w:val="28"/>
          <w:highlight w:val="none"/>
        </w:rPr>
        <w:t>供应商可自行制作格式</w:t>
      </w:r>
    </w:p>
    <w:p w14:paraId="4CA4CE4A">
      <w:pPr>
        <w:pStyle w:val="2"/>
        <w:rPr>
          <w:rFonts w:ascii="宋体" w:hAnsi="宋体" w:cs="宋体"/>
          <w:color w:val="auto"/>
          <w:szCs w:val="28"/>
          <w:highlight w:val="none"/>
        </w:rPr>
      </w:pPr>
    </w:p>
    <w:p w14:paraId="5A441D1D">
      <w:pPr>
        <w:pStyle w:val="2"/>
        <w:rPr>
          <w:rFonts w:ascii="宋体" w:hAnsi="宋体" w:cs="宋体"/>
          <w:color w:val="auto"/>
          <w:szCs w:val="28"/>
          <w:highlight w:val="none"/>
        </w:rPr>
      </w:pPr>
    </w:p>
    <w:p w14:paraId="53635E5A">
      <w:pPr>
        <w:pStyle w:val="2"/>
        <w:rPr>
          <w:rFonts w:ascii="宋体" w:hAnsi="宋体" w:cs="宋体"/>
          <w:color w:val="auto"/>
          <w:szCs w:val="28"/>
          <w:highlight w:val="none"/>
        </w:rPr>
      </w:pPr>
    </w:p>
    <w:p w14:paraId="57137F3B">
      <w:pPr>
        <w:pStyle w:val="2"/>
        <w:rPr>
          <w:rFonts w:ascii="宋体" w:hAnsi="宋体" w:cs="宋体"/>
          <w:color w:val="auto"/>
          <w:szCs w:val="28"/>
          <w:highlight w:val="none"/>
        </w:rPr>
      </w:pPr>
    </w:p>
    <w:p w14:paraId="7053778F">
      <w:pPr>
        <w:pStyle w:val="2"/>
        <w:rPr>
          <w:rFonts w:ascii="宋体" w:hAnsi="宋体" w:cs="宋体"/>
          <w:color w:val="auto"/>
          <w:szCs w:val="28"/>
          <w:highlight w:val="none"/>
        </w:rPr>
      </w:pPr>
    </w:p>
    <w:p w14:paraId="75B82906">
      <w:pPr>
        <w:pStyle w:val="2"/>
        <w:rPr>
          <w:rFonts w:ascii="宋体" w:hAnsi="宋体" w:cs="宋体"/>
          <w:color w:val="auto"/>
          <w:szCs w:val="28"/>
          <w:highlight w:val="none"/>
        </w:rPr>
      </w:pPr>
    </w:p>
    <w:p w14:paraId="2C4EA446">
      <w:pPr>
        <w:pStyle w:val="2"/>
        <w:rPr>
          <w:rFonts w:ascii="宋体" w:hAnsi="宋体" w:cs="宋体"/>
          <w:color w:val="auto"/>
          <w:szCs w:val="28"/>
          <w:highlight w:val="none"/>
        </w:rPr>
      </w:pPr>
    </w:p>
    <w:p w14:paraId="006AD0DA">
      <w:pPr>
        <w:pStyle w:val="2"/>
        <w:rPr>
          <w:rFonts w:ascii="宋体" w:hAnsi="宋体" w:cs="宋体"/>
          <w:color w:val="auto"/>
          <w:szCs w:val="28"/>
          <w:highlight w:val="none"/>
        </w:rPr>
      </w:pPr>
    </w:p>
    <w:p w14:paraId="3DBBDFEF">
      <w:pPr>
        <w:pStyle w:val="2"/>
        <w:rPr>
          <w:rFonts w:ascii="宋体" w:hAnsi="宋体" w:cs="宋体"/>
          <w:color w:val="auto"/>
          <w:szCs w:val="28"/>
          <w:highlight w:val="none"/>
        </w:rPr>
      </w:pPr>
    </w:p>
    <w:p w14:paraId="3B9A31EF">
      <w:pPr>
        <w:pStyle w:val="2"/>
        <w:rPr>
          <w:rFonts w:ascii="宋体" w:hAnsi="宋体" w:cs="宋体"/>
          <w:color w:val="auto"/>
          <w:szCs w:val="28"/>
          <w:highlight w:val="none"/>
        </w:rPr>
      </w:pPr>
    </w:p>
    <w:p w14:paraId="144E524E">
      <w:pPr>
        <w:pStyle w:val="2"/>
        <w:rPr>
          <w:rFonts w:ascii="宋体" w:hAnsi="宋体" w:cs="宋体"/>
          <w:color w:val="auto"/>
          <w:szCs w:val="28"/>
          <w:highlight w:val="none"/>
        </w:rPr>
      </w:pPr>
    </w:p>
    <w:p w14:paraId="02C7B2B9">
      <w:pPr>
        <w:pStyle w:val="2"/>
        <w:rPr>
          <w:rFonts w:ascii="宋体" w:hAnsi="宋体" w:cs="宋体"/>
          <w:color w:val="auto"/>
          <w:szCs w:val="28"/>
          <w:highlight w:val="none"/>
        </w:rPr>
      </w:pPr>
    </w:p>
    <w:p w14:paraId="7F366BD3">
      <w:pPr>
        <w:pStyle w:val="2"/>
        <w:rPr>
          <w:rFonts w:ascii="宋体" w:hAnsi="宋体" w:cs="宋体"/>
          <w:color w:val="auto"/>
          <w:szCs w:val="28"/>
          <w:highlight w:val="none"/>
        </w:rPr>
      </w:pPr>
    </w:p>
    <w:p w14:paraId="1CDB194A">
      <w:pPr>
        <w:pStyle w:val="2"/>
        <w:rPr>
          <w:rFonts w:ascii="宋体" w:hAnsi="宋体" w:cs="宋体"/>
          <w:color w:val="auto"/>
          <w:szCs w:val="28"/>
          <w:highlight w:val="none"/>
        </w:rPr>
      </w:pPr>
    </w:p>
    <w:p w14:paraId="37FCE820">
      <w:pPr>
        <w:pStyle w:val="2"/>
        <w:rPr>
          <w:rFonts w:ascii="宋体" w:hAnsi="宋体" w:cs="宋体"/>
          <w:color w:val="auto"/>
          <w:szCs w:val="28"/>
          <w:highlight w:val="none"/>
        </w:rPr>
      </w:pPr>
    </w:p>
    <w:p w14:paraId="65CAE986">
      <w:pPr>
        <w:pStyle w:val="2"/>
        <w:rPr>
          <w:rFonts w:ascii="宋体" w:hAnsi="宋体" w:cs="宋体"/>
          <w:color w:val="auto"/>
          <w:szCs w:val="28"/>
          <w:highlight w:val="none"/>
        </w:rPr>
      </w:pPr>
    </w:p>
    <w:p w14:paraId="11B28A14">
      <w:pPr>
        <w:pStyle w:val="2"/>
        <w:rPr>
          <w:rFonts w:ascii="宋体" w:hAnsi="宋体" w:cs="宋体"/>
          <w:color w:val="auto"/>
          <w:szCs w:val="28"/>
          <w:highlight w:val="none"/>
        </w:rPr>
      </w:pPr>
    </w:p>
    <w:p w14:paraId="16484AB9">
      <w:pPr>
        <w:pStyle w:val="2"/>
        <w:rPr>
          <w:rFonts w:ascii="宋体" w:hAnsi="宋体" w:cs="宋体"/>
          <w:color w:val="auto"/>
          <w:szCs w:val="28"/>
          <w:highlight w:val="none"/>
        </w:rPr>
      </w:pPr>
    </w:p>
    <w:p w14:paraId="4978FAE3">
      <w:pPr>
        <w:pStyle w:val="2"/>
        <w:rPr>
          <w:rFonts w:ascii="宋体" w:hAnsi="宋体" w:cs="宋体"/>
          <w:color w:val="auto"/>
          <w:szCs w:val="28"/>
          <w:highlight w:val="none"/>
        </w:rPr>
      </w:pPr>
    </w:p>
    <w:p w14:paraId="7FBC327D">
      <w:pPr>
        <w:pStyle w:val="2"/>
        <w:rPr>
          <w:rFonts w:ascii="宋体" w:hAnsi="宋体" w:cs="宋体"/>
          <w:color w:val="auto"/>
          <w:szCs w:val="28"/>
          <w:highlight w:val="none"/>
        </w:rPr>
      </w:pPr>
    </w:p>
    <w:p w14:paraId="44EB5E33">
      <w:pPr>
        <w:pStyle w:val="2"/>
        <w:rPr>
          <w:rFonts w:ascii="宋体" w:hAnsi="宋体" w:cs="宋体"/>
          <w:color w:val="auto"/>
          <w:szCs w:val="28"/>
          <w:highlight w:val="none"/>
        </w:rPr>
      </w:pPr>
    </w:p>
    <w:p w14:paraId="2110676A">
      <w:pPr>
        <w:rPr>
          <w:rFonts w:ascii="宋体" w:hAnsi="宋体" w:cs="宋体"/>
          <w:color w:val="auto"/>
          <w:highlight w:val="none"/>
        </w:rPr>
      </w:pPr>
    </w:p>
    <w:p w14:paraId="5475FE04">
      <w:pPr>
        <w:pStyle w:val="5"/>
        <w:adjustRightInd/>
        <w:spacing w:before="0" w:after="120" w:afterLines="50" w:line="360" w:lineRule="auto"/>
        <w:rPr>
          <w:rFonts w:ascii="宋体" w:hAnsi="宋体" w:eastAsia="宋体" w:cs="宋体"/>
          <w:color w:val="auto"/>
          <w:sz w:val="24"/>
          <w:szCs w:val="24"/>
          <w:highlight w:val="none"/>
        </w:rPr>
      </w:pPr>
      <w:bookmarkStart w:id="204" w:name="_Toc29944"/>
      <w:bookmarkStart w:id="205" w:name="_Toc3983"/>
      <w:bookmarkStart w:id="206" w:name="_Toc13577"/>
      <w:bookmarkStart w:id="207" w:name="_Toc3796"/>
      <w:bookmarkStart w:id="208" w:name="_Toc3177"/>
      <w:r>
        <w:rPr>
          <w:rFonts w:hint="eastAsia" w:ascii="宋体" w:hAnsi="宋体" w:eastAsia="宋体" w:cs="宋体"/>
          <w:color w:val="auto"/>
          <w:sz w:val="24"/>
          <w:szCs w:val="24"/>
          <w:highlight w:val="none"/>
        </w:rPr>
        <w:t>附件八</w:t>
      </w:r>
      <w:bookmarkEnd w:id="204"/>
      <w:bookmarkEnd w:id="205"/>
      <w:bookmarkEnd w:id="206"/>
      <w:bookmarkEnd w:id="207"/>
    </w:p>
    <w:bookmarkEnd w:id="208"/>
    <w:p w14:paraId="22664E00">
      <w:pPr>
        <w:pStyle w:val="5"/>
        <w:adjustRightInd/>
        <w:spacing w:before="0" w:after="120" w:afterLines="50" w:line="360" w:lineRule="auto"/>
        <w:jc w:val="center"/>
        <w:rPr>
          <w:rFonts w:ascii="宋体" w:hAnsi="宋体" w:eastAsia="宋体" w:cs="宋体"/>
          <w:color w:val="auto"/>
          <w:sz w:val="24"/>
          <w:szCs w:val="24"/>
          <w:highlight w:val="none"/>
        </w:rPr>
      </w:pPr>
      <w:bookmarkStart w:id="209" w:name="_Toc21562"/>
      <w:bookmarkStart w:id="210" w:name="_Toc27857"/>
      <w:bookmarkStart w:id="211" w:name="_Toc28850"/>
      <w:r>
        <w:rPr>
          <w:rFonts w:hint="eastAsia" w:ascii="宋体" w:hAnsi="宋体" w:eastAsia="宋体" w:cs="宋体"/>
          <w:color w:val="auto"/>
          <w:sz w:val="24"/>
          <w:szCs w:val="24"/>
          <w:highlight w:val="none"/>
        </w:rPr>
        <w:t>磋商文件要求和供应商认为需要提供的其它说明和资料</w:t>
      </w:r>
      <w:bookmarkEnd w:id="209"/>
      <w:bookmarkEnd w:id="210"/>
      <w:bookmarkEnd w:id="211"/>
    </w:p>
    <w:p w14:paraId="54C1B6B5">
      <w:pPr>
        <w:rPr>
          <w:rFonts w:ascii="宋体" w:hAnsi="宋体" w:cs="宋体"/>
          <w:color w:val="auto"/>
          <w:sz w:val="24"/>
          <w:szCs w:val="24"/>
          <w:highlight w:val="none"/>
        </w:rPr>
      </w:pPr>
    </w:p>
    <w:p w14:paraId="495D64C6">
      <w:pPr>
        <w:pStyle w:val="2"/>
        <w:rPr>
          <w:rFonts w:ascii="宋体" w:hAnsi="宋体" w:cs="宋体"/>
          <w:color w:val="auto"/>
          <w:szCs w:val="24"/>
          <w:highlight w:val="none"/>
        </w:rPr>
      </w:pPr>
    </w:p>
    <w:p w14:paraId="356ECFE6">
      <w:pPr>
        <w:pStyle w:val="2"/>
        <w:rPr>
          <w:rFonts w:ascii="宋体" w:hAnsi="宋体" w:cs="宋体"/>
          <w:color w:val="auto"/>
          <w:szCs w:val="24"/>
          <w:highlight w:val="none"/>
        </w:rPr>
      </w:pPr>
    </w:p>
    <w:p w14:paraId="1BCF8D85">
      <w:pPr>
        <w:pStyle w:val="2"/>
        <w:rPr>
          <w:rFonts w:ascii="宋体" w:hAnsi="宋体" w:cs="宋体"/>
          <w:color w:val="auto"/>
          <w:szCs w:val="24"/>
          <w:highlight w:val="none"/>
        </w:rPr>
      </w:pPr>
    </w:p>
    <w:p w14:paraId="164031C7">
      <w:pPr>
        <w:pStyle w:val="2"/>
        <w:rPr>
          <w:rFonts w:ascii="宋体" w:hAnsi="宋体" w:cs="宋体"/>
          <w:color w:val="auto"/>
          <w:szCs w:val="24"/>
          <w:highlight w:val="none"/>
        </w:rPr>
      </w:pPr>
    </w:p>
    <w:p w14:paraId="65AEBE39">
      <w:pPr>
        <w:pStyle w:val="2"/>
        <w:rPr>
          <w:rFonts w:ascii="宋体" w:hAnsi="宋体" w:cs="宋体"/>
          <w:color w:val="auto"/>
          <w:szCs w:val="24"/>
          <w:highlight w:val="none"/>
        </w:rPr>
      </w:pPr>
    </w:p>
    <w:p w14:paraId="5DA7FE9C">
      <w:pPr>
        <w:pStyle w:val="2"/>
        <w:rPr>
          <w:rFonts w:ascii="宋体" w:hAnsi="宋体" w:cs="宋体"/>
          <w:color w:val="auto"/>
          <w:szCs w:val="24"/>
          <w:highlight w:val="none"/>
        </w:rPr>
      </w:pPr>
    </w:p>
    <w:p w14:paraId="40288ECF">
      <w:pPr>
        <w:pStyle w:val="2"/>
        <w:rPr>
          <w:rFonts w:ascii="宋体" w:hAnsi="宋体" w:cs="宋体"/>
          <w:color w:val="auto"/>
          <w:szCs w:val="24"/>
          <w:highlight w:val="none"/>
        </w:rPr>
      </w:pPr>
    </w:p>
    <w:p w14:paraId="5CE27865">
      <w:pPr>
        <w:pStyle w:val="2"/>
        <w:rPr>
          <w:rFonts w:ascii="宋体" w:hAnsi="宋体" w:cs="宋体"/>
          <w:color w:val="auto"/>
          <w:szCs w:val="24"/>
          <w:highlight w:val="none"/>
        </w:rPr>
      </w:pPr>
    </w:p>
    <w:p w14:paraId="7A0C6170">
      <w:pPr>
        <w:pStyle w:val="2"/>
        <w:rPr>
          <w:rFonts w:ascii="宋体" w:hAnsi="宋体" w:cs="宋体"/>
          <w:color w:val="auto"/>
          <w:szCs w:val="24"/>
          <w:highlight w:val="none"/>
        </w:rPr>
      </w:pPr>
    </w:p>
    <w:p w14:paraId="1D9E9B0C">
      <w:pPr>
        <w:pStyle w:val="2"/>
        <w:rPr>
          <w:rFonts w:ascii="宋体" w:hAnsi="宋体" w:cs="宋体"/>
          <w:color w:val="auto"/>
          <w:szCs w:val="24"/>
          <w:highlight w:val="none"/>
        </w:rPr>
      </w:pPr>
    </w:p>
    <w:p w14:paraId="7F80D007">
      <w:pPr>
        <w:pStyle w:val="2"/>
        <w:rPr>
          <w:rFonts w:ascii="宋体" w:hAnsi="宋体" w:cs="宋体"/>
          <w:color w:val="auto"/>
          <w:szCs w:val="24"/>
          <w:highlight w:val="none"/>
        </w:rPr>
      </w:pPr>
    </w:p>
    <w:p w14:paraId="316E783C">
      <w:pPr>
        <w:pStyle w:val="2"/>
        <w:rPr>
          <w:rFonts w:ascii="宋体" w:hAnsi="宋体" w:cs="宋体"/>
          <w:color w:val="auto"/>
          <w:szCs w:val="24"/>
          <w:highlight w:val="none"/>
        </w:rPr>
      </w:pPr>
    </w:p>
    <w:p w14:paraId="63184EDA">
      <w:pPr>
        <w:pStyle w:val="2"/>
        <w:rPr>
          <w:rFonts w:ascii="宋体" w:hAnsi="宋体" w:cs="宋体"/>
          <w:color w:val="auto"/>
          <w:szCs w:val="24"/>
          <w:highlight w:val="none"/>
        </w:rPr>
      </w:pPr>
    </w:p>
    <w:p w14:paraId="376CB6FD">
      <w:pPr>
        <w:pStyle w:val="2"/>
        <w:rPr>
          <w:rFonts w:ascii="宋体" w:hAnsi="宋体" w:cs="宋体"/>
          <w:color w:val="auto"/>
          <w:szCs w:val="24"/>
          <w:highlight w:val="none"/>
        </w:rPr>
      </w:pPr>
    </w:p>
    <w:p w14:paraId="23269065">
      <w:pPr>
        <w:pStyle w:val="2"/>
        <w:rPr>
          <w:rFonts w:ascii="宋体" w:hAnsi="宋体" w:cs="宋体"/>
          <w:color w:val="auto"/>
          <w:szCs w:val="24"/>
          <w:highlight w:val="none"/>
        </w:rPr>
      </w:pPr>
    </w:p>
    <w:p w14:paraId="3E04FF79">
      <w:pPr>
        <w:pStyle w:val="2"/>
        <w:rPr>
          <w:rFonts w:ascii="宋体" w:hAnsi="宋体" w:cs="宋体"/>
          <w:color w:val="auto"/>
          <w:szCs w:val="24"/>
          <w:highlight w:val="none"/>
        </w:rPr>
      </w:pPr>
    </w:p>
    <w:p w14:paraId="1EBD046F">
      <w:pPr>
        <w:pStyle w:val="2"/>
        <w:rPr>
          <w:rFonts w:ascii="宋体" w:hAnsi="宋体" w:cs="宋体"/>
          <w:color w:val="auto"/>
          <w:szCs w:val="24"/>
          <w:highlight w:val="none"/>
        </w:rPr>
      </w:pPr>
    </w:p>
    <w:p w14:paraId="2AEF74EF">
      <w:pPr>
        <w:pStyle w:val="2"/>
        <w:rPr>
          <w:rFonts w:ascii="宋体" w:hAnsi="宋体" w:cs="宋体"/>
          <w:color w:val="auto"/>
          <w:szCs w:val="24"/>
          <w:highlight w:val="none"/>
        </w:rPr>
      </w:pPr>
    </w:p>
    <w:p w14:paraId="4C0377E4">
      <w:pPr>
        <w:pStyle w:val="2"/>
        <w:rPr>
          <w:rFonts w:ascii="宋体" w:hAnsi="宋体" w:cs="宋体"/>
          <w:color w:val="auto"/>
          <w:szCs w:val="24"/>
          <w:highlight w:val="none"/>
        </w:rPr>
      </w:pPr>
    </w:p>
    <w:p w14:paraId="01FDA86C">
      <w:pPr>
        <w:pStyle w:val="2"/>
        <w:rPr>
          <w:rFonts w:ascii="宋体" w:hAnsi="宋体" w:cs="宋体"/>
          <w:color w:val="auto"/>
          <w:szCs w:val="24"/>
          <w:highlight w:val="none"/>
        </w:rPr>
      </w:pPr>
    </w:p>
    <w:p w14:paraId="0506CAF4">
      <w:pPr>
        <w:pStyle w:val="2"/>
        <w:rPr>
          <w:rFonts w:ascii="宋体" w:hAnsi="宋体" w:cs="宋体"/>
          <w:color w:val="auto"/>
          <w:szCs w:val="24"/>
          <w:highlight w:val="none"/>
        </w:rPr>
      </w:pPr>
    </w:p>
    <w:p w14:paraId="7E4F6FAE">
      <w:pPr>
        <w:pStyle w:val="2"/>
        <w:rPr>
          <w:rFonts w:ascii="宋体" w:hAnsi="宋体" w:cs="宋体"/>
          <w:color w:val="auto"/>
          <w:szCs w:val="24"/>
          <w:highlight w:val="none"/>
        </w:rPr>
      </w:pPr>
    </w:p>
    <w:p w14:paraId="4B05F4C9">
      <w:pPr>
        <w:pStyle w:val="2"/>
        <w:rPr>
          <w:rFonts w:ascii="宋体" w:hAnsi="宋体"/>
          <w:b/>
          <w:color w:val="auto"/>
          <w:szCs w:val="28"/>
          <w:highlight w:val="none"/>
        </w:rPr>
      </w:pPr>
    </w:p>
    <w:sectPr>
      <w:headerReference r:id="rId5" w:type="default"/>
      <w:footerReference r:id="rId7" w:type="default"/>
      <w:headerReference r:id="rId6" w:type="even"/>
      <w:footerReference r:id="rId8" w:type="even"/>
      <w:pgSz w:w="11905" w:h="16838"/>
      <w:pgMar w:top="1474" w:right="1361" w:bottom="1361" w:left="1474" w:header="964" w:footer="964"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2143">
    <w:pPr>
      <w:spacing w:line="220" w:lineRule="auto"/>
      <w:ind w:left="3323"/>
      <w:rPr>
        <w:rFonts w:ascii="宋体" w:hAnsi="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706DB">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6706DB">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AA69">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2CAF4">
                          <w:pPr>
                            <w:pStyle w:val="2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52CAF4">
                    <w:pPr>
                      <w:pStyle w:val="2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48D">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37B9C8A0">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64C2">
    <w:pPr>
      <w:pStyle w:val="22"/>
    </w:pPr>
    <w:r>
      <w:rPr>
        <w:rFonts w:hint="eastAsia" w:ascii="宋体" w:hAnsi="宋体" w:cs="宋体"/>
        <w:lang w:val="en-US" w:eastAsia="zh-CN"/>
      </w:rPr>
      <w:t>六安市中医院竞争性磋商</w:t>
    </w:r>
    <w:r>
      <w:rPr>
        <w:rFonts w:hint="eastAsia" w:ascii="宋体" w:hAnsi="宋体" w:eastAsia="宋体" w:cs="宋体"/>
      </w:rPr>
      <w:t>文件</w:t>
    </w:r>
  </w:p>
  <w:p w14:paraId="50C0B8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524A">
    <w:pPr>
      <w:pStyle w:val="22"/>
      <w:pBdr>
        <w:bottom w:val="single" w:color="auto" w:sz="6" w:space="0"/>
      </w:pBdr>
      <w:tabs>
        <w:tab w:val="left" w:pos="8460"/>
        <w:tab w:val="left" w:pos="9180"/>
        <w:tab w:val="clear" w:pos="4153"/>
        <w:tab w:val="clear" w:pos="8306"/>
      </w:tabs>
      <w:snapToGrid/>
    </w:pPr>
    <w:r>
      <w:rPr>
        <w:rFonts w:hint="eastAsia"/>
        <w:lang w:val="en-US" w:eastAsia="zh-CN"/>
      </w:rPr>
      <w:t>六安市中医院</w:t>
    </w: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7EEF">
    <w:pPr>
      <w:pStyle w:val="22"/>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14:paraId="7F394DFF">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YjZlZGIxNDI1ZTgzMWE0MzU0MjAzYTRlY2Q2YjcifQ=="/>
    <w:docVar w:name="KSO_WPS_MARK_KEY" w:val="d3062f06-a9d8-483a-8813-72b6ed211669"/>
  </w:docVars>
  <w:rsids>
    <w:rsidRoot w:val="002D677B"/>
    <w:rsid w:val="000145D1"/>
    <w:rsid w:val="00015C71"/>
    <w:rsid w:val="00031422"/>
    <w:rsid w:val="00042454"/>
    <w:rsid w:val="00047DFE"/>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677B"/>
    <w:rsid w:val="002E54B3"/>
    <w:rsid w:val="002F5374"/>
    <w:rsid w:val="002F5CAB"/>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606B1"/>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24F72"/>
    <w:rsid w:val="0073207C"/>
    <w:rsid w:val="007550DC"/>
    <w:rsid w:val="00766A44"/>
    <w:rsid w:val="00767BB2"/>
    <w:rsid w:val="00777046"/>
    <w:rsid w:val="00784363"/>
    <w:rsid w:val="0078488E"/>
    <w:rsid w:val="00790BD6"/>
    <w:rsid w:val="0079235B"/>
    <w:rsid w:val="007B00FB"/>
    <w:rsid w:val="007E5141"/>
    <w:rsid w:val="007F2C26"/>
    <w:rsid w:val="007F3323"/>
    <w:rsid w:val="007F72E0"/>
    <w:rsid w:val="00810784"/>
    <w:rsid w:val="00821EE8"/>
    <w:rsid w:val="008448CD"/>
    <w:rsid w:val="0086536B"/>
    <w:rsid w:val="008A6D3D"/>
    <w:rsid w:val="008B0E3B"/>
    <w:rsid w:val="008C0ED2"/>
    <w:rsid w:val="008D216E"/>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0548"/>
    <w:rsid w:val="00A612D2"/>
    <w:rsid w:val="00A7302C"/>
    <w:rsid w:val="00A74097"/>
    <w:rsid w:val="00A74C0B"/>
    <w:rsid w:val="00A85BA0"/>
    <w:rsid w:val="00A95755"/>
    <w:rsid w:val="00A957C6"/>
    <w:rsid w:val="00A966A5"/>
    <w:rsid w:val="00AA5057"/>
    <w:rsid w:val="00AB51D7"/>
    <w:rsid w:val="00AC4741"/>
    <w:rsid w:val="00AD100F"/>
    <w:rsid w:val="00AD5BDB"/>
    <w:rsid w:val="00B00630"/>
    <w:rsid w:val="00B11665"/>
    <w:rsid w:val="00B21075"/>
    <w:rsid w:val="00B27CFD"/>
    <w:rsid w:val="00B4726F"/>
    <w:rsid w:val="00B57818"/>
    <w:rsid w:val="00B578EB"/>
    <w:rsid w:val="00B7616C"/>
    <w:rsid w:val="00B80346"/>
    <w:rsid w:val="00BA10A8"/>
    <w:rsid w:val="00BA136D"/>
    <w:rsid w:val="00BA3764"/>
    <w:rsid w:val="00BB63DF"/>
    <w:rsid w:val="00BB7605"/>
    <w:rsid w:val="00BC2739"/>
    <w:rsid w:val="00BC3A1F"/>
    <w:rsid w:val="00BC5045"/>
    <w:rsid w:val="00BF706B"/>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9AC"/>
    <w:rsid w:val="00CE3BB4"/>
    <w:rsid w:val="00CF10C1"/>
    <w:rsid w:val="00CF3743"/>
    <w:rsid w:val="00D027C9"/>
    <w:rsid w:val="00D13AEE"/>
    <w:rsid w:val="00D16453"/>
    <w:rsid w:val="00D175FB"/>
    <w:rsid w:val="00D2401D"/>
    <w:rsid w:val="00D33ECF"/>
    <w:rsid w:val="00D429C1"/>
    <w:rsid w:val="00D6083A"/>
    <w:rsid w:val="00D736A4"/>
    <w:rsid w:val="00DA1E4E"/>
    <w:rsid w:val="00DA2C77"/>
    <w:rsid w:val="00DA578E"/>
    <w:rsid w:val="00DC1314"/>
    <w:rsid w:val="00DC653F"/>
    <w:rsid w:val="00DD2C6C"/>
    <w:rsid w:val="00DE18CD"/>
    <w:rsid w:val="00DF7DF4"/>
    <w:rsid w:val="00E119E3"/>
    <w:rsid w:val="00E15875"/>
    <w:rsid w:val="00E20914"/>
    <w:rsid w:val="00E231B2"/>
    <w:rsid w:val="00E55D55"/>
    <w:rsid w:val="00E617E1"/>
    <w:rsid w:val="00E6284A"/>
    <w:rsid w:val="00E6785C"/>
    <w:rsid w:val="00E8466B"/>
    <w:rsid w:val="00E848B5"/>
    <w:rsid w:val="00E912B4"/>
    <w:rsid w:val="00EA04EF"/>
    <w:rsid w:val="00EB58C7"/>
    <w:rsid w:val="00EE11E5"/>
    <w:rsid w:val="00EE4358"/>
    <w:rsid w:val="00EE5630"/>
    <w:rsid w:val="00EF2195"/>
    <w:rsid w:val="00EF3C5F"/>
    <w:rsid w:val="00F05A49"/>
    <w:rsid w:val="00F1594F"/>
    <w:rsid w:val="00F22829"/>
    <w:rsid w:val="00F31F25"/>
    <w:rsid w:val="00F40445"/>
    <w:rsid w:val="00F464A7"/>
    <w:rsid w:val="00F564DA"/>
    <w:rsid w:val="00F64830"/>
    <w:rsid w:val="00F74BC0"/>
    <w:rsid w:val="00F76D41"/>
    <w:rsid w:val="00F907CF"/>
    <w:rsid w:val="00F91C4B"/>
    <w:rsid w:val="00F927C2"/>
    <w:rsid w:val="00FA1EEE"/>
    <w:rsid w:val="00FA35DA"/>
    <w:rsid w:val="00FB29F0"/>
    <w:rsid w:val="00FC1D08"/>
    <w:rsid w:val="00FC79F6"/>
    <w:rsid w:val="00FF1C7C"/>
    <w:rsid w:val="014852B3"/>
    <w:rsid w:val="016A7234"/>
    <w:rsid w:val="017E1B19"/>
    <w:rsid w:val="01AE15BA"/>
    <w:rsid w:val="01B96DFD"/>
    <w:rsid w:val="01D12236"/>
    <w:rsid w:val="01ED3B47"/>
    <w:rsid w:val="0200793B"/>
    <w:rsid w:val="020B07BA"/>
    <w:rsid w:val="022C43F4"/>
    <w:rsid w:val="028407C0"/>
    <w:rsid w:val="02CC3DD3"/>
    <w:rsid w:val="02D543E6"/>
    <w:rsid w:val="02DC6311"/>
    <w:rsid w:val="03062E20"/>
    <w:rsid w:val="03600692"/>
    <w:rsid w:val="03B22505"/>
    <w:rsid w:val="03DC1CF3"/>
    <w:rsid w:val="04067181"/>
    <w:rsid w:val="040A684F"/>
    <w:rsid w:val="04103CCA"/>
    <w:rsid w:val="041F0AE2"/>
    <w:rsid w:val="044828FA"/>
    <w:rsid w:val="04644636"/>
    <w:rsid w:val="04CF7DA2"/>
    <w:rsid w:val="04D625EE"/>
    <w:rsid w:val="04D92F4A"/>
    <w:rsid w:val="04EE7346"/>
    <w:rsid w:val="04FA2D68"/>
    <w:rsid w:val="05045387"/>
    <w:rsid w:val="05104E6D"/>
    <w:rsid w:val="0533746B"/>
    <w:rsid w:val="053C6EDC"/>
    <w:rsid w:val="057F779D"/>
    <w:rsid w:val="05AC1AAE"/>
    <w:rsid w:val="05ED76CD"/>
    <w:rsid w:val="060A0D89"/>
    <w:rsid w:val="06211789"/>
    <w:rsid w:val="06262FF6"/>
    <w:rsid w:val="064E5107"/>
    <w:rsid w:val="06B47C7B"/>
    <w:rsid w:val="06D416EA"/>
    <w:rsid w:val="06FB2296"/>
    <w:rsid w:val="07267565"/>
    <w:rsid w:val="073E518E"/>
    <w:rsid w:val="077E343C"/>
    <w:rsid w:val="078C18B4"/>
    <w:rsid w:val="0796511A"/>
    <w:rsid w:val="07A20F5E"/>
    <w:rsid w:val="07B838B8"/>
    <w:rsid w:val="07B94B52"/>
    <w:rsid w:val="07E364B0"/>
    <w:rsid w:val="08450161"/>
    <w:rsid w:val="0861256E"/>
    <w:rsid w:val="08694CC1"/>
    <w:rsid w:val="087A60B7"/>
    <w:rsid w:val="08A00375"/>
    <w:rsid w:val="08E50D18"/>
    <w:rsid w:val="08F043AF"/>
    <w:rsid w:val="0958005D"/>
    <w:rsid w:val="095E2B2E"/>
    <w:rsid w:val="095F7F4C"/>
    <w:rsid w:val="096747EA"/>
    <w:rsid w:val="09930AAD"/>
    <w:rsid w:val="09A60123"/>
    <w:rsid w:val="09AE75F4"/>
    <w:rsid w:val="09B95F2A"/>
    <w:rsid w:val="09C824F2"/>
    <w:rsid w:val="0A0C7574"/>
    <w:rsid w:val="0A116422"/>
    <w:rsid w:val="0A424E4D"/>
    <w:rsid w:val="0A4C4265"/>
    <w:rsid w:val="0A7D7D7B"/>
    <w:rsid w:val="0A7F7F97"/>
    <w:rsid w:val="0A8F3F52"/>
    <w:rsid w:val="0A931A41"/>
    <w:rsid w:val="0A945E63"/>
    <w:rsid w:val="0AAC0660"/>
    <w:rsid w:val="0ABE0EF2"/>
    <w:rsid w:val="0AF52007"/>
    <w:rsid w:val="0AF82AC1"/>
    <w:rsid w:val="0B2E523E"/>
    <w:rsid w:val="0B536D2E"/>
    <w:rsid w:val="0B6114C2"/>
    <w:rsid w:val="0B66533A"/>
    <w:rsid w:val="0B84414D"/>
    <w:rsid w:val="0B9C06D5"/>
    <w:rsid w:val="0BAE7F45"/>
    <w:rsid w:val="0BD46BAD"/>
    <w:rsid w:val="0BE120B2"/>
    <w:rsid w:val="0C4F1D8F"/>
    <w:rsid w:val="0CAD246E"/>
    <w:rsid w:val="0CEC43CA"/>
    <w:rsid w:val="0CF83E1E"/>
    <w:rsid w:val="0D50431A"/>
    <w:rsid w:val="0D605732"/>
    <w:rsid w:val="0D9D0DDF"/>
    <w:rsid w:val="0D9E6F46"/>
    <w:rsid w:val="0DB6446C"/>
    <w:rsid w:val="0DBC5AA7"/>
    <w:rsid w:val="0DF624E0"/>
    <w:rsid w:val="0E172295"/>
    <w:rsid w:val="0E346850"/>
    <w:rsid w:val="0E404088"/>
    <w:rsid w:val="0E7D7E97"/>
    <w:rsid w:val="0EA113FA"/>
    <w:rsid w:val="0ECA11CC"/>
    <w:rsid w:val="0EE4486D"/>
    <w:rsid w:val="0EE77EB9"/>
    <w:rsid w:val="0EF73DED"/>
    <w:rsid w:val="0F313E2F"/>
    <w:rsid w:val="0F3506D8"/>
    <w:rsid w:val="0F390E8E"/>
    <w:rsid w:val="0F6E0DC3"/>
    <w:rsid w:val="0F8F57EF"/>
    <w:rsid w:val="0FA40799"/>
    <w:rsid w:val="0FC465FA"/>
    <w:rsid w:val="0FD755EA"/>
    <w:rsid w:val="0FD91E42"/>
    <w:rsid w:val="0FF42973"/>
    <w:rsid w:val="0FF97625"/>
    <w:rsid w:val="1018304A"/>
    <w:rsid w:val="10542280"/>
    <w:rsid w:val="108E79A3"/>
    <w:rsid w:val="109330F4"/>
    <w:rsid w:val="10C52005"/>
    <w:rsid w:val="10C87849"/>
    <w:rsid w:val="10F312D9"/>
    <w:rsid w:val="110475FD"/>
    <w:rsid w:val="118266B8"/>
    <w:rsid w:val="119066D9"/>
    <w:rsid w:val="11A335B5"/>
    <w:rsid w:val="11AB115A"/>
    <w:rsid w:val="11BA610F"/>
    <w:rsid w:val="1219428E"/>
    <w:rsid w:val="12810624"/>
    <w:rsid w:val="12D95032"/>
    <w:rsid w:val="12F60AE4"/>
    <w:rsid w:val="13490C7D"/>
    <w:rsid w:val="135C3D02"/>
    <w:rsid w:val="137235CD"/>
    <w:rsid w:val="13D52CCE"/>
    <w:rsid w:val="14861F22"/>
    <w:rsid w:val="14E27C21"/>
    <w:rsid w:val="151932A4"/>
    <w:rsid w:val="153B2049"/>
    <w:rsid w:val="153C6A85"/>
    <w:rsid w:val="15614DA8"/>
    <w:rsid w:val="15AD79BC"/>
    <w:rsid w:val="15DF01E8"/>
    <w:rsid w:val="16066864"/>
    <w:rsid w:val="165A18B8"/>
    <w:rsid w:val="16810304"/>
    <w:rsid w:val="168C45E3"/>
    <w:rsid w:val="16991EF7"/>
    <w:rsid w:val="16CA7F8A"/>
    <w:rsid w:val="16ED0036"/>
    <w:rsid w:val="17214184"/>
    <w:rsid w:val="173850A7"/>
    <w:rsid w:val="173B7131"/>
    <w:rsid w:val="174C0AC9"/>
    <w:rsid w:val="175759E5"/>
    <w:rsid w:val="176C4C4F"/>
    <w:rsid w:val="177161F5"/>
    <w:rsid w:val="177B4CDC"/>
    <w:rsid w:val="17B66677"/>
    <w:rsid w:val="17BA7FA6"/>
    <w:rsid w:val="18107080"/>
    <w:rsid w:val="18D5546D"/>
    <w:rsid w:val="18FF22A3"/>
    <w:rsid w:val="192B2CC7"/>
    <w:rsid w:val="193B1C9F"/>
    <w:rsid w:val="19646227"/>
    <w:rsid w:val="198B1495"/>
    <w:rsid w:val="19923A79"/>
    <w:rsid w:val="19C57049"/>
    <w:rsid w:val="1A2522FE"/>
    <w:rsid w:val="1A6C248D"/>
    <w:rsid w:val="1ACB68E1"/>
    <w:rsid w:val="1AF45622"/>
    <w:rsid w:val="1B5A7D5C"/>
    <w:rsid w:val="1B647A33"/>
    <w:rsid w:val="1B7B26E1"/>
    <w:rsid w:val="1B9118D8"/>
    <w:rsid w:val="1BBFA30C"/>
    <w:rsid w:val="1C1A0C17"/>
    <w:rsid w:val="1C32741A"/>
    <w:rsid w:val="1C33576D"/>
    <w:rsid w:val="1C405AE5"/>
    <w:rsid w:val="1C8036FB"/>
    <w:rsid w:val="1C8E0291"/>
    <w:rsid w:val="1CD13F56"/>
    <w:rsid w:val="1CD83537"/>
    <w:rsid w:val="1CED4D0B"/>
    <w:rsid w:val="1D2348AF"/>
    <w:rsid w:val="1D803C97"/>
    <w:rsid w:val="1D8E2B76"/>
    <w:rsid w:val="1D921938"/>
    <w:rsid w:val="1D960483"/>
    <w:rsid w:val="1DA3689F"/>
    <w:rsid w:val="1DBB6793"/>
    <w:rsid w:val="1DD7559C"/>
    <w:rsid w:val="1DF15284"/>
    <w:rsid w:val="1DF60841"/>
    <w:rsid w:val="1E1D38F7"/>
    <w:rsid w:val="1E473856"/>
    <w:rsid w:val="1E7554E1"/>
    <w:rsid w:val="1E8D0D47"/>
    <w:rsid w:val="1EE848D8"/>
    <w:rsid w:val="1F171CFB"/>
    <w:rsid w:val="1F2447E1"/>
    <w:rsid w:val="1F3327BA"/>
    <w:rsid w:val="1F3C13B6"/>
    <w:rsid w:val="1F417AC5"/>
    <w:rsid w:val="1F431BF4"/>
    <w:rsid w:val="1F4B49D6"/>
    <w:rsid w:val="1F817EB6"/>
    <w:rsid w:val="1F971487"/>
    <w:rsid w:val="1F980D5B"/>
    <w:rsid w:val="1F9D364A"/>
    <w:rsid w:val="1FB5190D"/>
    <w:rsid w:val="1FEA5A5B"/>
    <w:rsid w:val="1FF85069"/>
    <w:rsid w:val="200F2F92"/>
    <w:rsid w:val="20516791"/>
    <w:rsid w:val="205B6734"/>
    <w:rsid w:val="20902D46"/>
    <w:rsid w:val="20DC5098"/>
    <w:rsid w:val="20F41885"/>
    <w:rsid w:val="21276F23"/>
    <w:rsid w:val="213468EC"/>
    <w:rsid w:val="214327CB"/>
    <w:rsid w:val="21925323"/>
    <w:rsid w:val="21993B18"/>
    <w:rsid w:val="219959F5"/>
    <w:rsid w:val="21BF4CC5"/>
    <w:rsid w:val="21E8421C"/>
    <w:rsid w:val="22464B8D"/>
    <w:rsid w:val="229A201B"/>
    <w:rsid w:val="230C0BAA"/>
    <w:rsid w:val="233F1DB4"/>
    <w:rsid w:val="234805E8"/>
    <w:rsid w:val="239974D6"/>
    <w:rsid w:val="239C5F4A"/>
    <w:rsid w:val="23D1782E"/>
    <w:rsid w:val="23E266D0"/>
    <w:rsid w:val="23E4618A"/>
    <w:rsid w:val="2415781D"/>
    <w:rsid w:val="24282F9F"/>
    <w:rsid w:val="242D4168"/>
    <w:rsid w:val="242E19D1"/>
    <w:rsid w:val="244E3D8C"/>
    <w:rsid w:val="24896570"/>
    <w:rsid w:val="24B335CE"/>
    <w:rsid w:val="24BE3012"/>
    <w:rsid w:val="24DD3193"/>
    <w:rsid w:val="24F11BE1"/>
    <w:rsid w:val="24F133E8"/>
    <w:rsid w:val="250A26FB"/>
    <w:rsid w:val="25280283"/>
    <w:rsid w:val="254B360F"/>
    <w:rsid w:val="259869A0"/>
    <w:rsid w:val="25AA531E"/>
    <w:rsid w:val="25BC75EF"/>
    <w:rsid w:val="25EF0E4B"/>
    <w:rsid w:val="2614476D"/>
    <w:rsid w:val="265453B2"/>
    <w:rsid w:val="267C4F33"/>
    <w:rsid w:val="269C26E3"/>
    <w:rsid w:val="26B648E9"/>
    <w:rsid w:val="27102A95"/>
    <w:rsid w:val="27110C4C"/>
    <w:rsid w:val="272E2D63"/>
    <w:rsid w:val="27410CB9"/>
    <w:rsid w:val="274E7C63"/>
    <w:rsid w:val="275F3C57"/>
    <w:rsid w:val="276D441A"/>
    <w:rsid w:val="276F2748"/>
    <w:rsid w:val="278445C3"/>
    <w:rsid w:val="27D05536"/>
    <w:rsid w:val="27E67218"/>
    <w:rsid w:val="27F05ACE"/>
    <w:rsid w:val="2801187A"/>
    <w:rsid w:val="28115280"/>
    <w:rsid w:val="282E2A97"/>
    <w:rsid w:val="28606FD4"/>
    <w:rsid w:val="2861396F"/>
    <w:rsid w:val="2887092C"/>
    <w:rsid w:val="289661C1"/>
    <w:rsid w:val="289A454D"/>
    <w:rsid w:val="28B44010"/>
    <w:rsid w:val="29384EA8"/>
    <w:rsid w:val="2970535C"/>
    <w:rsid w:val="29E26463"/>
    <w:rsid w:val="29E51041"/>
    <w:rsid w:val="29F86E76"/>
    <w:rsid w:val="29FF65A7"/>
    <w:rsid w:val="2A023B5C"/>
    <w:rsid w:val="2A07065D"/>
    <w:rsid w:val="2A0A08C3"/>
    <w:rsid w:val="2A534564"/>
    <w:rsid w:val="2A573A70"/>
    <w:rsid w:val="2A9431F0"/>
    <w:rsid w:val="2AC60E73"/>
    <w:rsid w:val="2AF015D1"/>
    <w:rsid w:val="2B136D58"/>
    <w:rsid w:val="2B181726"/>
    <w:rsid w:val="2B3A56F9"/>
    <w:rsid w:val="2B51698E"/>
    <w:rsid w:val="2B5869C9"/>
    <w:rsid w:val="2B8F74B6"/>
    <w:rsid w:val="2BC47C62"/>
    <w:rsid w:val="2BC76C50"/>
    <w:rsid w:val="2BE27F2E"/>
    <w:rsid w:val="2C3053CF"/>
    <w:rsid w:val="2CBD48CE"/>
    <w:rsid w:val="2CE211B2"/>
    <w:rsid w:val="2CF2211F"/>
    <w:rsid w:val="2D014D6B"/>
    <w:rsid w:val="2D3530CB"/>
    <w:rsid w:val="2D5B3AF4"/>
    <w:rsid w:val="2D636E4D"/>
    <w:rsid w:val="2D7E58F8"/>
    <w:rsid w:val="2DC706FF"/>
    <w:rsid w:val="2DC72F38"/>
    <w:rsid w:val="2DD567E6"/>
    <w:rsid w:val="2DEB3F82"/>
    <w:rsid w:val="2E015B36"/>
    <w:rsid w:val="2E275F81"/>
    <w:rsid w:val="2E2D1F88"/>
    <w:rsid w:val="2E35280F"/>
    <w:rsid w:val="2E496234"/>
    <w:rsid w:val="2E4E51C2"/>
    <w:rsid w:val="2E77681E"/>
    <w:rsid w:val="2E9077CD"/>
    <w:rsid w:val="2EE144CD"/>
    <w:rsid w:val="2F1E127D"/>
    <w:rsid w:val="2F4B2B19"/>
    <w:rsid w:val="2F6246CC"/>
    <w:rsid w:val="2FC53683"/>
    <w:rsid w:val="2FD8767E"/>
    <w:rsid w:val="2FE97A5F"/>
    <w:rsid w:val="304A60A2"/>
    <w:rsid w:val="305A47DE"/>
    <w:rsid w:val="305E365D"/>
    <w:rsid w:val="309761B9"/>
    <w:rsid w:val="309E348C"/>
    <w:rsid w:val="30BD4AC6"/>
    <w:rsid w:val="30E26AFE"/>
    <w:rsid w:val="30F368F8"/>
    <w:rsid w:val="30F446A6"/>
    <w:rsid w:val="31300DF3"/>
    <w:rsid w:val="31394322"/>
    <w:rsid w:val="313D3961"/>
    <w:rsid w:val="31440D43"/>
    <w:rsid w:val="3184082E"/>
    <w:rsid w:val="31E06792"/>
    <w:rsid w:val="31EC5AEC"/>
    <w:rsid w:val="321345C9"/>
    <w:rsid w:val="32215349"/>
    <w:rsid w:val="32317519"/>
    <w:rsid w:val="323248F8"/>
    <w:rsid w:val="325B6344"/>
    <w:rsid w:val="32617B06"/>
    <w:rsid w:val="326844C0"/>
    <w:rsid w:val="328304A8"/>
    <w:rsid w:val="32BC5F4D"/>
    <w:rsid w:val="32E47864"/>
    <w:rsid w:val="33083E5E"/>
    <w:rsid w:val="332130EA"/>
    <w:rsid w:val="33393656"/>
    <w:rsid w:val="335D7291"/>
    <w:rsid w:val="337C1CD3"/>
    <w:rsid w:val="33C4261F"/>
    <w:rsid w:val="33FE364D"/>
    <w:rsid w:val="34017942"/>
    <w:rsid w:val="3429115A"/>
    <w:rsid w:val="34325CD9"/>
    <w:rsid w:val="343404EC"/>
    <w:rsid w:val="346113B3"/>
    <w:rsid w:val="34C25929"/>
    <w:rsid w:val="34D80120"/>
    <w:rsid w:val="34F2580B"/>
    <w:rsid w:val="35102F74"/>
    <w:rsid w:val="3518676F"/>
    <w:rsid w:val="35E13004"/>
    <w:rsid w:val="36024564"/>
    <w:rsid w:val="36041F12"/>
    <w:rsid w:val="36043061"/>
    <w:rsid w:val="36276335"/>
    <w:rsid w:val="368D6CE8"/>
    <w:rsid w:val="36981B5D"/>
    <w:rsid w:val="36A9634B"/>
    <w:rsid w:val="36AC4F40"/>
    <w:rsid w:val="36AE4936"/>
    <w:rsid w:val="36B3546C"/>
    <w:rsid w:val="36C37415"/>
    <w:rsid w:val="36D079C8"/>
    <w:rsid w:val="373541BF"/>
    <w:rsid w:val="37A217A7"/>
    <w:rsid w:val="37AB05F1"/>
    <w:rsid w:val="37D716E7"/>
    <w:rsid w:val="37F1138F"/>
    <w:rsid w:val="3801798E"/>
    <w:rsid w:val="3803406C"/>
    <w:rsid w:val="38303DCF"/>
    <w:rsid w:val="385454AF"/>
    <w:rsid w:val="385940AA"/>
    <w:rsid w:val="38653409"/>
    <w:rsid w:val="387939C8"/>
    <w:rsid w:val="38CF35E8"/>
    <w:rsid w:val="390A4CE0"/>
    <w:rsid w:val="391C2ACB"/>
    <w:rsid w:val="39276F80"/>
    <w:rsid w:val="39594555"/>
    <w:rsid w:val="39A552A4"/>
    <w:rsid w:val="39B674BF"/>
    <w:rsid w:val="39CE47F4"/>
    <w:rsid w:val="39D761EF"/>
    <w:rsid w:val="3A704D37"/>
    <w:rsid w:val="3A76410D"/>
    <w:rsid w:val="3A8F3EBA"/>
    <w:rsid w:val="3AB10259"/>
    <w:rsid w:val="3ABA6222"/>
    <w:rsid w:val="3AC3401C"/>
    <w:rsid w:val="3AC62026"/>
    <w:rsid w:val="3AD82C28"/>
    <w:rsid w:val="3B0F5517"/>
    <w:rsid w:val="3B301F44"/>
    <w:rsid w:val="3BA55E08"/>
    <w:rsid w:val="3BAE4829"/>
    <w:rsid w:val="3BD31641"/>
    <w:rsid w:val="3BDF73C5"/>
    <w:rsid w:val="3C6660AA"/>
    <w:rsid w:val="3C820E65"/>
    <w:rsid w:val="3CC50F8A"/>
    <w:rsid w:val="3D1E343C"/>
    <w:rsid w:val="3D7C4A02"/>
    <w:rsid w:val="3D902D22"/>
    <w:rsid w:val="3DBC05DF"/>
    <w:rsid w:val="3DDC62E5"/>
    <w:rsid w:val="3DE22F6C"/>
    <w:rsid w:val="3DF4021A"/>
    <w:rsid w:val="3DF544EF"/>
    <w:rsid w:val="3E01686C"/>
    <w:rsid w:val="3E047963"/>
    <w:rsid w:val="3E391C30"/>
    <w:rsid w:val="3E8862B7"/>
    <w:rsid w:val="3E8E5BBA"/>
    <w:rsid w:val="3E9779B4"/>
    <w:rsid w:val="3EA5621E"/>
    <w:rsid w:val="3EB86069"/>
    <w:rsid w:val="3EC534C3"/>
    <w:rsid w:val="3EDC10FF"/>
    <w:rsid w:val="3EED2A1A"/>
    <w:rsid w:val="3EF5367D"/>
    <w:rsid w:val="3F0A5E23"/>
    <w:rsid w:val="3F604C20"/>
    <w:rsid w:val="3F785608"/>
    <w:rsid w:val="3F7E650B"/>
    <w:rsid w:val="3FB46136"/>
    <w:rsid w:val="3FDD13E1"/>
    <w:rsid w:val="3FF42A51"/>
    <w:rsid w:val="3FFF20F3"/>
    <w:rsid w:val="40137222"/>
    <w:rsid w:val="401F4371"/>
    <w:rsid w:val="402734A4"/>
    <w:rsid w:val="403A2D49"/>
    <w:rsid w:val="405A4873"/>
    <w:rsid w:val="405C30EF"/>
    <w:rsid w:val="407B3EBF"/>
    <w:rsid w:val="40822BB5"/>
    <w:rsid w:val="40DF693D"/>
    <w:rsid w:val="40F16A8E"/>
    <w:rsid w:val="4115670A"/>
    <w:rsid w:val="411C4A43"/>
    <w:rsid w:val="412545BE"/>
    <w:rsid w:val="41676AB4"/>
    <w:rsid w:val="41810CCE"/>
    <w:rsid w:val="4184340D"/>
    <w:rsid w:val="41C23585"/>
    <w:rsid w:val="41DD0B24"/>
    <w:rsid w:val="41E21275"/>
    <w:rsid w:val="4202058A"/>
    <w:rsid w:val="421704AE"/>
    <w:rsid w:val="423B584A"/>
    <w:rsid w:val="426D61F9"/>
    <w:rsid w:val="42D67AEC"/>
    <w:rsid w:val="42F5661F"/>
    <w:rsid w:val="42F6152E"/>
    <w:rsid w:val="42FF6CFF"/>
    <w:rsid w:val="43070A5B"/>
    <w:rsid w:val="43487189"/>
    <w:rsid w:val="43771108"/>
    <w:rsid w:val="438C4E1A"/>
    <w:rsid w:val="43AF32DF"/>
    <w:rsid w:val="43AF6E6A"/>
    <w:rsid w:val="44077794"/>
    <w:rsid w:val="4440126D"/>
    <w:rsid w:val="44562438"/>
    <w:rsid w:val="445E5735"/>
    <w:rsid w:val="445F7604"/>
    <w:rsid w:val="446523D2"/>
    <w:rsid w:val="44B62C45"/>
    <w:rsid w:val="44C155FF"/>
    <w:rsid w:val="44CE1980"/>
    <w:rsid w:val="44DA0696"/>
    <w:rsid w:val="44E45943"/>
    <w:rsid w:val="44E80BF1"/>
    <w:rsid w:val="451364FD"/>
    <w:rsid w:val="45244CBC"/>
    <w:rsid w:val="452F1464"/>
    <w:rsid w:val="4542757F"/>
    <w:rsid w:val="45461DF7"/>
    <w:rsid w:val="4583380E"/>
    <w:rsid w:val="4594599D"/>
    <w:rsid w:val="45993146"/>
    <w:rsid w:val="45A6530F"/>
    <w:rsid w:val="45D466E2"/>
    <w:rsid w:val="45DA7FBF"/>
    <w:rsid w:val="45EB3538"/>
    <w:rsid w:val="460D5088"/>
    <w:rsid w:val="46112F56"/>
    <w:rsid w:val="462705C0"/>
    <w:rsid w:val="463C4C19"/>
    <w:rsid w:val="46440499"/>
    <w:rsid w:val="46771AC0"/>
    <w:rsid w:val="467722DB"/>
    <w:rsid w:val="468D52B2"/>
    <w:rsid w:val="4692036C"/>
    <w:rsid w:val="46C6468D"/>
    <w:rsid w:val="47215957"/>
    <w:rsid w:val="47222546"/>
    <w:rsid w:val="4743598D"/>
    <w:rsid w:val="47867C8A"/>
    <w:rsid w:val="478B75C0"/>
    <w:rsid w:val="47954A4A"/>
    <w:rsid w:val="479B001B"/>
    <w:rsid w:val="47A5798A"/>
    <w:rsid w:val="47D21CE6"/>
    <w:rsid w:val="47FD3065"/>
    <w:rsid w:val="481456B4"/>
    <w:rsid w:val="485D0E3C"/>
    <w:rsid w:val="48876507"/>
    <w:rsid w:val="48884C46"/>
    <w:rsid w:val="48A14890"/>
    <w:rsid w:val="48CE7418"/>
    <w:rsid w:val="49057050"/>
    <w:rsid w:val="4923660B"/>
    <w:rsid w:val="494A50CC"/>
    <w:rsid w:val="495F4514"/>
    <w:rsid w:val="498571F8"/>
    <w:rsid w:val="498875C7"/>
    <w:rsid w:val="49C82BC0"/>
    <w:rsid w:val="4A4C0CEF"/>
    <w:rsid w:val="4A5F709C"/>
    <w:rsid w:val="4A67403B"/>
    <w:rsid w:val="4A734E79"/>
    <w:rsid w:val="4A9C03EE"/>
    <w:rsid w:val="4AAF5751"/>
    <w:rsid w:val="4ABD7744"/>
    <w:rsid w:val="4AC406DC"/>
    <w:rsid w:val="4AD27698"/>
    <w:rsid w:val="4AFA6A34"/>
    <w:rsid w:val="4B1B114F"/>
    <w:rsid w:val="4B250368"/>
    <w:rsid w:val="4B5F6BD1"/>
    <w:rsid w:val="4B644B88"/>
    <w:rsid w:val="4B6C0C65"/>
    <w:rsid w:val="4B7A75FA"/>
    <w:rsid w:val="4B7B52E3"/>
    <w:rsid w:val="4B7F6C9B"/>
    <w:rsid w:val="4B83388B"/>
    <w:rsid w:val="4B977F95"/>
    <w:rsid w:val="4B9B3F0F"/>
    <w:rsid w:val="4BB01238"/>
    <w:rsid w:val="4BF71893"/>
    <w:rsid w:val="4BF93ABC"/>
    <w:rsid w:val="4C2F1AF1"/>
    <w:rsid w:val="4C3C28EB"/>
    <w:rsid w:val="4C3F1A69"/>
    <w:rsid w:val="4C494C4F"/>
    <w:rsid w:val="4C4C7D4D"/>
    <w:rsid w:val="4C515B54"/>
    <w:rsid w:val="4C692E82"/>
    <w:rsid w:val="4C765DFD"/>
    <w:rsid w:val="4C974380"/>
    <w:rsid w:val="4CA7336B"/>
    <w:rsid w:val="4D001539"/>
    <w:rsid w:val="4D060FF1"/>
    <w:rsid w:val="4D071B60"/>
    <w:rsid w:val="4D0D6138"/>
    <w:rsid w:val="4D5819A6"/>
    <w:rsid w:val="4D5A1562"/>
    <w:rsid w:val="4D5B5816"/>
    <w:rsid w:val="4D714797"/>
    <w:rsid w:val="4D7809BA"/>
    <w:rsid w:val="4D820C8A"/>
    <w:rsid w:val="4D9B17C4"/>
    <w:rsid w:val="4D9F0EEA"/>
    <w:rsid w:val="4E1328FF"/>
    <w:rsid w:val="4E5C7C5E"/>
    <w:rsid w:val="4E965C98"/>
    <w:rsid w:val="4ED447AB"/>
    <w:rsid w:val="4EE820C6"/>
    <w:rsid w:val="4EEF0ACD"/>
    <w:rsid w:val="4F095D32"/>
    <w:rsid w:val="4F161319"/>
    <w:rsid w:val="4F1A4882"/>
    <w:rsid w:val="4F2B6980"/>
    <w:rsid w:val="4F3C4DEC"/>
    <w:rsid w:val="4F6271DE"/>
    <w:rsid w:val="4F6D0EC1"/>
    <w:rsid w:val="4FA7451F"/>
    <w:rsid w:val="5019342A"/>
    <w:rsid w:val="504900D3"/>
    <w:rsid w:val="507E257A"/>
    <w:rsid w:val="508A2F90"/>
    <w:rsid w:val="50B129D4"/>
    <w:rsid w:val="510300C1"/>
    <w:rsid w:val="512E314A"/>
    <w:rsid w:val="519D0DB3"/>
    <w:rsid w:val="51B35257"/>
    <w:rsid w:val="51BE189B"/>
    <w:rsid w:val="51BF0246"/>
    <w:rsid w:val="520923A4"/>
    <w:rsid w:val="521025C4"/>
    <w:rsid w:val="52147F1A"/>
    <w:rsid w:val="52244BC5"/>
    <w:rsid w:val="5250128B"/>
    <w:rsid w:val="52665D96"/>
    <w:rsid w:val="527A6E89"/>
    <w:rsid w:val="52892F5B"/>
    <w:rsid w:val="52A34E70"/>
    <w:rsid w:val="52AC4BB3"/>
    <w:rsid w:val="52F61709"/>
    <w:rsid w:val="5306231C"/>
    <w:rsid w:val="53B611D5"/>
    <w:rsid w:val="53BD7BAA"/>
    <w:rsid w:val="53D14261"/>
    <w:rsid w:val="53DC50DF"/>
    <w:rsid w:val="53DE69AE"/>
    <w:rsid w:val="54073585"/>
    <w:rsid w:val="542D575A"/>
    <w:rsid w:val="54995B0C"/>
    <w:rsid w:val="54A96419"/>
    <w:rsid w:val="54C811C0"/>
    <w:rsid w:val="54DB7C79"/>
    <w:rsid w:val="54E74E26"/>
    <w:rsid w:val="55580A4D"/>
    <w:rsid w:val="55761912"/>
    <w:rsid w:val="559D43FA"/>
    <w:rsid w:val="55B45B96"/>
    <w:rsid w:val="55BD0B23"/>
    <w:rsid w:val="55C3622E"/>
    <w:rsid w:val="55DC1770"/>
    <w:rsid w:val="55DF2C65"/>
    <w:rsid w:val="55EB22AC"/>
    <w:rsid w:val="55FB7B9D"/>
    <w:rsid w:val="561133F2"/>
    <w:rsid w:val="56571FFA"/>
    <w:rsid w:val="566B274A"/>
    <w:rsid w:val="567152ED"/>
    <w:rsid w:val="569C2904"/>
    <w:rsid w:val="56A53344"/>
    <w:rsid w:val="56A92CC7"/>
    <w:rsid w:val="56CA37DA"/>
    <w:rsid w:val="573A3ECB"/>
    <w:rsid w:val="575C3FB7"/>
    <w:rsid w:val="579067FC"/>
    <w:rsid w:val="57A23F4A"/>
    <w:rsid w:val="584D3B14"/>
    <w:rsid w:val="58917B4D"/>
    <w:rsid w:val="58AE7C16"/>
    <w:rsid w:val="58B81930"/>
    <w:rsid w:val="58BD10F2"/>
    <w:rsid w:val="58C761A7"/>
    <w:rsid w:val="58CD33C2"/>
    <w:rsid w:val="58FD5F53"/>
    <w:rsid w:val="5901327B"/>
    <w:rsid w:val="590E7A47"/>
    <w:rsid w:val="59246BE1"/>
    <w:rsid w:val="593820AF"/>
    <w:rsid w:val="596469D4"/>
    <w:rsid w:val="596A24A3"/>
    <w:rsid w:val="597E2D83"/>
    <w:rsid w:val="59A10938"/>
    <w:rsid w:val="59D13FE4"/>
    <w:rsid w:val="59F4590F"/>
    <w:rsid w:val="5A2F44C2"/>
    <w:rsid w:val="5A435D8A"/>
    <w:rsid w:val="5A761A05"/>
    <w:rsid w:val="5AA247F9"/>
    <w:rsid w:val="5B0CF2D3"/>
    <w:rsid w:val="5B7B30F8"/>
    <w:rsid w:val="5B835E40"/>
    <w:rsid w:val="5BBC1D09"/>
    <w:rsid w:val="5C316D79"/>
    <w:rsid w:val="5C3342D4"/>
    <w:rsid w:val="5C34380B"/>
    <w:rsid w:val="5C624F92"/>
    <w:rsid w:val="5CFC6999"/>
    <w:rsid w:val="5D061A54"/>
    <w:rsid w:val="5D2418A5"/>
    <w:rsid w:val="5D3F4BB3"/>
    <w:rsid w:val="5D6A375C"/>
    <w:rsid w:val="5D7F45F2"/>
    <w:rsid w:val="5D9B6924"/>
    <w:rsid w:val="5DAE005A"/>
    <w:rsid w:val="5DFA2289"/>
    <w:rsid w:val="5E1147DF"/>
    <w:rsid w:val="5E4D0B44"/>
    <w:rsid w:val="5E4E4E2C"/>
    <w:rsid w:val="5ED91343"/>
    <w:rsid w:val="5EFD0600"/>
    <w:rsid w:val="5EFD5F0A"/>
    <w:rsid w:val="5F8A08F3"/>
    <w:rsid w:val="5F912AC4"/>
    <w:rsid w:val="5FA47678"/>
    <w:rsid w:val="5FBA0763"/>
    <w:rsid w:val="5FD14724"/>
    <w:rsid w:val="5FDE749D"/>
    <w:rsid w:val="60130CD9"/>
    <w:rsid w:val="60375AA8"/>
    <w:rsid w:val="60387705"/>
    <w:rsid w:val="603B4F3C"/>
    <w:rsid w:val="603C0CB4"/>
    <w:rsid w:val="60600E46"/>
    <w:rsid w:val="60700F30"/>
    <w:rsid w:val="607B7DDA"/>
    <w:rsid w:val="60922013"/>
    <w:rsid w:val="60AA3E6F"/>
    <w:rsid w:val="60C5514D"/>
    <w:rsid w:val="60F77386"/>
    <w:rsid w:val="610E7EA6"/>
    <w:rsid w:val="61A76748"/>
    <w:rsid w:val="61B62B3F"/>
    <w:rsid w:val="61D5318F"/>
    <w:rsid w:val="6218367B"/>
    <w:rsid w:val="62410803"/>
    <w:rsid w:val="62586279"/>
    <w:rsid w:val="6279611E"/>
    <w:rsid w:val="62B731FE"/>
    <w:rsid w:val="62E74204"/>
    <w:rsid w:val="63023C80"/>
    <w:rsid w:val="63467184"/>
    <w:rsid w:val="636D3AA1"/>
    <w:rsid w:val="63F83E5C"/>
    <w:rsid w:val="643C5726"/>
    <w:rsid w:val="647E5D3F"/>
    <w:rsid w:val="64923007"/>
    <w:rsid w:val="64C25F0E"/>
    <w:rsid w:val="64F22548"/>
    <w:rsid w:val="656062CA"/>
    <w:rsid w:val="659106E2"/>
    <w:rsid w:val="65AB236D"/>
    <w:rsid w:val="65B8080F"/>
    <w:rsid w:val="660E4EA0"/>
    <w:rsid w:val="6615622F"/>
    <w:rsid w:val="6617284C"/>
    <w:rsid w:val="66483EC5"/>
    <w:rsid w:val="66704DB4"/>
    <w:rsid w:val="66D93700"/>
    <w:rsid w:val="66F61840"/>
    <w:rsid w:val="66FF3B3B"/>
    <w:rsid w:val="67102453"/>
    <w:rsid w:val="671D183F"/>
    <w:rsid w:val="67511446"/>
    <w:rsid w:val="67585D9A"/>
    <w:rsid w:val="67C552A4"/>
    <w:rsid w:val="686F22D4"/>
    <w:rsid w:val="68A67F29"/>
    <w:rsid w:val="68A71A23"/>
    <w:rsid w:val="68C15CCA"/>
    <w:rsid w:val="68CA74C5"/>
    <w:rsid w:val="68F2396D"/>
    <w:rsid w:val="68FE307E"/>
    <w:rsid w:val="692D45F0"/>
    <w:rsid w:val="69583BF5"/>
    <w:rsid w:val="697D619C"/>
    <w:rsid w:val="69EE3D79"/>
    <w:rsid w:val="6A0E091D"/>
    <w:rsid w:val="6A7B13C8"/>
    <w:rsid w:val="6A7D0C4F"/>
    <w:rsid w:val="6A9D076F"/>
    <w:rsid w:val="6ABA50AD"/>
    <w:rsid w:val="6AE87D9C"/>
    <w:rsid w:val="6B120F8F"/>
    <w:rsid w:val="6B1B42E7"/>
    <w:rsid w:val="6B2F6DE2"/>
    <w:rsid w:val="6B5748D8"/>
    <w:rsid w:val="6B58725B"/>
    <w:rsid w:val="6B9C75EB"/>
    <w:rsid w:val="6BA94127"/>
    <w:rsid w:val="6BBD714D"/>
    <w:rsid w:val="6BCA0CBA"/>
    <w:rsid w:val="6BFE46EA"/>
    <w:rsid w:val="6C111DB6"/>
    <w:rsid w:val="6C4258A4"/>
    <w:rsid w:val="6C4B4758"/>
    <w:rsid w:val="6C7F53F2"/>
    <w:rsid w:val="6C810F0D"/>
    <w:rsid w:val="6C8B20CC"/>
    <w:rsid w:val="6C95A85E"/>
    <w:rsid w:val="6CAE2F39"/>
    <w:rsid w:val="6CB367F1"/>
    <w:rsid w:val="6D176D30"/>
    <w:rsid w:val="6DB864DB"/>
    <w:rsid w:val="6DD227EB"/>
    <w:rsid w:val="6DF10206"/>
    <w:rsid w:val="6E337B9A"/>
    <w:rsid w:val="6E7B622F"/>
    <w:rsid w:val="6E900B48"/>
    <w:rsid w:val="6E9429D6"/>
    <w:rsid w:val="6EDB3956"/>
    <w:rsid w:val="6EE3336E"/>
    <w:rsid w:val="6F1ECFF8"/>
    <w:rsid w:val="6F51652A"/>
    <w:rsid w:val="6FA7439C"/>
    <w:rsid w:val="6FAC1F26"/>
    <w:rsid w:val="6FD430CB"/>
    <w:rsid w:val="6FD607DD"/>
    <w:rsid w:val="701845AA"/>
    <w:rsid w:val="704217E5"/>
    <w:rsid w:val="70853FB1"/>
    <w:rsid w:val="70C525FF"/>
    <w:rsid w:val="70E47206"/>
    <w:rsid w:val="70EB6E29"/>
    <w:rsid w:val="70F61E3C"/>
    <w:rsid w:val="71106C43"/>
    <w:rsid w:val="71152000"/>
    <w:rsid w:val="71155335"/>
    <w:rsid w:val="71AF5789"/>
    <w:rsid w:val="71D16B0C"/>
    <w:rsid w:val="72062ED0"/>
    <w:rsid w:val="7217238C"/>
    <w:rsid w:val="721756F7"/>
    <w:rsid w:val="7231680E"/>
    <w:rsid w:val="727673DA"/>
    <w:rsid w:val="72896870"/>
    <w:rsid w:val="72A036E0"/>
    <w:rsid w:val="72C62D8B"/>
    <w:rsid w:val="72D059B7"/>
    <w:rsid w:val="73166BF9"/>
    <w:rsid w:val="73306456"/>
    <w:rsid w:val="733D23A3"/>
    <w:rsid w:val="73453EE0"/>
    <w:rsid w:val="736F3422"/>
    <w:rsid w:val="737C5B3F"/>
    <w:rsid w:val="73812DEF"/>
    <w:rsid w:val="73D57B01"/>
    <w:rsid w:val="73DC1EFD"/>
    <w:rsid w:val="74AC6C96"/>
    <w:rsid w:val="74AF2AFE"/>
    <w:rsid w:val="750872E0"/>
    <w:rsid w:val="75324707"/>
    <w:rsid w:val="75485B9D"/>
    <w:rsid w:val="76297AAD"/>
    <w:rsid w:val="764B0603"/>
    <w:rsid w:val="7656661E"/>
    <w:rsid w:val="769174F3"/>
    <w:rsid w:val="76B4082F"/>
    <w:rsid w:val="76CA3328"/>
    <w:rsid w:val="76ED37EF"/>
    <w:rsid w:val="770F21D1"/>
    <w:rsid w:val="77176BA7"/>
    <w:rsid w:val="77176D5C"/>
    <w:rsid w:val="77274014"/>
    <w:rsid w:val="777059BB"/>
    <w:rsid w:val="779C5443"/>
    <w:rsid w:val="77AD2456"/>
    <w:rsid w:val="77DE2925"/>
    <w:rsid w:val="77EF4493"/>
    <w:rsid w:val="78224492"/>
    <w:rsid w:val="782620BC"/>
    <w:rsid w:val="78302628"/>
    <w:rsid w:val="78A068BC"/>
    <w:rsid w:val="78A7019A"/>
    <w:rsid w:val="78AA3FAD"/>
    <w:rsid w:val="78C0559F"/>
    <w:rsid w:val="78C06712"/>
    <w:rsid w:val="78E536B2"/>
    <w:rsid w:val="78E6224B"/>
    <w:rsid w:val="78F079E2"/>
    <w:rsid w:val="78F821C0"/>
    <w:rsid w:val="796B51A8"/>
    <w:rsid w:val="79720C78"/>
    <w:rsid w:val="799012A9"/>
    <w:rsid w:val="79AA6925"/>
    <w:rsid w:val="79AD1E34"/>
    <w:rsid w:val="79BA3B0E"/>
    <w:rsid w:val="79BF1896"/>
    <w:rsid w:val="79F53E07"/>
    <w:rsid w:val="7A721A4A"/>
    <w:rsid w:val="7A7A0C42"/>
    <w:rsid w:val="7A9E45ED"/>
    <w:rsid w:val="7AAE4365"/>
    <w:rsid w:val="7ABB6962"/>
    <w:rsid w:val="7AF4539C"/>
    <w:rsid w:val="7AF50549"/>
    <w:rsid w:val="7AF74025"/>
    <w:rsid w:val="7B534407"/>
    <w:rsid w:val="7B6956E5"/>
    <w:rsid w:val="7B7D06A6"/>
    <w:rsid w:val="7B840887"/>
    <w:rsid w:val="7B9D3C3F"/>
    <w:rsid w:val="7BDA4711"/>
    <w:rsid w:val="7C013D85"/>
    <w:rsid w:val="7C1F52BA"/>
    <w:rsid w:val="7C2F8C70"/>
    <w:rsid w:val="7C3175AE"/>
    <w:rsid w:val="7C417926"/>
    <w:rsid w:val="7C662C4B"/>
    <w:rsid w:val="7C8A307B"/>
    <w:rsid w:val="7C953ED7"/>
    <w:rsid w:val="7CD02414"/>
    <w:rsid w:val="7CF35D84"/>
    <w:rsid w:val="7CFA7D4F"/>
    <w:rsid w:val="7D021373"/>
    <w:rsid w:val="7D2E186E"/>
    <w:rsid w:val="7D4C2B75"/>
    <w:rsid w:val="7D8F14A1"/>
    <w:rsid w:val="7DB40A20"/>
    <w:rsid w:val="7DD11A56"/>
    <w:rsid w:val="7DD763EB"/>
    <w:rsid w:val="7DDF17A9"/>
    <w:rsid w:val="7DDF36B2"/>
    <w:rsid w:val="7E0B2495"/>
    <w:rsid w:val="7E136A50"/>
    <w:rsid w:val="7E49765A"/>
    <w:rsid w:val="7E4C0FEB"/>
    <w:rsid w:val="7EAA45DE"/>
    <w:rsid w:val="7EBB50F1"/>
    <w:rsid w:val="7EBE0C5A"/>
    <w:rsid w:val="7EE56270"/>
    <w:rsid w:val="7EFB3C47"/>
    <w:rsid w:val="7F4219EB"/>
    <w:rsid w:val="7F4F291E"/>
    <w:rsid w:val="7F7F569C"/>
    <w:rsid w:val="7F7F68A4"/>
    <w:rsid w:val="7F800B24"/>
    <w:rsid w:val="7F850ECB"/>
    <w:rsid w:val="7F9F1736"/>
    <w:rsid w:val="7FD31A01"/>
    <w:rsid w:val="7FD66215"/>
    <w:rsid w:val="7FE42AA2"/>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6"/>
    <w:qFormat/>
    <w:uiPriority w:val="0"/>
    <w:pPr>
      <w:keepNext/>
      <w:outlineLvl w:val="0"/>
    </w:pPr>
    <w:rPr>
      <w:sz w:val="28"/>
      <w:szCs w:val="24"/>
    </w:rPr>
  </w:style>
  <w:style w:type="paragraph" w:styleId="5">
    <w:name w:val="heading 2"/>
    <w:basedOn w:val="1"/>
    <w:next w:val="1"/>
    <w:link w:val="96"/>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link w:val="48"/>
    <w:qFormat/>
    <w:uiPriority w:val="0"/>
    <w:pPr>
      <w:keepNext/>
      <w:keepLines/>
      <w:spacing w:before="260" w:after="260" w:line="416" w:lineRule="auto"/>
      <w:outlineLvl w:val="2"/>
    </w:pPr>
    <w:rPr>
      <w:b/>
      <w:bCs/>
      <w:sz w:val="32"/>
      <w:szCs w:val="32"/>
      <w:lang w:val="zh-CN"/>
    </w:rPr>
  </w:style>
  <w:style w:type="paragraph" w:styleId="7">
    <w:name w:val="heading 4"/>
    <w:basedOn w:val="1"/>
    <w:next w:val="1"/>
    <w:link w:val="4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link w:val="62"/>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link w:val="73"/>
    <w:qFormat/>
    <w:uiPriority w:val="0"/>
    <w:pPr>
      <w:shd w:val="clear" w:color="auto" w:fill="000080"/>
    </w:pPr>
  </w:style>
  <w:style w:type="paragraph" w:styleId="10">
    <w:name w:val="annotation text"/>
    <w:basedOn w:val="1"/>
    <w:link w:val="67"/>
    <w:semiHidden/>
    <w:qFormat/>
    <w:uiPriority w:val="99"/>
    <w:pPr>
      <w:jc w:val="left"/>
    </w:pPr>
  </w:style>
  <w:style w:type="paragraph" w:styleId="11">
    <w:name w:val="Body Text 3"/>
    <w:basedOn w:val="1"/>
    <w:link w:val="88"/>
    <w:unhideWhenUsed/>
    <w:qFormat/>
    <w:uiPriority w:val="99"/>
    <w:pPr>
      <w:spacing w:after="120"/>
    </w:pPr>
    <w:rPr>
      <w:rFonts w:ascii="Calibri" w:hAnsi="Calibri"/>
      <w:sz w:val="16"/>
      <w:szCs w:val="16"/>
      <w:lang w:val="zh-CN"/>
    </w:rPr>
  </w:style>
  <w:style w:type="paragraph" w:styleId="12">
    <w:name w:val="Body Text Indent"/>
    <w:basedOn w:val="1"/>
    <w:next w:val="13"/>
    <w:link w:val="51"/>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0"/>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0"/>
    <w:qFormat/>
    <w:uiPriority w:val="0"/>
    <w:rPr>
      <w:rFonts w:ascii="Arial" w:hAnsi="Arial" w:eastAsia="楷体_GB2312"/>
      <w:sz w:val="28"/>
    </w:rPr>
  </w:style>
  <w:style w:type="paragraph" w:styleId="19">
    <w:name w:val="Body Text Indent 2"/>
    <w:basedOn w:val="1"/>
    <w:link w:val="53"/>
    <w:qFormat/>
    <w:uiPriority w:val="0"/>
    <w:pPr>
      <w:tabs>
        <w:tab w:val="left" w:pos="720"/>
      </w:tabs>
      <w:ind w:right="-506" w:rightChars="-241" w:firstLine="538" w:firstLineChars="192"/>
    </w:pPr>
    <w:rPr>
      <w:rFonts w:eastAsia="仿宋_GB2312"/>
      <w:sz w:val="28"/>
    </w:rPr>
  </w:style>
  <w:style w:type="paragraph" w:styleId="20">
    <w:name w:val="Balloon Text"/>
    <w:basedOn w:val="1"/>
    <w:link w:val="64"/>
    <w:qFormat/>
    <w:uiPriority w:val="0"/>
    <w:rPr>
      <w:sz w:val="18"/>
      <w:szCs w:val="18"/>
    </w:rPr>
  </w:style>
  <w:style w:type="paragraph" w:styleId="21">
    <w:name w:val="footer"/>
    <w:basedOn w:val="1"/>
    <w:link w:val="45"/>
    <w:unhideWhenUsed/>
    <w:qFormat/>
    <w:uiPriority w:val="0"/>
    <w:pPr>
      <w:tabs>
        <w:tab w:val="center" w:pos="4153"/>
        <w:tab w:val="right" w:pos="8306"/>
      </w:tabs>
      <w:snapToGrid w:val="0"/>
      <w:jc w:val="left"/>
    </w:pPr>
    <w:rPr>
      <w:sz w:val="18"/>
      <w:szCs w:val="18"/>
    </w:rPr>
  </w:style>
  <w:style w:type="paragraph" w:styleId="22">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59"/>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68"/>
    <w:semiHidden/>
    <w:qFormat/>
    <w:uiPriority w:val="99"/>
    <w:rPr>
      <w:b/>
      <w:bCs/>
    </w:rPr>
  </w:style>
  <w:style w:type="paragraph" w:styleId="33">
    <w:name w:val="Body Text First Indent 2"/>
    <w:basedOn w:val="12"/>
    <w:qFormat/>
    <w:uiPriority w:val="0"/>
    <w:pPr>
      <w:ind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page number"/>
    <w:basedOn w:val="36"/>
    <w:qFormat/>
    <w:uiPriority w:val="0"/>
  </w:style>
  <w:style w:type="character" w:styleId="39">
    <w:name w:val="FollowedHyperlink"/>
    <w:basedOn w:val="36"/>
    <w:unhideWhenUsed/>
    <w:qFormat/>
    <w:uiPriority w:val="99"/>
    <w:rPr>
      <w:color w:val="954F72" w:themeColor="followedHyperlink"/>
      <w:u w:val="single"/>
      <w14:textFill>
        <w14:solidFill>
          <w14:schemeClr w14:val="folHlink"/>
        </w14:solidFill>
      </w14:textFill>
    </w:rPr>
  </w:style>
  <w:style w:type="character" w:styleId="40">
    <w:name w:val="Emphasis"/>
    <w:basedOn w:val="36"/>
    <w:qFormat/>
    <w:uiPriority w:val="20"/>
    <w:rPr>
      <w:rFonts w:hint="default" w:ascii="Georgia" w:hAnsi="Georgia" w:eastAsia="Georgia" w:cs="Georgia"/>
      <w:i/>
    </w:rPr>
  </w:style>
  <w:style w:type="character" w:styleId="41">
    <w:name w:val="Hyperlink"/>
    <w:basedOn w:val="36"/>
    <w:qFormat/>
    <w:uiPriority w:val="99"/>
    <w:rPr>
      <w:color w:val="333333"/>
      <w:u w:val="none"/>
    </w:rPr>
  </w:style>
  <w:style w:type="character" w:styleId="42">
    <w:name w:val="annotation reference"/>
    <w:semiHidden/>
    <w:qFormat/>
    <w:uiPriority w:val="99"/>
    <w:rPr>
      <w:sz w:val="21"/>
      <w:szCs w:val="21"/>
    </w:rPr>
  </w:style>
  <w:style w:type="paragraph" w:customStyle="1" w:styleId="43">
    <w:name w:val="_Style 2"/>
    <w:basedOn w:val="1"/>
    <w:next w:val="1"/>
    <w:qFormat/>
    <w:uiPriority w:val="0"/>
    <w:pPr>
      <w:ind w:firstLine="420" w:firstLineChars="200"/>
    </w:pPr>
  </w:style>
  <w:style w:type="character" w:customStyle="1" w:styleId="44">
    <w:name w:val="页眉 字符"/>
    <w:basedOn w:val="36"/>
    <w:link w:val="22"/>
    <w:qFormat/>
    <w:uiPriority w:val="0"/>
    <w:rPr>
      <w:sz w:val="18"/>
      <w:szCs w:val="18"/>
    </w:rPr>
  </w:style>
  <w:style w:type="character" w:customStyle="1" w:styleId="45">
    <w:name w:val="页脚 字符"/>
    <w:basedOn w:val="36"/>
    <w:link w:val="21"/>
    <w:qFormat/>
    <w:uiPriority w:val="0"/>
    <w:rPr>
      <w:sz w:val="18"/>
      <w:szCs w:val="18"/>
    </w:rPr>
  </w:style>
  <w:style w:type="character" w:customStyle="1" w:styleId="46">
    <w:name w:val="标题 1 字符"/>
    <w:basedOn w:val="36"/>
    <w:link w:val="4"/>
    <w:qFormat/>
    <w:uiPriority w:val="0"/>
    <w:rPr>
      <w:rFonts w:ascii="Times New Roman" w:hAnsi="Times New Roman" w:eastAsia="宋体" w:cs="Times New Roman"/>
      <w:sz w:val="28"/>
      <w:szCs w:val="24"/>
    </w:rPr>
  </w:style>
  <w:style w:type="character" w:customStyle="1" w:styleId="47">
    <w:name w:val="标题 2 Char"/>
    <w:basedOn w:val="36"/>
    <w:qFormat/>
    <w:uiPriority w:val="0"/>
    <w:rPr>
      <w:rFonts w:ascii="Arial" w:hAnsi="Arial" w:eastAsia="黑体" w:cs="Times New Roman"/>
      <w:b/>
      <w:kern w:val="0"/>
      <w:sz w:val="32"/>
      <w:szCs w:val="20"/>
    </w:rPr>
  </w:style>
  <w:style w:type="character" w:customStyle="1" w:styleId="48">
    <w:name w:val="标题 3 字符"/>
    <w:basedOn w:val="36"/>
    <w:link w:val="6"/>
    <w:qFormat/>
    <w:uiPriority w:val="0"/>
    <w:rPr>
      <w:rFonts w:ascii="Times New Roman" w:hAnsi="Times New Roman" w:eastAsia="宋体" w:cs="Times New Roman"/>
      <w:b/>
      <w:bCs/>
      <w:sz w:val="32"/>
      <w:szCs w:val="32"/>
      <w:lang w:val="zh-CN" w:eastAsia="zh-CN"/>
    </w:rPr>
  </w:style>
  <w:style w:type="character" w:customStyle="1" w:styleId="49">
    <w:name w:val="标题 4 字符"/>
    <w:basedOn w:val="36"/>
    <w:link w:val="7"/>
    <w:qFormat/>
    <w:uiPriority w:val="0"/>
    <w:rPr>
      <w:rFonts w:ascii="Arial" w:hAnsi="Arial" w:eastAsia="黑体" w:cs="Times New Roman"/>
      <w:b/>
      <w:kern w:val="0"/>
      <w:sz w:val="28"/>
      <w:szCs w:val="20"/>
    </w:rPr>
  </w:style>
  <w:style w:type="character" w:customStyle="1" w:styleId="50">
    <w:name w:val="日期 字符"/>
    <w:basedOn w:val="36"/>
    <w:link w:val="18"/>
    <w:qFormat/>
    <w:uiPriority w:val="0"/>
    <w:rPr>
      <w:rFonts w:ascii="Arial" w:hAnsi="Arial" w:eastAsia="楷体_GB2312" w:cs="Times New Roman"/>
      <w:sz w:val="28"/>
      <w:szCs w:val="20"/>
    </w:rPr>
  </w:style>
  <w:style w:type="character" w:customStyle="1" w:styleId="51">
    <w:name w:val="正文文本缩进 字符"/>
    <w:basedOn w:val="36"/>
    <w:link w:val="12"/>
    <w:qFormat/>
    <w:uiPriority w:val="0"/>
    <w:rPr>
      <w:rFonts w:ascii="Times New Roman" w:hAnsi="Times New Roman" w:eastAsia="仿宋_GB2312" w:cs="Times New Roman"/>
      <w:sz w:val="28"/>
      <w:szCs w:val="20"/>
    </w:rPr>
  </w:style>
  <w:style w:type="paragraph" w:customStyle="1" w:styleId="52">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3">
    <w:name w:val="正文文本缩进 2 字符"/>
    <w:basedOn w:val="36"/>
    <w:link w:val="19"/>
    <w:qFormat/>
    <w:uiPriority w:val="0"/>
    <w:rPr>
      <w:rFonts w:ascii="Times New Roman" w:hAnsi="Times New Roman" w:eastAsia="仿宋_GB2312" w:cs="Times New Roman"/>
      <w:sz w:val="28"/>
      <w:szCs w:val="20"/>
    </w:rPr>
  </w:style>
  <w:style w:type="paragraph" w:customStyle="1" w:styleId="54">
    <w:name w:val="样式1"/>
    <w:basedOn w:val="1"/>
    <w:qFormat/>
    <w:uiPriority w:val="0"/>
    <w:pPr>
      <w:numPr>
        <w:ilvl w:val="0"/>
        <w:numId w:val="1"/>
      </w:numPr>
      <w:adjustRightInd w:val="0"/>
      <w:textAlignment w:val="baseline"/>
    </w:pPr>
    <w:rPr>
      <w:rFonts w:ascii="宋体" w:hAnsi="宋体"/>
      <w:kern w:val="0"/>
    </w:rPr>
  </w:style>
  <w:style w:type="paragraph" w:customStyle="1" w:styleId="55">
    <w:name w:val="样式 宋体 五号 行距: 单倍行距"/>
    <w:basedOn w:val="1"/>
    <w:qFormat/>
    <w:uiPriority w:val="0"/>
    <w:pPr>
      <w:adjustRightInd w:val="0"/>
      <w:jc w:val="left"/>
      <w:textAlignment w:val="baseline"/>
    </w:pPr>
    <w:rPr>
      <w:rFonts w:ascii="宋体" w:hAnsi="宋体"/>
      <w:kern w:val="0"/>
    </w:rPr>
  </w:style>
  <w:style w:type="paragraph" w:customStyle="1" w:styleId="56">
    <w:name w:val="样式 标题 2 + 宋体 五号 行距: 单倍行距"/>
    <w:basedOn w:val="5"/>
    <w:qFormat/>
    <w:uiPriority w:val="0"/>
    <w:pPr>
      <w:spacing w:line="240" w:lineRule="auto"/>
    </w:pPr>
    <w:rPr>
      <w:rFonts w:ascii="宋体" w:hAnsi="宋体" w:eastAsia="宋体"/>
      <w:sz w:val="21"/>
    </w:rPr>
  </w:style>
  <w:style w:type="paragraph" w:customStyle="1" w:styleId="57">
    <w:name w:val="Char Char Char Char Char"/>
    <w:basedOn w:val="1"/>
    <w:qFormat/>
    <w:uiPriority w:val="0"/>
    <w:rPr>
      <w:rFonts w:ascii="Tahoma" w:hAnsi="Tahoma"/>
      <w:sz w:val="24"/>
    </w:rPr>
  </w:style>
  <w:style w:type="paragraph" w:customStyle="1" w:styleId="58">
    <w:name w:val="Char"/>
    <w:basedOn w:val="1"/>
    <w:qFormat/>
    <w:uiPriority w:val="0"/>
    <w:rPr>
      <w:rFonts w:ascii="Tahoma" w:hAnsi="Tahoma"/>
      <w:sz w:val="24"/>
    </w:rPr>
  </w:style>
  <w:style w:type="character" w:customStyle="1" w:styleId="59">
    <w:name w:val="正文文本缩进 3 字符"/>
    <w:basedOn w:val="36"/>
    <w:link w:val="26"/>
    <w:qFormat/>
    <w:uiPriority w:val="0"/>
    <w:rPr>
      <w:rFonts w:ascii="仿宋_GB2312" w:hAnsi="Arial" w:eastAsia="仿宋_GB2312" w:cs="Times New Roman"/>
      <w:sz w:val="28"/>
      <w:szCs w:val="24"/>
    </w:rPr>
  </w:style>
  <w:style w:type="paragraph" w:customStyle="1" w:styleId="60">
    <w:name w:val="Char1"/>
    <w:basedOn w:val="1"/>
    <w:qFormat/>
    <w:uiPriority w:val="0"/>
    <w:rPr>
      <w:rFonts w:ascii="Tahoma" w:hAnsi="Tahoma" w:eastAsia="仿宋_GB2312"/>
      <w:sz w:val="24"/>
    </w:rPr>
  </w:style>
  <w:style w:type="paragraph" w:customStyle="1" w:styleId="61">
    <w:name w:val="Char Char Char Char Char Char Char1 Char"/>
    <w:basedOn w:val="1"/>
    <w:qFormat/>
    <w:uiPriority w:val="0"/>
    <w:rPr>
      <w:rFonts w:ascii="Tahoma" w:hAnsi="Tahoma"/>
      <w:sz w:val="24"/>
    </w:rPr>
  </w:style>
  <w:style w:type="character" w:customStyle="1" w:styleId="62">
    <w:name w:val="正文文本 字符"/>
    <w:basedOn w:val="36"/>
    <w:link w:val="3"/>
    <w:qFormat/>
    <w:uiPriority w:val="0"/>
    <w:rPr>
      <w:rFonts w:ascii="Times New Roman" w:hAnsi="Times New Roman" w:eastAsia="宋体" w:cs="Times New Roman"/>
      <w:szCs w:val="24"/>
    </w:rPr>
  </w:style>
  <w:style w:type="paragraph" w:customStyle="1" w:styleId="63">
    <w:name w:val="Char Char Char Char"/>
    <w:basedOn w:val="1"/>
    <w:next w:val="1"/>
    <w:qFormat/>
    <w:uiPriority w:val="0"/>
    <w:pPr>
      <w:widowControl/>
      <w:spacing w:line="360" w:lineRule="auto"/>
      <w:jc w:val="left"/>
    </w:pPr>
  </w:style>
  <w:style w:type="character" w:customStyle="1" w:styleId="64">
    <w:name w:val="批注框文本 字符"/>
    <w:basedOn w:val="36"/>
    <w:link w:val="20"/>
    <w:qFormat/>
    <w:uiPriority w:val="0"/>
    <w:rPr>
      <w:rFonts w:ascii="Times New Roman" w:hAnsi="Times New Roman" w:eastAsia="宋体" w:cs="Times New Roman"/>
      <w:sz w:val="18"/>
      <w:szCs w:val="18"/>
    </w:rPr>
  </w:style>
  <w:style w:type="paragraph" w:customStyle="1" w:styleId="65">
    <w:name w:val="Char Char Char"/>
    <w:basedOn w:val="1"/>
    <w:qFormat/>
    <w:uiPriority w:val="0"/>
    <w:rPr>
      <w:rFonts w:ascii="Tahoma" w:hAnsi="Tahoma"/>
      <w:sz w:val="24"/>
    </w:rPr>
  </w:style>
  <w:style w:type="paragraph" w:customStyle="1" w:styleId="66">
    <w:name w:val="Char Char Char Char Char Char Char Char Char Char"/>
    <w:basedOn w:val="1"/>
    <w:qFormat/>
    <w:uiPriority w:val="0"/>
    <w:rPr>
      <w:rFonts w:ascii="Tahoma" w:hAnsi="Tahoma" w:cs="仿宋_GB2312"/>
      <w:sz w:val="24"/>
    </w:rPr>
  </w:style>
  <w:style w:type="character" w:customStyle="1" w:styleId="67">
    <w:name w:val="批注文字 字符"/>
    <w:basedOn w:val="36"/>
    <w:link w:val="10"/>
    <w:semiHidden/>
    <w:qFormat/>
    <w:uiPriority w:val="99"/>
    <w:rPr>
      <w:rFonts w:ascii="Times New Roman" w:hAnsi="Times New Roman" w:eastAsia="宋体" w:cs="Times New Roman"/>
      <w:szCs w:val="20"/>
    </w:rPr>
  </w:style>
  <w:style w:type="character" w:customStyle="1" w:styleId="68">
    <w:name w:val="批注主题 字符"/>
    <w:basedOn w:val="67"/>
    <w:link w:val="32"/>
    <w:semiHidden/>
    <w:qFormat/>
    <w:uiPriority w:val="99"/>
    <w:rPr>
      <w:rFonts w:ascii="Times New Roman" w:hAnsi="Times New Roman" w:eastAsia="宋体" w:cs="Times New Roman"/>
      <w:b/>
      <w:bCs/>
      <w:szCs w:val="20"/>
    </w:rPr>
  </w:style>
  <w:style w:type="paragraph" w:customStyle="1" w:styleId="69">
    <w:name w:val="Char Char Char Char Char Char"/>
    <w:basedOn w:val="1"/>
    <w:qFormat/>
    <w:uiPriority w:val="0"/>
  </w:style>
  <w:style w:type="character" w:customStyle="1" w:styleId="70">
    <w:name w:val="纯文本 字符"/>
    <w:link w:val="16"/>
    <w:qFormat/>
    <w:uiPriority w:val="0"/>
    <w:rPr>
      <w:rFonts w:ascii="宋体" w:hAnsi="Courier New" w:eastAsia="宋体"/>
    </w:rPr>
  </w:style>
  <w:style w:type="character" w:customStyle="1" w:styleId="71">
    <w:name w:val="纯文本 Char1"/>
    <w:basedOn w:val="36"/>
    <w:semiHidden/>
    <w:qFormat/>
    <w:uiPriority w:val="99"/>
    <w:rPr>
      <w:rFonts w:ascii="宋体" w:hAnsi="Courier New" w:eastAsia="宋体" w:cs="Courier New"/>
      <w:szCs w:val="21"/>
    </w:rPr>
  </w:style>
  <w:style w:type="paragraph" w:customStyle="1" w:styleId="72">
    <w:name w:val="Char12 Char Char Char"/>
    <w:basedOn w:val="1"/>
    <w:qFormat/>
    <w:uiPriority w:val="0"/>
  </w:style>
  <w:style w:type="character" w:customStyle="1" w:styleId="73">
    <w:name w:val="文档结构图 字符"/>
    <w:basedOn w:val="36"/>
    <w:link w:val="9"/>
    <w:qFormat/>
    <w:uiPriority w:val="0"/>
    <w:rPr>
      <w:rFonts w:ascii="Times New Roman" w:hAnsi="Times New Roman" w:eastAsia="宋体" w:cs="Times New Roman"/>
      <w:szCs w:val="20"/>
      <w:shd w:val="clear" w:color="auto" w:fill="000080"/>
    </w:rPr>
  </w:style>
  <w:style w:type="character" w:customStyle="1" w:styleId="74">
    <w:name w:val="style29"/>
    <w:qFormat/>
    <w:uiPriority w:val="0"/>
  </w:style>
  <w:style w:type="character" w:customStyle="1" w:styleId="75">
    <w:name w:val="正文1"/>
    <w:qFormat/>
    <w:uiPriority w:val="0"/>
  </w:style>
  <w:style w:type="character" w:customStyle="1" w:styleId="76">
    <w:name w:val="font11"/>
    <w:qFormat/>
    <w:uiPriority w:val="0"/>
    <w:rPr>
      <w:rFonts w:hint="default" w:ascii="Times New Roman" w:hAnsi="Times New Roman" w:cs="Times New Roman"/>
      <w:color w:val="3366FF"/>
      <w:sz w:val="24"/>
      <w:szCs w:val="24"/>
      <w:u w:val="none"/>
    </w:rPr>
  </w:style>
  <w:style w:type="character" w:customStyle="1" w:styleId="77">
    <w:name w:val="font21"/>
    <w:basedOn w:val="36"/>
    <w:qFormat/>
    <w:uiPriority w:val="0"/>
    <w:rPr>
      <w:rFonts w:hint="eastAsia" w:ascii="宋体" w:hAnsi="宋体" w:eastAsia="宋体"/>
      <w:color w:val="3366FF"/>
      <w:sz w:val="24"/>
      <w:szCs w:val="24"/>
      <w:u w:val="none"/>
    </w:rPr>
  </w:style>
  <w:style w:type="paragraph" w:customStyle="1" w:styleId="78">
    <w:name w:val="Char Char15"/>
    <w:basedOn w:val="1"/>
    <w:qFormat/>
    <w:uiPriority w:val="0"/>
    <w:rPr>
      <w:rFonts w:ascii="Tahoma" w:hAnsi="Tahoma" w:eastAsia="仿宋_GB2312"/>
      <w:sz w:val="24"/>
    </w:rPr>
  </w:style>
  <w:style w:type="paragraph" w:customStyle="1" w:styleId="79">
    <w:name w:val="列出段落1"/>
    <w:basedOn w:val="1"/>
    <w:qFormat/>
    <w:uiPriority w:val="0"/>
    <w:pPr>
      <w:ind w:firstLine="420" w:firstLineChars="200"/>
    </w:pPr>
    <w:rPr>
      <w:rFonts w:ascii="Calibri" w:hAnsi="Calibri"/>
      <w:szCs w:val="22"/>
    </w:rPr>
  </w:style>
  <w:style w:type="paragraph" w:customStyle="1" w:styleId="80">
    <w:name w:val="Char2"/>
    <w:basedOn w:val="1"/>
    <w:qFormat/>
    <w:uiPriority w:val="0"/>
    <w:pPr>
      <w:tabs>
        <w:tab w:val="left" w:pos="360"/>
      </w:tabs>
    </w:pPr>
    <w:rPr>
      <w:sz w:val="24"/>
      <w:szCs w:val="24"/>
    </w:rPr>
  </w:style>
  <w:style w:type="paragraph" w:customStyle="1" w:styleId="81">
    <w:name w:val="Char16"/>
    <w:basedOn w:val="1"/>
    <w:qFormat/>
    <w:uiPriority w:val="0"/>
    <w:rPr>
      <w:rFonts w:ascii="Tahoma" w:hAnsi="Tahoma" w:eastAsia="仿宋_GB2312"/>
      <w:sz w:val="24"/>
    </w:rPr>
  </w:style>
  <w:style w:type="paragraph" w:customStyle="1" w:styleId="82">
    <w:name w:val="Char Char1"/>
    <w:basedOn w:val="1"/>
    <w:qFormat/>
    <w:uiPriority w:val="0"/>
    <w:rPr>
      <w:rFonts w:ascii="Tahoma" w:hAnsi="Tahoma"/>
      <w:sz w:val="24"/>
    </w:rPr>
  </w:style>
  <w:style w:type="paragraph" w:customStyle="1" w:styleId="83">
    <w:name w:val="Char Char Char Char Char Char Char"/>
    <w:basedOn w:val="1"/>
    <w:qFormat/>
    <w:uiPriority w:val="0"/>
    <w:rPr>
      <w:szCs w:val="24"/>
    </w:rPr>
  </w:style>
  <w:style w:type="paragraph" w:customStyle="1" w:styleId="84">
    <w:name w:val="Char Char"/>
    <w:basedOn w:val="1"/>
    <w:qFormat/>
    <w:uiPriority w:val="0"/>
    <w:rPr>
      <w:rFonts w:ascii="Tahoma" w:hAnsi="Tahoma" w:cs="仿宋_GB2312"/>
      <w:sz w:val="24"/>
    </w:rPr>
  </w:style>
  <w:style w:type="paragraph" w:customStyle="1" w:styleId="85">
    <w:name w:val="Char Char2"/>
    <w:basedOn w:val="1"/>
    <w:qFormat/>
    <w:uiPriority w:val="0"/>
    <w:rPr>
      <w:rFonts w:ascii="Tahoma" w:hAnsi="Tahoma" w:cs="仿宋_GB2312"/>
      <w:sz w:val="24"/>
    </w:rPr>
  </w:style>
  <w:style w:type="paragraph" w:customStyle="1" w:styleId="86">
    <w:name w:val="Char Char Char1"/>
    <w:basedOn w:val="1"/>
    <w:qFormat/>
    <w:uiPriority w:val="0"/>
    <w:rPr>
      <w:rFonts w:ascii="Tahoma" w:hAnsi="Tahoma"/>
      <w:sz w:val="24"/>
    </w:rPr>
  </w:style>
  <w:style w:type="paragraph" w:customStyle="1" w:styleId="87">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8">
    <w:name w:val="正文文本 3 字符"/>
    <w:basedOn w:val="36"/>
    <w:link w:val="11"/>
    <w:qFormat/>
    <w:uiPriority w:val="99"/>
    <w:rPr>
      <w:rFonts w:ascii="Calibri" w:hAnsi="Calibri" w:eastAsia="宋体" w:cs="Times New Roman"/>
      <w:sz w:val="16"/>
      <w:szCs w:val="16"/>
      <w:lang w:val="zh-CN" w:eastAsia="zh-CN"/>
    </w:rPr>
  </w:style>
  <w:style w:type="paragraph" w:customStyle="1" w:styleId="8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0">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style23"/>
    <w:qFormat/>
    <w:uiPriority w:val="0"/>
    <w:rPr>
      <w:rFonts w:ascii="Times New Roman" w:hAnsi="Times New Roman" w:eastAsia="宋体"/>
    </w:rPr>
  </w:style>
  <w:style w:type="paragraph" w:customStyle="1" w:styleId="92">
    <w:name w:val="p0"/>
    <w:basedOn w:val="1"/>
    <w:qFormat/>
    <w:uiPriority w:val="0"/>
    <w:pPr>
      <w:widowControl/>
      <w:jc w:val="left"/>
    </w:pPr>
    <w:rPr>
      <w:rFonts w:ascii="等线" w:hAnsi="等线" w:eastAsia="等线" w:cs="等线"/>
      <w:kern w:val="0"/>
      <w:sz w:val="20"/>
      <w:szCs w:val="22"/>
    </w:rPr>
  </w:style>
  <w:style w:type="paragraph" w:customStyle="1" w:styleId="93">
    <w:name w:val="列表段落1"/>
    <w:basedOn w:val="1"/>
    <w:qFormat/>
    <w:uiPriority w:val="34"/>
    <w:pPr>
      <w:ind w:firstLine="420" w:firstLineChars="200"/>
    </w:pPr>
    <w:rPr>
      <w:szCs w:val="24"/>
    </w:rPr>
  </w:style>
  <w:style w:type="paragraph" w:customStyle="1" w:styleId="94">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5">
    <w:name w:val="Table Paragraph"/>
    <w:basedOn w:val="1"/>
    <w:qFormat/>
    <w:uiPriority w:val="1"/>
  </w:style>
  <w:style w:type="character" w:customStyle="1" w:styleId="96">
    <w:name w:val="标题 2 字符"/>
    <w:link w:val="5"/>
    <w:qFormat/>
    <w:uiPriority w:val="0"/>
    <w:rPr>
      <w:rFonts w:ascii="Arial" w:hAnsi="Arial" w:eastAsia="黑体"/>
      <w:b/>
      <w:bCs/>
      <w:sz w:val="32"/>
      <w:szCs w:val="32"/>
    </w:rPr>
  </w:style>
  <w:style w:type="paragraph" w:styleId="97">
    <w:name w:val="List Paragraph"/>
    <w:basedOn w:val="1"/>
    <w:qFormat/>
    <w:uiPriority w:val="99"/>
    <w:pPr>
      <w:ind w:firstLine="420" w:firstLineChars="200"/>
    </w:pPr>
  </w:style>
  <w:style w:type="character" w:customStyle="1" w:styleId="98">
    <w:name w:val="layui-this"/>
    <w:basedOn w:val="36"/>
    <w:qFormat/>
    <w:uiPriority w:val="0"/>
    <w:rPr>
      <w:bdr w:val="single" w:color="EEEEEE" w:sz="4" w:space="0"/>
      <w:shd w:val="clear" w:color="auto" w:fill="FFFFFF"/>
    </w:rPr>
  </w:style>
  <w:style w:type="character" w:customStyle="1" w:styleId="99">
    <w:name w:val="first-child"/>
    <w:basedOn w:val="36"/>
    <w:qFormat/>
    <w:uiPriority w:val="0"/>
  </w:style>
  <w:style w:type="character" w:customStyle="1" w:styleId="100">
    <w:name w:val="first-child1"/>
    <w:basedOn w:val="36"/>
    <w:qFormat/>
    <w:uiPriority w:val="0"/>
  </w:style>
  <w:style w:type="character" w:customStyle="1" w:styleId="101">
    <w:name w:val="hover3"/>
    <w:basedOn w:val="36"/>
    <w:qFormat/>
    <w:uiPriority w:val="0"/>
    <w:rPr>
      <w:color w:val="315EFB"/>
    </w:rPr>
  </w:style>
  <w:style w:type="character" w:customStyle="1" w:styleId="102">
    <w:name w:val="index-module_accountauthentication_3bwix"/>
    <w:basedOn w:val="36"/>
    <w:qFormat/>
    <w:uiPriority w:val="0"/>
  </w:style>
  <w:style w:type="table" w:customStyle="1" w:styleId="103">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4">
    <w:name w:val="表格文字"/>
    <w:basedOn w:val="1"/>
    <w:next w:val="3"/>
    <w:qFormat/>
    <w:uiPriority w:val="0"/>
    <w:pPr>
      <w:adjustRightInd w:val="0"/>
      <w:spacing w:line="420" w:lineRule="atLeast"/>
      <w:textAlignment w:val="baseline"/>
    </w:pPr>
    <w:rPr>
      <w:rFonts w:ascii="Calibri" w:hAnsi="Calibri" w:eastAsia="宋体" w:cs="Times New Roman"/>
      <w:szCs w:val="20"/>
    </w:rPr>
  </w:style>
  <w:style w:type="paragraph" w:customStyle="1" w:styleId="10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06">
    <w:name w:val="font31"/>
    <w:basedOn w:val="3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6055</Words>
  <Characters>6238</Characters>
  <Lines>154</Lines>
  <Paragraphs>43</Paragraphs>
  <TotalTime>8</TotalTime>
  <ScaleCrop>false</ScaleCrop>
  <LinksUpToDate>false</LinksUpToDate>
  <CharactersWithSpaces>6615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Y</cp:lastModifiedBy>
  <cp:lastPrinted>2024-12-17T00:58:00Z</cp:lastPrinted>
  <dcterms:modified xsi:type="dcterms:W3CDTF">2026-03-23T09:18:26Z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59774C2C708E41C7B296DD480B5E06B5_13</vt:lpwstr>
  </property>
  <property fmtid="{D5CDD505-2E9C-101B-9397-08002B2CF9AE}" pid="4" name="KSOTemplateDocerSaveRecord">
    <vt:lpwstr>eyJoZGlkIjoiNzM4ODE4ZTdhZWU4ODdhMzE3NDUwMjNjMWRmZTI1MGEiLCJ1c2VySWQiOiI0MTc1MjgyNTUifQ==</vt:lpwstr>
  </property>
</Properties>
</file>