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rPr>
        <w:t>六安市中医院信息系统安全等级保护测评服务项目</w:t>
      </w: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0"/>
          <w:rFonts w:hint="eastAsia" w:ascii="仿宋" w:hAnsi="仿宋" w:eastAsia="仿宋" w:cs="仿宋"/>
          <w:b w:val="0"/>
          <w:bCs/>
          <w:color w:val="auto"/>
          <w:sz w:val="21"/>
          <w:szCs w:val="21"/>
          <w:lang w:eastAsia="zh-CN"/>
        </w:rPr>
        <w:t>具备</w:t>
      </w:r>
      <w:r>
        <w:rPr>
          <w:rStyle w:val="2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0"/>
          <w:rFonts w:hint="eastAsia" w:ascii="仿宋" w:hAnsi="仿宋" w:eastAsia="仿宋" w:cs="仿宋"/>
          <w:b/>
          <w:bCs w:val="0"/>
          <w:color w:val="auto"/>
          <w:sz w:val="21"/>
          <w:szCs w:val="21"/>
          <w:lang w:eastAsia="zh-CN"/>
        </w:rPr>
        <w:t>或具备</w:t>
      </w:r>
      <w:r>
        <w:rPr>
          <w:rStyle w:val="20"/>
          <w:rFonts w:hint="eastAsia" w:ascii="仿宋" w:hAnsi="仿宋" w:eastAsia="仿宋" w:cs="仿宋"/>
          <w:b/>
          <w:bCs w:val="0"/>
          <w:color w:val="auto"/>
          <w:sz w:val="21"/>
          <w:szCs w:val="21"/>
          <w:lang w:val="en-US" w:eastAsia="zh-CN"/>
        </w:rPr>
        <w:t>CMA【或CNAS】资质检测机构）</w:t>
      </w:r>
      <w:r>
        <w:rPr>
          <w:rStyle w:val="20"/>
          <w:rFonts w:hint="eastAsia" w:ascii="仿宋" w:hAnsi="仿宋" w:eastAsia="仿宋" w:cs="仿宋"/>
          <w:b w:val="0"/>
          <w:bCs/>
          <w:color w:val="auto"/>
          <w:sz w:val="21"/>
          <w:szCs w:val="21"/>
          <w:lang w:val="en-US" w:eastAsia="zh-CN"/>
        </w:rPr>
        <w:t>出具的</w:t>
      </w:r>
      <w:r>
        <w:rPr>
          <w:rStyle w:val="20"/>
          <w:rFonts w:hint="eastAsia" w:ascii="仿宋" w:hAnsi="仿宋" w:eastAsia="仿宋" w:cs="仿宋"/>
          <w:b w:val="0"/>
          <w:bCs/>
          <w:color w:val="auto"/>
          <w:sz w:val="21"/>
          <w:szCs w:val="21"/>
        </w:rPr>
        <w:t>质检报告原件扫描件</w:t>
      </w:r>
      <w:r>
        <w:rPr>
          <w:rStyle w:val="2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0"/>
          <w:rFonts w:hint="eastAsia" w:ascii="仿宋" w:hAnsi="仿宋" w:eastAsia="仿宋" w:cs="仿宋"/>
          <w:b w:val="0"/>
          <w:bCs/>
          <w:color w:val="auto"/>
          <w:sz w:val="21"/>
          <w:szCs w:val="21"/>
        </w:rPr>
        <w:t>食药监局</w:t>
      </w:r>
      <w:r>
        <w:rPr>
          <w:rStyle w:val="20"/>
          <w:rFonts w:hint="eastAsia" w:ascii="仿宋" w:hAnsi="仿宋" w:eastAsia="仿宋" w:cs="仿宋"/>
          <w:b w:val="0"/>
          <w:bCs/>
          <w:color w:val="auto"/>
          <w:sz w:val="21"/>
          <w:szCs w:val="21"/>
          <w:lang w:eastAsia="zh-CN"/>
        </w:rPr>
        <w:t>或</w:t>
      </w:r>
      <w:r>
        <w:rPr>
          <w:rStyle w:val="20"/>
          <w:rFonts w:hint="eastAsia" w:ascii="仿宋" w:hAnsi="仿宋" w:eastAsia="仿宋" w:cs="仿宋"/>
          <w:b w:val="0"/>
          <w:bCs/>
          <w:color w:val="auto"/>
          <w:sz w:val="21"/>
          <w:szCs w:val="21"/>
        </w:rPr>
        <w:t>其下属单位</w:t>
      </w:r>
      <w:r>
        <w:rPr>
          <w:rStyle w:val="20"/>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69E44DF1">
      <w:pPr>
        <w:pStyle w:val="8"/>
        <w:ind w:firstLine="420" w:firstLineChars="200"/>
        <w:rPr>
          <w:rFonts w:hint="eastAsia" w:ascii="仿宋" w:hAnsi="仿宋" w:eastAsia="仿宋"/>
          <w:b/>
          <w:szCs w:val="21"/>
          <w:lang w:val="en-US" w:eastAsia="zh-CN"/>
        </w:rPr>
      </w:pPr>
      <w:r>
        <w:rPr>
          <w:rFonts w:hint="eastAsia" w:ascii="仿宋" w:hAnsi="仿宋" w:eastAsia="仿宋" w:cstheme="minorBidi"/>
          <w:kern w:val="2"/>
          <w:sz w:val="21"/>
          <w:szCs w:val="21"/>
          <w:lang w:val="en-US" w:eastAsia="zh-CN" w:bidi="ar-SA"/>
        </w:rPr>
        <w:t>为进一步提升医疗服务品质，改善患者就医体验，推进智慧医院建设进程，我院计划对现有3栋楼宇的病区进行无线互联网覆盖，现面向社会公开征集无线互联网覆盖建设方案，邀请各潜在供应商对建设方案进行现场介绍。要求：医院无线外网建设需与院内在用无线内网互不干扰，并具备一定的网络安全防护能力，支持认证访问，入侵检测和防御、上网行为管理等功能，确保医院内网数据安全及用户上网合规。</w:t>
      </w:r>
    </w:p>
    <w:p w14:paraId="2C0E6202">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p w14:paraId="08CCF85C">
      <w:pPr>
        <w:spacing w:line="320" w:lineRule="exact"/>
        <w:rPr>
          <w:rFonts w:hint="eastAsia" w:ascii="仿宋" w:hAnsi="仿宋" w:eastAsia="仿宋"/>
          <w:b/>
          <w:szCs w:val="21"/>
        </w:rPr>
      </w:pPr>
    </w:p>
    <w:tbl>
      <w:tblPr>
        <w:tblStyle w:val="14"/>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61"/>
        <w:gridCol w:w="4604"/>
        <w:gridCol w:w="1081"/>
        <w:gridCol w:w="445"/>
        <w:gridCol w:w="978"/>
        <w:gridCol w:w="995"/>
      </w:tblGrid>
      <w:tr w14:paraId="636B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20" w:type="dxa"/>
            <w:gridSpan w:val="4"/>
            <w:tcBorders>
              <w:top w:val="single" w:color="auto" w:sz="4" w:space="0"/>
              <w:left w:val="single" w:color="auto" w:sz="4" w:space="0"/>
              <w:bottom w:val="single" w:color="auto" w:sz="4" w:space="0"/>
              <w:right w:val="single" w:color="auto" w:sz="4" w:space="0"/>
            </w:tcBorders>
            <w:noWrap w:val="0"/>
            <w:vAlign w:val="center"/>
          </w:tcPr>
          <w:p w14:paraId="713ED59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本项目初步参数拟设置情况</w:t>
            </w:r>
          </w:p>
        </w:tc>
        <w:tc>
          <w:tcPr>
            <w:tcW w:w="445" w:type="dxa"/>
            <w:vMerge w:val="restart"/>
            <w:tcBorders>
              <w:top w:val="single" w:color="auto" w:sz="4" w:space="0"/>
              <w:left w:val="single" w:color="auto" w:sz="4" w:space="0"/>
              <w:right w:val="single" w:color="auto" w:sz="4" w:space="0"/>
            </w:tcBorders>
            <w:noWrap w:val="0"/>
            <w:vAlign w:val="center"/>
          </w:tcPr>
          <w:p w14:paraId="02E0D10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978" w:type="dxa"/>
            <w:vMerge w:val="restart"/>
            <w:tcBorders>
              <w:top w:val="single" w:color="auto" w:sz="4" w:space="0"/>
              <w:left w:val="single" w:color="auto" w:sz="4" w:space="0"/>
              <w:right w:val="single" w:color="auto" w:sz="4" w:space="0"/>
            </w:tcBorders>
            <w:noWrap w:val="0"/>
            <w:vAlign w:val="center"/>
          </w:tcPr>
          <w:p w14:paraId="141D4BC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建议修改指标</w:t>
            </w:r>
          </w:p>
        </w:tc>
        <w:tc>
          <w:tcPr>
            <w:tcW w:w="995" w:type="dxa"/>
            <w:vMerge w:val="restart"/>
            <w:tcBorders>
              <w:top w:val="single" w:color="auto" w:sz="4" w:space="0"/>
              <w:left w:val="single" w:color="auto" w:sz="4" w:space="0"/>
              <w:right w:val="single" w:color="auto" w:sz="4" w:space="0"/>
            </w:tcBorders>
            <w:noWrap w:val="0"/>
            <w:vAlign w:val="top"/>
          </w:tcPr>
          <w:p w14:paraId="535539D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备注（真实指标、是否独家、是否提供有效检测报告）</w:t>
            </w:r>
          </w:p>
        </w:tc>
      </w:tr>
      <w:tr w14:paraId="0955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524CA40">
            <w:pPr>
              <w:pStyle w:val="21"/>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序号</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2569745">
            <w:pPr>
              <w:pStyle w:val="21"/>
              <w:widowControl/>
              <w:kinsoku w:val="0"/>
              <w:overflowPunct w:val="0"/>
              <w:spacing w:line="400" w:lineRule="exact"/>
              <w:jc w:val="center"/>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服务名称</w:t>
            </w:r>
          </w:p>
        </w:tc>
        <w:tc>
          <w:tcPr>
            <w:tcW w:w="4604" w:type="dxa"/>
            <w:tcBorders>
              <w:top w:val="single" w:color="auto" w:sz="4" w:space="0"/>
              <w:left w:val="single" w:color="auto" w:sz="4" w:space="0"/>
              <w:bottom w:val="single" w:color="auto" w:sz="4" w:space="0"/>
              <w:right w:val="single" w:color="auto" w:sz="4" w:space="0"/>
            </w:tcBorders>
            <w:noWrap w:val="0"/>
            <w:vAlign w:val="center"/>
          </w:tcPr>
          <w:p w14:paraId="5EAE24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初步参数设置情况</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4C102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是否设置为★</w:t>
            </w:r>
          </w:p>
        </w:tc>
        <w:tc>
          <w:tcPr>
            <w:tcW w:w="445" w:type="dxa"/>
            <w:vMerge w:val="continue"/>
            <w:tcBorders>
              <w:left w:val="single" w:color="auto" w:sz="4" w:space="0"/>
              <w:right w:val="single" w:color="auto" w:sz="4" w:space="0"/>
            </w:tcBorders>
            <w:noWrap w:val="0"/>
            <w:vAlign w:val="center"/>
          </w:tcPr>
          <w:p w14:paraId="0253EC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vMerge w:val="continue"/>
            <w:tcBorders>
              <w:left w:val="single" w:color="auto" w:sz="4" w:space="0"/>
              <w:right w:val="single" w:color="auto" w:sz="4" w:space="0"/>
            </w:tcBorders>
            <w:noWrap w:val="0"/>
            <w:vAlign w:val="center"/>
          </w:tcPr>
          <w:p w14:paraId="1F4788C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vMerge w:val="continue"/>
            <w:tcBorders>
              <w:left w:val="single" w:color="auto" w:sz="4" w:space="0"/>
              <w:right w:val="single" w:color="auto" w:sz="4" w:space="0"/>
            </w:tcBorders>
            <w:noWrap w:val="0"/>
            <w:vAlign w:val="top"/>
          </w:tcPr>
          <w:p w14:paraId="40CD7E0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579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0C654DF2">
            <w:pPr>
              <w:pStyle w:val="21"/>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6B2C3D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基本要求</w:t>
            </w:r>
          </w:p>
          <w:p w14:paraId="1869C89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04" w:type="dxa"/>
            <w:tcBorders>
              <w:top w:val="single" w:color="auto" w:sz="4" w:space="0"/>
              <w:left w:val="single" w:color="auto" w:sz="4" w:space="0"/>
              <w:bottom w:val="single" w:color="auto" w:sz="4" w:space="0"/>
              <w:right w:val="single" w:color="auto" w:sz="4" w:space="0"/>
            </w:tcBorders>
            <w:noWrap w:val="0"/>
            <w:vAlign w:val="center"/>
          </w:tcPr>
          <w:p w14:paraId="6AC0E16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1、测评内容：</w:t>
            </w:r>
          </w:p>
          <w:tbl>
            <w:tblPr>
              <w:tblStyle w:val="15"/>
              <w:tblpPr w:leftFromText="180" w:rightFromText="180" w:vertAnchor="text" w:horzAnchor="page" w:tblpX="624" w:tblpY="244"/>
              <w:tblOverlap w:val="never"/>
              <w:tblW w:w="6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581"/>
              <w:gridCol w:w="3530"/>
            </w:tblGrid>
            <w:tr w14:paraId="39CC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776074E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序号</w:t>
                  </w:r>
                </w:p>
              </w:tc>
              <w:tc>
                <w:tcPr>
                  <w:tcW w:w="2581" w:type="dxa"/>
                </w:tcPr>
                <w:p w14:paraId="2318709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待测系统名称</w:t>
                  </w:r>
                </w:p>
              </w:tc>
              <w:tc>
                <w:tcPr>
                  <w:tcW w:w="3530" w:type="dxa"/>
                </w:tcPr>
                <w:p w14:paraId="0CB7B41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安全保护等级</w:t>
                  </w:r>
                </w:p>
              </w:tc>
            </w:tr>
            <w:tr w14:paraId="09A2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0A78A75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w:t>
                  </w:r>
                </w:p>
              </w:tc>
              <w:tc>
                <w:tcPr>
                  <w:tcW w:w="2581" w:type="dxa"/>
                  <w:vAlign w:val="center"/>
                </w:tcPr>
                <w:p w14:paraId="17AD6AD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互联网医院系统</w:t>
                  </w:r>
                </w:p>
              </w:tc>
              <w:tc>
                <w:tcPr>
                  <w:tcW w:w="3530" w:type="dxa"/>
                </w:tcPr>
                <w:p w14:paraId="768ECF4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3级</w:t>
                  </w:r>
                </w:p>
              </w:tc>
            </w:tr>
            <w:tr w14:paraId="04D7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895E5C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w:t>
                  </w:r>
                </w:p>
              </w:tc>
              <w:tc>
                <w:tcPr>
                  <w:tcW w:w="2581" w:type="dxa"/>
                  <w:vAlign w:val="center"/>
                </w:tcPr>
                <w:p w14:paraId="0E2B35B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集成平台及面向患者信息系统</w:t>
                  </w:r>
                </w:p>
              </w:tc>
              <w:tc>
                <w:tcPr>
                  <w:tcW w:w="3530" w:type="dxa"/>
                </w:tcPr>
                <w:p w14:paraId="659EB07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3级</w:t>
                  </w:r>
                </w:p>
              </w:tc>
            </w:tr>
            <w:tr w14:paraId="2D72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1F6E7FB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w:t>
                  </w:r>
                </w:p>
              </w:tc>
              <w:tc>
                <w:tcPr>
                  <w:tcW w:w="2581" w:type="dxa"/>
                  <w:vAlign w:val="center"/>
                </w:tcPr>
                <w:p w14:paraId="16EC28C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智慧服务信息系统</w:t>
                  </w:r>
                </w:p>
              </w:tc>
              <w:tc>
                <w:tcPr>
                  <w:tcW w:w="3530" w:type="dxa"/>
                </w:tcPr>
                <w:p w14:paraId="6762897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3级</w:t>
                  </w:r>
                </w:p>
              </w:tc>
            </w:tr>
          </w:tbl>
          <w:p w14:paraId="00C1D33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0E7A22F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2.投标方需协助完成上述信息系统信息安全等级保护测评工作。</w:t>
            </w:r>
          </w:p>
          <w:p w14:paraId="302B420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3.投标方需针对重要信息系统定期进行漏洞扫描、渗透测试等安全服务工作。</w:t>
            </w:r>
          </w:p>
          <w:p w14:paraId="73485F2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4.投标方应根据现场测评中发现的问题，分析与GB/T 22239-2019、ISO/IEC 27001、ISO/IEC 20000、ISO 22301、ITIL和ITSS等行业最佳实践之间的差距，按照网络安全等级保护标准要求，提出响应安全整改建议书并给予指导，经我院整改后继续测评，直到测评结果达到三级为止，不得再收取测评费用。</w:t>
            </w:r>
          </w:p>
          <w:p w14:paraId="094BBF4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5.完成上述测评工作和整改加固实施后，测评后经用户方确认，投标方出具符合标准要求的各信息系统网络安全等级保护测评报告。</w:t>
            </w:r>
          </w:p>
          <w:p w14:paraId="3CFA029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投标方需提供CTF培训工具和练习平台，还原真实网络环境的虚拟环境，覆盖多类型题型挑战，覆盖基础理论至高级实战，提供全面深入的CTF实战视频。服务期需向采购人提供2名CISSP、CISP-PTE、CISP-DSG、CCRC-DSA或CCRC-DSO的培训及考试名额。</w:t>
            </w:r>
            <w:r>
              <w:rPr>
                <w:rFonts w:hint="eastAsia" w:ascii="仿宋" w:hAnsi="仿宋" w:eastAsia="仿宋" w:cs="Times New Roman"/>
                <w:bCs/>
                <w:kern w:val="2"/>
                <w:sz w:val="21"/>
                <w:szCs w:val="21"/>
                <w:lang w:val="en-US" w:eastAsia="zh-CN" w:bidi="ar-SA"/>
              </w:rPr>
              <w:br w:type="textWrapping"/>
            </w:r>
            <w:r>
              <w:rPr>
                <w:rFonts w:hint="eastAsia" w:ascii="仿宋" w:hAnsi="仿宋" w:eastAsia="仿宋" w:cs="Times New Roman"/>
                <w:bCs/>
                <w:kern w:val="2"/>
                <w:sz w:val="21"/>
                <w:szCs w:val="21"/>
                <w:lang w:val="en-US" w:eastAsia="zh-CN" w:bidi="ar-SA"/>
              </w:rPr>
              <w:t>7.服务期内，投标方需提供不少于两次网络安全现场应急处置服务及两次网络安全检测服务。</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F28975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5" w:type="dxa"/>
            <w:tcBorders>
              <w:left w:val="single" w:color="auto" w:sz="4" w:space="0"/>
              <w:right w:val="single" w:color="auto" w:sz="4" w:space="0"/>
            </w:tcBorders>
            <w:noWrap w:val="0"/>
            <w:vAlign w:val="center"/>
          </w:tcPr>
          <w:p w14:paraId="176D14C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0BB06C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8D5514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3B8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DF44062">
            <w:pPr>
              <w:pStyle w:val="21"/>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3978B5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实施及售后服务要求</w:t>
            </w:r>
          </w:p>
        </w:tc>
        <w:tc>
          <w:tcPr>
            <w:tcW w:w="4604" w:type="dxa"/>
            <w:tcBorders>
              <w:top w:val="single" w:color="auto" w:sz="4" w:space="0"/>
              <w:left w:val="single" w:color="auto" w:sz="4" w:space="0"/>
              <w:bottom w:val="single" w:color="auto" w:sz="4" w:space="0"/>
              <w:right w:val="single" w:color="auto" w:sz="4" w:space="0"/>
            </w:tcBorders>
            <w:noWrap w:val="0"/>
            <w:vAlign w:val="center"/>
          </w:tcPr>
          <w:p w14:paraId="4FFE95CA">
            <w:pPr>
              <w:pStyle w:val="7"/>
              <w:ind w:firstLine="0"/>
              <w:rPr>
                <w:rFonts w:hint="eastAsia" w:ascii="仿宋" w:hAnsi="仿宋" w:eastAsia="仿宋" w:cs="仿宋"/>
                <w:sz w:val="22"/>
                <w:szCs w:val="22"/>
              </w:rPr>
            </w:pPr>
            <w:r>
              <w:rPr>
                <w:rFonts w:hint="eastAsia" w:ascii="仿宋" w:hAnsi="仿宋" w:eastAsia="仿宋" w:cs="仿宋"/>
                <w:sz w:val="22"/>
                <w:szCs w:val="22"/>
              </w:rPr>
              <w:t>1.投标人</w:t>
            </w:r>
            <w:r>
              <w:rPr>
                <w:rFonts w:hint="eastAsia" w:ascii="仿宋" w:hAnsi="仿宋" w:eastAsia="仿宋" w:cs="仿宋"/>
                <w:sz w:val="22"/>
                <w:szCs w:val="22"/>
                <w:lang w:eastAsia="zh-CN"/>
              </w:rPr>
              <w:t>应在推进六安市中医院</w:t>
            </w:r>
            <w:r>
              <w:rPr>
                <w:rFonts w:hint="eastAsia" w:ascii="仿宋" w:hAnsi="仿宋" w:eastAsia="仿宋" w:cs="仿宋"/>
                <w:sz w:val="22"/>
                <w:szCs w:val="22"/>
              </w:rPr>
              <w:t>信息安全等级保护工作过程中提供监督、检查、指导及</w:t>
            </w:r>
            <w:r>
              <w:rPr>
                <w:rFonts w:hint="eastAsia" w:ascii="仿宋" w:hAnsi="仿宋" w:eastAsia="仿宋" w:cs="仿宋"/>
                <w:sz w:val="22"/>
                <w:szCs w:val="22"/>
                <w:lang w:eastAsia="zh-CN"/>
              </w:rPr>
              <w:t>定期</w:t>
            </w:r>
            <w:r>
              <w:rPr>
                <w:rFonts w:hint="eastAsia" w:ascii="仿宋" w:hAnsi="仿宋" w:eastAsia="仿宋" w:cs="仿宋"/>
                <w:sz w:val="22"/>
                <w:szCs w:val="22"/>
              </w:rPr>
              <w:t>网络安全渗透测试及漏洞扫描等专业技术支持。</w:t>
            </w:r>
          </w:p>
          <w:p w14:paraId="74C5489C">
            <w:pPr>
              <w:pStyle w:val="7"/>
              <w:ind w:firstLine="0"/>
              <w:rPr>
                <w:rFonts w:hint="eastAsia" w:ascii="仿宋" w:hAnsi="仿宋" w:eastAsia="仿宋" w:cs="仿宋"/>
                <w:sz w:val="22"/>
                <w:szCs w:val="22"/>
              </w:rPr>
            </w:pPr>
            <w:r>
              <w:rPr>
                <w:rFonts w:hint="eastAsia" w:ascii="仿宋" w:hAnsi="仿宋" w:eastAsia="仿宋" w:cs="仿宋"/>
                <w:sz w:val="22"/>
                <w:szCs w:val="22"/>
              </w:rPr>
              <w:t>2.测评的工具、方法和过程需在双方认可的范围之内并符合进度表的安排，保证采购人对服务工作的可控性。</w:t>
            </w:r>
          </w:p>
          <w:p w14:paraId="4F7F8DE5">
            <w:pPr>
              <w:pStyle w:val="7"/>
              <w:ind w:firstLine="0"/>
              <w:rPr>
                <w:rFonts w:hint="eastAsia" w:ascii="仿宋" w:hAnsi="仿宋" w:eastAsia="仿宋" w:cs="仿宋"/>
                <w:sz w:val="22"/>
                <w:szCs w:val="22"/>
              </w:rPr>
            </w:pPr>
            <w:r>
              <w:rPr>
                <w:rFonts w:hint="eastAsia" w:ascii="仿宋" w:hAnsi="仿宋" w:eastAsia="仿宋" w:cs="仿宋"/>
                <w:sz w:val="22"/>
                <w:szCs w:val="22"/>
              </w:rPr>
              <w:t>3.测评工作应尽可能小</w:t>
            </w:r>
            <w:r>
              <w:rPr>
                <w:rFonts w:hint="eastAsia" w:ascii="仿宋" w:hAnsi="仿宋" w:eastAsia="仿宋" w:cs="仿宋"/>
                <w:sz w:val="22"/>
                <w:szCs w:val="22"/>
                <w:lang w:eastAsia="zh-CN"/>
              </w:rPr>
              <w:t>地</w:t>
            </w:r>
            <w:r>
              <w:rPr>
                <w:rFonts w:hint="eastAsia" w:ascii="仿宋" w:hAnsi="仿宋" w:eastAsia="仿宋" w:cs="仿宋"/>
                <w:sz w:val="22"/>
                <w:szCs w:val="22"/>
              </w:rPr>
              <w:t>影响系统和网络的正常运行，不能对现网的运行和业务的正常提供产生显著影响(包括系统性能明显下降、网络拥塞、服务中断，如无法避免出现这些情况应在应答书上详细描述)。</w:t>
            </w:r>
          </w:p>
          <w:p w14:paraId="6B736288">
            <w:pPr>
              <w:pStyle w:val="7"/>
              <w:ind w:firstLine="0"/>
              <w:rPr>
                <w:rFonts w:hint="eastAsia" w:ascii="仿宋" w:hAnsi="仿宋" w:eastAsia="仿宋" w:cs="仿宋"/>
                <w:sz w:val="22"/>
                <w:szCs w:val="22"/>
              </w:rPr>
            </w:pPr>
            <w:r>
              <w:rPr>
                <w:rFonts w:hint="eastAsia" w:ascii="仿宋" w:hAnsi="仿宋" w:eastAsia="仿宋" w:cs="仿宋"/>
                <w:sz w:val="22"/>
                <w:szCs w:val="22"/>
              </w:rPr>
              <w:t>4.对测评的过程数据和结果数据严格保密，未经授权不得泄露给任何单位和个人，不得利用此数据进行任何侵害采购人网络的行为，否则采购人有权追究责任。</w:t>
            </w:r>
          </w:p>
          <w:p w14:paraId="10BFB97F">
            <w:pPr>
              <w:pStyle w:val="7"/>
              <w:ind w:firstLine="0"/>
              <w:rPr>
                <w:rFonts w:hint="eastAsia" w:ascii="仿宋" w:hAnsi="仿宋" w:eastAsia="仿宋" w:cs="仿宋"/>
                <w:sz w:val="22"/>
                <w:szCs w:val="22"/>
              </w:rPr>
            </w:pPr>
            <w:r>
              <w:rPr>
                <w:rFonts w:hint="eastAsia" w:ascii="仿宋" w:hAnsi="仿宋" w:eastAsia="仿宋" w:cs="仿宋"/>
                <w:sz w:val="22"/>
                <w:szCs w:val="22"/>
              </w:rPr>
              <w:t>5.投标人需提供近3年内国内其他医院用户合同3家及以上，标书内提供清晰的合同原件扫描件并加盖公章（遮盖认定为无效业绩）。</w:t>
            </w:r>
          </w:p>
          <w:p w14:paraId="4FC772AF">
            <w:pPr>
              <w:pStyle w:val="7"/>
              <w:ind w:firstLine="0"/>
              <w:rPr>
                <w:rFonts w:hint="eastAsia" w:ascii="仿宋" w:hAnsi="仿宋" w:eastAsia="仿宋" w:cs="仿宋"/>
                <w:sz w:val="22"/>
                <w:szCs w:val="22"/>
              </w:rPr>
            </w:pPr>
            <w:r>
              <w:rPr>
                <w:rFonts w:hint="eastAsia" w:ascii="仿宋" w:hAnsi="仿宋" w:eastAsia="仿宋" w:cs="仿宋"/>
                <w:sz w:val="22"/>
                <w:szCs w:val="22"/>
                <w:lang w:val="en-US" w:eastAsia="zh-CN"/>
              </w:rPr>
              <w:t>6.服务</w:t>
            </w:r>
            <w:r>
              <w:rPr>
                <w:rFonts w:hint="eastAsia" w:ascii="仿宋" w:hAnsi="仿宋" w:eastAsia="仿宋" w:cs="仿宋"/>
                <w:sz w:val="22"/>
                <w:szCs w:val="22"/>
              </w:rPr>
              <w:t>期内，投标人</w:t>
            </w:r>
            <w:r>
              <w:rPr>
                <w:rFonts w:hint="eastAsia" w:ascii="仿宋" w:hAnsi="仿宋" w:eastAsia="仿宋" w:cs="仿宋"/>
                <w:sz w:val="22"/>
                <w:szCs w:val="22"/>
                <w:lang w:val="en-US" w:eastAsia="zh-CN"/>
              </w:rPr>
              <w:t>需</w:t>
            </w:r>
            <w:r>
              <w:rPr>
                <w:rFonts w:hint="eastAsia" w:ascii="仿宋" w:hAnsi="仿宋" w:eastAsia="仿宋" w:cs="仿宋"/>
                <w:sz w:val="22"/>
                <w:szCs w:val="22"/>
              </w:rPr>
              <w:t>提供网络安全攻防演练服务两次（包含但不限于市、区级护网行动攻击和防守），并输出攻防演练安全报告。</w:t>
            </w:r>
          </w:p>
          <w:p w14:paraId="017D25B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仿宋"/>
                <w:sz w:val="22"/>
                <w:szCs w:val="22"/>
                <w:lang w:val="en-US" w:eastAsia="zh-CN"/>
              </w:rPr>
              <w:t>7.服务</w:t>
            </w:r>
            <w:r>
              <w:rPr>
                <w:rFonts w:hint="eastAsia" w:ascii="仿宋" w:hAnsi="仿宋" w:eastAsia="仿宋" w:cs="仿宋"/>
                <w:sz w:val="22"/>
                <w:szCs w:val="22"/>
              </w:rPr>
              <w:t>期内，投标人</w:t>
            </w:r>
            <w:r>
              <w:rPr>
                <w:rFonts w:hint="eastAsia" w:ascii="仿宋" w:hAnsi="仿宋" w:eastAsia="仿宋" w:cs="仿宋"/>
                <w:sz w:val="22"/>
                <w:szCs w:val="22"/>
                <w:lang w:val="en-US" w:eastAsia="zh-CN"/>
              </w:rPr>
              <w:t>需</w:t>
            </w:r>
            <w:r>
              <w:rPr>
                <w:rFonts w:hint="eastAsia" w:ascii="仿宋" w:hAnsi="仿宋" w:eastAsia="仿宋" w:cs="仿宋"/>
                <w:sz w:val="22"/>
                <w:szCs w:val="22"/>
              </w:rPr>
              <w:t>提供</w:t>
            </w:r>
            <w:r>
              <w:rPr>
                <w:rFonts w:hint="eastAsia" w:ascii="仿宋" w:hAnsi="仿宋" w:eastAsia="仿宋" w:cs="仿宋"/>
                <w:sz w:val="22"/>
                <w:szCs w:val="22"/>
                <w:lang w:val="en-US" w:eastAsia="zh-CN"/>
              </w:rPr>
              <w:t>不少于四次的</w:t>
            </w:r>
            <w:r>
              <w:rPr>
                <w:rFonts w:hint="eastAsia" w:ascii="仿宋" w:hAnsi="仿宋" w:eastAsia="仿宋" w:cs="仿宋"/>
                <w:sz w:val="22"/>
                <w:szCs w:val="22"/>
              </w:rPr>
              <w:t>网络安全渗透测试</w:t>
            </w:r>
            <w:r>
              <w:rPr>
                <w:rFonts w:hint="eastAsia" w:ascii="仿宋" w:hAnsi="仿宋" w:eastAsia="仿宋" w:cs="仿宋"/>
                <w:sz w:val="22"/>
                <w:szCs w:val="22"/>
                <w:lang w:val="en-US" w:eastAsia="zh-CN"/>
              </w:rPr>
              <w:t>或</w:t>
            </w:r>
            <w:r>
              <w:rPr>
                <w:rFonts w:hint="eastAsia" w:ascii="仿宋" w:hAnsi="仿宋" w:eastAsia="仿宋" w:cs="仿宋"/>
                <w:sz w:val="22"/>
                <w:szCs w:val="22"/>
              </w:rPr>
              <w:t>漏洞扫描</w:t>
            </w:r>
            <w:r>
              <w:rPr>
                <w:rFonts w:hint="eastAsia" w:ascii="仿宋" w:hAnsi="仿宋" w:eastAsia="仿宋" w:cs="仿宋"/>
                <w:sz w:val="22"/>
                <w:szCs w:val="22"/>
                <w:lang w:val="en-US" w:eastAsia="zh-CN"/>
              </w:rPr>
              <w:t>服务。</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648691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5" w:type="dxa"/>
            <w:tcBorders>
              <w:left w:val="single" w:color="auto" w:sz="4" w:space="0"/>
              <w:right w:val="single" w:color="auto" w:sz="4" w:space="0"/>
            </w:tcBorders>
            <w:noWrap w:val="0"/>
            <w:vAlign w:val="center"/>
          </w:tcPr>
          <w:p w14:paraId="587DCE7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CBB5F2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DB2BCA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02A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4DC4B42">
            <w:pPr>
              <w:pStyle w:val="21"/>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9D6179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宋体"/>
                <w:sz w:val="22"/>
                <w:szCs w:val="22"/>
                <w:lang w:bidi="ar"/>
              </w:rPr>
              <w:t>相关资质</w:t>
            </w:r>
          </w:p>
        </w:tc>
        <w:tc>
          <w:tcPr>
            <w:tcW w:w="4604" w:type="dxa"/>
            <w:tcBorders>
              <w:top w:val="single" w:color="auto" w:sz="4" w:space="0"/>
              <w:left w:val="single" w:color="auto" w:sz="4" w:space="0"/>
              <w:bottom w:val="single" w:color="auto" w:sz="4" w:space="0"/>
              <w:right w:val="single" w:color="auto" w:sz="4" w:space="0"/>
            </w:tcBorders>
            <w:noWrap w:val="0"/>
            <w:vAlign w:val="center"/>
          </w:tcPr>
          <w:p w14:paraId="48D70A29">
            <w:pPr>
              <w:pStyle w:val="7"/>
              <w:ind w:firstLine="0"/>
              <w:rPr>
                <w:rFonts w:hint="eastAsia" w:ascii="仿宋" w:hAnsi="仿宋" w:eastAsia="仿宋" w:cs="仿宋"/>
                <w:sz w:val="22"/>
                <w:szCs w:val="22"/>
              </w:rPr>
            </w:pPr>
            <w:r>
              <w:rPr>
                <w:rFonts w:hint="eastAsia" w:ascii="仿宋" w:hAnsi="仿宋" w:eastAsia="仿宋" w:cs="仿宋"/>
                <w:sz w:val="22"/>
                <w:szCs w:val="22"/>
                <w:lang w:val="en-US" w:eastAsia="zh-CN"/>
              </w:rPr>
              <w:t>1.</w:t>
            </w:r>
            <w:r>
              <w:rPr>
                <w:rFonts w:ascii="仿宋" w:hAnsi="仿宋" w:eastAsia="仿宋" w:cs="仿宋"/>
                <w:sz w:val="22"/>
                <w:szCs w:val="22"/>
              </w:rPr>
              <w:t>投标人</w:t>
            </w:r>
            <w:r>
              <w:rPr>
                <w:rFonts w:hint="eastAsia" w:ascii="仿宋" w:hAnsi="仿宋" w:eastAsia="仿宋" w:cs="仿宋"/>
                <w:sz w:val="22"/>
                <w:szCs w:val="22"/>
              </w:rPr>
              <w:t>应</w:t>
            </w:r>
            <w:r>
              <w:rPr>
                <w:rFonts w:ascii="仿宋" w:hAnsi="仿宋" w:eastAsia="仿宋" w:cs="仿宋"/>
                <w:sz w:val="22"/>
                <w:szCs w:val="22"/>
              </w:rPr>
              <w:t>具有</w:t>
            </w:r>
            <w:r>
              <w:rPr>
                <w:rFonts w:hint="eastAsia" w:ascii="仿宋" w:hAnsi="仿宋" w:eastAsia="仿宋" w:cs="仿宋"/>
                <w:sz w:val="22"/>
                <w:szCs w:val="22"/>
              </w:rPr>
              <w:t>包含但不限于以下资质：</w:t>
            </w:r>
            <w:r>
              <w:rPr>
                <w:rFonts w:ascii="仿宋" w:hAnsi="仿宋" w:eastAsia="仿宋" w:cs="仿宋"/>
                <w:sz w:val="22"/>
                <w:szCs w:val="22"/>
              </w:rPr>
              <w:br w:type="textWrapping"/>
            </w:r>
            <w:r>
              <w:rPr>
                <w:rFonts w:hint="eastAsia" w:ascii="仿宋" w:hAnsi="仿宋" w:eastAsia="仿宋" w:cs="仿宋"/>
                <w:sz w:val="22"/>
                <w:szCs w:val="22"/>
                <w:lang w:val="en-US" w:eastAsia="zh-CN"/>
              </w:rPr>
              <w:t>1</w:t>
            </w:r>
            <w:r>
              <w:rPr>
                <w:rFonts w:hint="eastAsia" w:ascii="仿宋" w:hAnsi="仿宋" w:eastAsia="仿宋" w:cs="仿宋"/>
                <w:sz w:val="22"/>
                <w:szCs w:val="22"/>
                <w:lang w:eastAsia="zh-CN"/>
              </w:rPr>
              <w:t>）</w:t>
            </w:r>
            <w:r>
              <w:rPr>
                <w:rFonts w:ascii="仿宋" w:hAnsi="仿宋" w:eastAsia="仿宋" w:cs="仿宋"/>
                <w:sz w:val="22"/>
                <w:szCs w:val="22"/>
              </w:rPr>
              <w:t>ISO/IEC 27001信息安全管理体系认证</w:t>
            </w:r>
            <w:r>
              <w:rPr>
                <w:rFonts w:hint="eastAsia" w:ascii="仿宋" w:hAnsi="仿宋" w:eastAsia="仿宋" w:cs="仿宋"/>
                <w:sz w:val="22"/>
                <w:szCs w:val="22"/>
              </w:rPr>
              <w:t xml:space="preserve">； </w:t>
            </w:r>
          </w:p>
          <w:p w14:paraId="569B4AE2">
            <w:pPr>
              <w:pStyle w:val="7"/>
              <w:ind w:firstLine="0"/>
              <w:rPr>
                <w:rFonts w:hint="eastAsia" w:ascii="仿宋" w:hAnsi="仿宋" w:eastAsia="仿宋" w:cs="仿宋"/>
                <w:sz w:val="22"/>
                <w:szCs w:val="22"/>
              </w:rPr>
            </w:pPr>
            <w:r>
              <w:rPr>
                <w:rFonts w:hint="eastAsia" w:ascii="仿宋" w:hAnsi="仿宋" w:eastAsia="仿宋" w:cs="仿宋"/>
                <w:sz w:val="22"/>
                <w:szCs w:val="22"/>
                <w:lang w:val="en-US" w:eastAsia="zh-CN"/>
              </w:rPr>
              <w:t>2）</w:t>
            </w:r>
            <w:r>
              <w:rPr>
                <w:rFonts w:ascii="仿宋" w:hAnsi="仿宋" w:eastAsia="仿宋" w:cs="仿宋"/>
                <w:sz w:val="22"/>
                <w:szCs w:val="22"/>
              </w:rPr>
              <w:t>ISO/IEC20000信息技术服务管理体系认证</w:t>
            </w:r>
            <w:r>
              <w:rPr>
                <w:rFonts w:hint="eastAsia" w:ascii="仿宋" w:hAnsi="仿宋" w:eastAsia="仿宋" w:cs="仿宋"/>
                <w:sz w:val="22"/>
                <w:szCs w:val="22"/>
              </w:rPr>
              <w:t xml:space="preserve">； </w:t>
            </w:r>
          </w:p>
          <w:p w14:paraId="5E1DFE33">
            <w:pPr>
              <w:rPr>
                <w:rFonts w:hint="default" w:ascii="仿宋" w:hAnsi="仿宋" w:eastAsia="仿宋" w:cs="仿宋"/>
                <w:sz w:val="22"/>
                <w:szCs w:val="22"/>
                <w:lang w:val="en-US"/>
              </w:rPr>
            </w:pPr>
            <w:r>
              <w:rPr>
                <w:rFonts w:hint="eastAsia" w:ascii="仿宋" w:hAnsi="仿宋" w:cs="仿宋"/>
                <w:sz w:val="22"/>
                <w:szCs w:val="22"/>
                <w:lang w:val="en-US" w:eastAsia="zh-CN"/>
              </w:rPr>
              <w:t>3）</w:t>
            </w:r>
            <w:r>
              <w:rPr>
                <w:rFonts w:hint="eastAsia" w:ascii="仿宋" w:hAnsi="仿宋" w:eastAsia="仿宋" w:cs="仿宋"/>
                <w:snapToGrid w:val="0"/>
                <w:color w:val="000000"/>
                <w:sz w:val="22"/>
                <w:szCs w:val="22"/>
                <w:lang w:val="en-US" w:eastAsia="zh-CN" w:bidi="ar-SA"/>
              </w:rPr>
              <w:t>网络安全等级测评与检测评估机构服务认证</w:t>
            </w:r>
            <w:r>
              <w:rPr>
                <w:rFonts w:hint="eastAsia" w:ascii="仿宋" w:hAnsi="仿宋" w:cs="仿宋"/>
                <w:snapToGrid w:val="0"/>
                <w:color w:val="000000"/>
                <w:sz w:val="22"/>
                <w:szCs w:val="22"/>
                <w:lang w:val="en-US" w:eastAsia="zh-CN" w:bidi="ar-SA"/>
              </w:rPr>
              <w:t>；</w:t>
            </w:r>
          </w:p>
          <w:p w14:paraId="06D0A6AC">
            <w:pPr>
              <w:rPr>
                <w:rFonts w:hint="eastAsia" w:ascii="仿宋" w:hAnsi="仿宋" w:eastAsia="仿宋" w:cs="仿宋"/>
                <w:sz w:val="22"/>
                <w:szCs w:val="22"/>
              </w:rPr>
            </w:pPr>
            <w:r>
              <w:rPr>
                <w:rFonts w:hint="eastAsia" w:ascii="仿宋" w:hAnsi="仿宋" w:cs="仿宋"/>
                <w:sz w:val="22"/>
                <w:szCs w:val="22"/>
                <w:lang w:val="en-US" w:eastAsia="zh-CN"/>
              </w:rPr>
              <w:t>4）</w:t>
            </w:r>
            <w:r>
              <w:rPr>
                <w:rFonts w:hint="eastAsia" w:ascii="仿宋" w:hAnsi="仿宋" w:eastAsia="仿宋" w:cs="仿宋"/>
                <w:sz w:val="22"/>
                <w:szCs w:val="22"/>
              </w:rPr>
              <w:t>数据安全服务能力评定认证</w:t>
            </w:r>
            <w:r>
              <w:rPr>
                <w:rFonts w:hint="eastAsia" w:ascii="仿宋" w:hAnsi="仿宋" w:eastAsia="仿宋" w:cs="仿宋"/>
                <w:sz w:val="22"/>
                <w:szCs w:val="22"/>
                <w:lang w:val="en-US" w:eastAsia="zh-CN"/>
              </w:rPr>
              <w:t>或</w:t>
            </w:r>
            <w:r>
              <w:rPr>
                <w:rFonts w:hint="eastAsia" w:ascii="仿宋" w:hAnsi="仿宋" w:eastAsia="仿宋" w:cs="仿宋"/>
                <w:snapToGrid w:val="0"/>
                <w:color w:val="000000"/>
                <w:sz w:val="22"/>
                <w:szCs w:val="22"/>
                <w:lang w:val="en-US" w:eastAsia="zh-CN" w:bidi="ar-SA"/>
              </w:rPr>
              <w:t>网络安全能力认证</w:t>
            </w:r>
            <w:r>
              <w:rPr>
                <w:rFonts w:hint="eastAsia" w:ascii="仿宋" w:hAnsi="仿宋" w:eastAsia="仿宋" w:cs="仿宋"/>
                <w:sz w:val="22"/>
                <w:szCs w:val="22"/>
              </w:rPr>
              <w:t>。</w:t>
            </w:r>
          </w:p>
          <w:p w14:paraId="1E7B12CB">
            <w:pPr>
              <w:pStyle w:val="7"/>
              <w:ind w:firstLine="0"/>
              <w:rPr>
                <w:rFonts w:hint="eastAsia" w:ascii="仿宋" w:hAnsi="仿宋" w:eastAsia="仿宋"/>
                <w:sz w:val="22"/>
                <w:szCs w:val="22"/>
              </w:rPr>
            </w:pPr>
            <w:r>
              <w:rPr>
                <w:rFonts w:hint="eastAsia" w:ascii="仿宋" w:hAnsi="仿宋" w:eastAsia="仿宋"/>
                <w:sz w:val="22"/>
                <w:szCs w:val="22"/>
                <w:lang w:eastAsia="zh-CN"/>
              </w:rPr>
              <w:t>2.</w:t>
            </w:r>
            <w:r>
              <w:rPr>
                <w:rFonts w:hint="eastAsia" w:ascii="仿宋" w:hAnsi="仿宋" w:eastAsia="仿宋"/>
                <w:sz w:val="22"/>
                <w:szCs w:val="22"/>
                <w:lang w:val="en-US" w:eastAsia="zh-CN"/>
              </w:rPr>
              <w:t>渗透和CTF</w:t>
            </w:r>
            <w:r>
              <w:rPr>
                <w:rFonts w:hint="eastAsia" w:ascii="仿宋" w:hAnsi="仿宋" w:eastAsia="仿宋"/>
                <w:sz w:val="22"/>
                <w:szCs w:val="22"/>
              </w:rPr>
              <w:t>授课人员应具有</w:t>
            </w:r>
            <w:r>
              <w:rPr>
                <w:rFonts w:hint="eastAsia" w:ascii="仿宋" w:hAnsi="仿宋" w:eastAsia="仿宋"/>
                <w:sz w:val="22"/>
                <w:szCs w:val="22"/>
                <w:lang w:eastAsia="zh-CN"/>
              </w:rPr>
              <w:t>包括</w:t>
            </w:r>
            <w:r>
              <w:rPr>
                <w:rFonts w:hint="eastAsia" w:ascii="仿宋" w:hAnsi="仿宋" w:eastAsia="仿宋"/>
                <w:sz w:val="22"/>
                <w:szCs w:val="22"/>
              </w:rPr>
              <w:t>但不限于以下资质：</w:t>
            </w:r>
          </w:p>
          <w:p w14:paraId="28990F5D">
            <w:pPr>
              <w:pStyle w:val="7"/>
              <w:ind w:firstLine="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1）渗透人员需为CISP-PTE注册信息安全专业人员，具备国内CTF或攻防赛事个人能力获奖经验。</w:t>
            </w:r>
          </w:p>
          <w:p w14:paraId="0896E0D1">
            <w:pPr>
              <w:rPr>
                <w:rFonts w:hint="eastAsia" w:ascii="仿宋" w:hAnsi="仿宋" w:eastAsia="仿宋" w:cs="仿宋"/>
                <w:snapToGrid w:val="0"/>
                <w:color w:val="000000"/>
                <w:sz w:val="22"/>
                <w:szCs w:val="22"/>
                <w:lang w:val="en-US" w:eastAsia="zh-CN" w:bidi="ar-SA"/>
              </w:rPr>
            </w:pPr>
            <w:r>
              <w:rPr>
                <w:rFonts w:hint="eastAsia" w:ascii="仿宋" w:hAnsi="仿宋" w:cs="仿宋"/>
                <w:snapToGrid w:val="0"/>
                <w:color w:val="000000"/>
                <w:sz w:val="22"/>
                <w:szCs w:val="22"/>
                <w:lang w:val="en-US" w:eastAsia="zh-CN" w:bidi="ar-SA"/>
              </w:rPr>
              <w:t>2）</w:t>
            </w:r>
            <w:r>
              <w:rPr>
                <w:rFonts w:hint="eastAsia" w:ascii="仿宋" w:hAnsi="仿宋" w:eastAsia="仿宋" w:cs="仿宋"/>
                <w:snapToGrid w:val="0"/>
                <w:color w:val="000000"/>
                <w:sz w:val="22"/>
                <w:szCs w:val="22"/>
                <w:lang w:val="en-US" w:eastAsia="zh-CN" w:bidi="ar-SA"/>
              </w:rPr>
              <w:t>培训讲师需为中级及以上网络安全等级测评师，具有以下至少1项认证：CISSP（注册信息安全师）、CISI注册信息安全讲师等。</w:t>
            </w:r>
          </w:p>
          <w:p w14:paraId="5E1E1B5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ascii="仿宋" w:hAnsi="仿宋" w:eastAsia="仿宋" w:cs="仿宋"/>
                <w:sz w:val="22"/>
                <w:szCs w:val="22"/>
              </w:rPr>
              <w:t>注：以上证书</w:t>
            </w:r>
            <w:r>
              <w:rPr>
                <w:rFonts w:hint="eastAsia" w:ascii="仿宋" w:hAnsi="仿宋" w:eastAsia="仿宋" w:cs="仿宋"/>
                <w:sz w:val="22"/>
                <w:szCs w:val="22"/>
              </w:rPr>
              <w:t>或证明</w:t>
            </w:r>
            <w:r>
              <w:rPr>
                <w:rFonts w:ascii="仿宋" w:hAnsi="仿宋" w:eastAsia="仿宋" w:cs="仿宋"/>
                <w:sz w:val="22"/>
                <w:szCs w:val="22"/>
              </w:rPr>
              <w:t>须提供扫描件或复印件。</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557951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5" w:type="dxa"/>
            <w:tcBorders>
              <w:left w:val="single" w:color="auto" w:sz="4" w:space="0"/>
              <w:right w:val="single" w:color="auto" w:sz="4" w:space="0"/>
            </w:tcBorders>
            <w:noWrap w:val="0"/>
            <w:vAlign w:val="center"/>
          </w:tcPr>
          <w:p w14:paraId="451E0D9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775C04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1230F4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5CC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036A1121">
            <w:pPr>
              <w:pStyle w:val="21"/>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FED8503">
            <w:pPr>
              <w:pStyle w:val="21"/>
              <w:widowControl/>
              <w:kinsoku w:val="0"/>
              <w:overflowPunct w:val="0"/>
              <w:spacing w:line="400" w:lineRule="exact"/>
              <w:jc w:val="center"/>
              <w:rPr>
                <w:rFonts w:hint="default" w:ascii="仿宋" w:hAnsi="仿宋" w:eastAsia="仿宋" w:cs="宋体"/>
                <w:sz w:val="22"/>
                <w:szCs w:val="22"/>
                <w:lang w:val="en-US" w:eastAsia="zh-CN" w:bidi="ar"/>
              </w:rPr>
            </w:pPr>
            <w:r>
              <w:rPr>
                <w:rFonts w:hint="eastAsia" w:ascii="仿宋" w:hAnsi="仿宋" w:eastAsia="仿宋" w:cs="宋体"/>
                <w:sz w:val="22"/>
                <w:szCs w:val="22"/>
                <w:lang w:val="en-US" w:eastAsia="zh-CN" w:bidi="ar"/>
              </w:rPr>
              <w:t>服务周期</w:t>
            </w:r>
          </w:p>
        </w:tc>
        <w:tc>
          <w:tcPr>
            <w:tcW w:w="4604" w:type="dxa"/>
            <w:tcBorders>
              <w:top w:val="single" w:color="auto" w:sz="4" w:space="0"/>
              <w:left w:val="single" w:color="auto" w:sz="4" w:space="0"/>
              <w:bottom w:val="single" w:color="auto" w:sz="4" w:space="0"/>
              <w:right w:val="single" w:color="auto" w:sz="4" w:space="0"/>
            </w:tcBorders>
            <w:noWrap w:val="0"/>
            <w:vAlign w:val="center"/>
          </w:tcPr>
          <w:p w14:paraId="6F2B89D2">
            <w:pPr>
              <w:pStyle w:val="21"/>
              <w:widowControl/>
              <w:kinsoku w:val="0"/>
              <w:overflowPunct w:val="0"/>
              <w:spacing w:line="400" w:lineRule="exact"/>
              <w:jc w:val="center"/>
              <w:rPr>
                <w:rFonts w:ascii="仿宋" w:hAnsi="仿宋" w:eastAsia="仿宋" w:cs="仿宋"/>
                <w:sz w:val="22"/>
                <w:szCs w:val="22"/>
              </w:rPr>
            </w:pPr>
            <w:r>
              <w:rPr>
                <w:rFonts w:hint="eastAsia" w:ascii="仿宋" w:hAnsi="仿宋" w:eastAsia="仿宋" w:cs="仿宋"/>
                <w:sz w:val="22"/>
                <w:szCs w:val="22"/>
                <w:lang w:val="en-US" w:eastAsia="zh-CN"/>
              </w:rPr>
              <w:t>服务期</w:t>
            </w:r>
            <w:r>
              <w:rPr>
                <w:rFonts w:hint="eastAsia" w:ascii="仿宋" w:hAnsi="仿宋" w:eastAsia="仿宋" w:cs="仿宋"/>
                <w:sz w:val="22"/>
                <w:szCs w:val="22"/>
              </w:rPr>
              <w:t>为一年</w:t>
            </w:r>
            <w:r>
              <w:rPr>
                <w:rFonts w:hint="eastAsia" w:ascii="仿宋" w:hAnsi="仿宋" w:eastAsia="仿宋" w:cs="仿宋"/>
                <w:sz w:val="22"/>
                <w:szCs w:val="22"/>
                <w:lang w:eastAsia="zh-CN"/>
              </w:rPr>
              <w:t>，</w:t>
            </w:r>
            <w:r>
              <w:rPr>
                <w:rFonts w:hint="eastAsia" w:ascii="仿宋" w:hAnsi="仿宋" w:eastAsia="仿宋" w:cs="仿宋"/>
                <w:sz w:val="22"/>
                <w:szCs w:val="22"/>
              </w:rPr>
              <w:t>合同一年一签，年度考核合格</w:t>
            </w:r>
            <w:r>
              <w:rPr>
                <w:rFonts w:hint="eastAsia" w:ascii="仿宋" w:hAnsi="仿宋" w:eastAsia="仿宋" w:cs="仿宋"/>
                <w:sz w:val="22"/>
                <w:szCs w:val="22"/>
                <w:lang w:val="en-US" w:eastAsia="zh-CN"/>
              </w:rPr>
              <w:t>后</w:t>
            </w:r>
            <w:r>
              <w:rPr>
                <w:rFonts w:hint="eastAsia" w:ascii="仿宋" w:hAnsi="仿宋" w:eastAsia="仿宋" w:cs="仿宋"/>
                <w:sz w:val="22"/>
                <w:szCs w:val="22"/>
              </w:rPr>
              <w:t>，可续签下一年合同，最多可续签两次</w:t>
            </w:r>
            <w:r>
              <w:rPr>
                <w:rFonts w:hint="eastAsia" w:ascii="仿宋" w:hAnsi="仿宋" w:eastAsia="仿宋" w:cs="仿宋"/>
                <w:sz w:val="22"/>
                <w:szCs w:val="22"/>
                <w:lang w:eastAsia="zh-CN"/>
              </w:rPr>
              <w:t>。</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CCFF46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45" w:type="dxa"/>
            <w:tcBorders>
              <w:left w:val="single" w:color="auto" w:sz="4" w:space="0"/>
              <w:right w:val="single" w:color="auto" w:sz="4" w:space="0"/>
            </w:tcBorders>
            <w:noWrap w:val="0"/>
            <w:vAlign w:val="center"/>
          </w:tcPr>
          <w:p w14:paraId="7A60CBF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8AE558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B4A889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bl>
    <w:p w14:paraId="0F762757">
      <w:pPr>
        <w:spacing w:line="320" w:lineRule="exact"/>
        <w:rPr>
          <w:rFonts w:hint="eastAsia" w:ascii="仿宋" w:hAnsi="仿宋" w:eastAsia="仿宋"/>
          <w:b/>
          <w:szCs w:val="21"/>
        </w:rPr>
      </w:pPr>
    </w:p>
    <w:p w14:paraId="3EFCBB8A">
      <w:pPr>
        <w:spacing w:line="280" w:lineRule="exact"/>
        <w:rPr>
          <w:rFonts w:hint="default" w:ascii="仿宋" w:hAnsi="仿宋" w:eastAsia="仿宋"/>
          <w:b/>
          <w:bCs/>
          <w:szCs w:val="21"/>
          <w:lang w:val="en-US" w:eastAsia="zh-CN"/>
        </w:rPr>
      </w:pPr>
      <w:bookmarkStart w:id="0" w:name="_GoBack"/>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25DC9"/>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4F1794E"/>
    <w:rsid w:val="25052E0F"/>
    <w:rsid w:val="25552E7D"/>
    <w:rsid w:val="25720D38"/>
    <w:rsid w:val="25CB2A80"/>
    <w:rsid w:val="25E05DF6"/>
    <w:rsid w:val="263225F6"/>
    <w:rsid w:val="264C3185"/>
    <w:rsid w:val="270F167F"/>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7CE5D81"/>
    <w:rsid w:val="480F1E94"/>
    <w:rsid w:val="482F7F71"/>
    <w:rsid w:val="48AA70D7"/>
    <w:rsid w:val="48C0669E"/>
    <w:rsid w:val="48D611CF"/>
    <w:rsid w:val="48D85FE9"/>
    <w:rsid w:val="48DB6BC0"/>
    <w:rsid w:val="48E94455"/>
    <w:rsid w:val="49330904"/>
    <w:rsid w:val="49551A36"/>
    <w:rsid w:val="49793828"/>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4D301C4"/>
    <w:rsid w:val="65351D88"/>
    <w:rsid w:val="653D28FB"/>
    <w:rsid w:val="653F0AED"/>
    <w:rsid w:val="65483BE2"/>
    <w:rsid w:val="65BB2EF6"/>
    <w:rsid w:val="65D82B19"/>
    <w:rsid w:val="65E7565B"/>
    <w:rsid w:val="65F32E35"/>
    <w:rsid w:val="666E3111"/>
    <w:rsid w:val="667F07D7"/>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7C24AE"/>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595A97"/>
    <w:rsid w:val="7BDD0B1E"/>
    <w:rsid w:val="7C366122"/>
    <w:rsid w:val="7C693CA2"/>
    <w:rsid w:val="7C7062B2"/>
    <w:rsid w:val="7CF51919"/>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Normal Indent"/>
    <w:basedOn w:val="1"/>
    <w:autoRedefine/>
    <w:qFormat/>
    <w:uiPriority w:val="0"/>
    <w:pPr>
      <w:ind w:firstLine="420"/>
    </w:pPr>
    <w:rPr>
      <w:rFonts w:ascii="Calibri" w:hAnsi="Calibri" w:eastAsia="宋体" w:cs="Times New Roman"/>
    </w:rPr>
  </w:style>
  <w:style w:type="paragraph" w:styleId="8">
    <w:name w:val="Body Text 3"/>
    <w:basedOn w:val="1"/>
    <w:unhideWhenUsed/>
    <w:qFormat/>
    <w:uiPriority w:val="99"/>
    <w:pPr>
      <w:spacing w:after="120"/>
    </w:pPr>
    <w:rPr>
      <w:rFonts w:ascii="Calibri" w:hAnsi="Calibri"/>
      <w:sz w:val="16"/>
      <w:szCs w:val="16"/>
      <w:lang w:val="zh-CN"/>
    </w:rPr>
  </w:style>
  <w:style w:type="paragraph" w:styleId="9">
    <w:name w:val="Body Text Indent"/>
    <w:basedOn w:val="1"/>
    <w:semiHidden/>
    <w:unhideWhenUsed/>
    <w:qFormat/>
    <w:uiPriority w:val="99"/>
    <w:pPr>
      <w:spacing w:after="120"/>
      <w:ind w:left="420" w:leftChars="200"/>
    </w:pPr>
  </w:style>
  <w:style w:type="paragraph" w:styleId="10">
    <w:name w:val="footer"/>
    <w:basedOn w:val="1"/>
    <w:link w:val="18"/>
    <w:autoRedefine/>
    <w:unhideWhenUsed/>
    <w:qFormat/>
    <w:uiPriority w:val="99"/>
    <w:pPr>
      <w:tabs>
        <w:tab w:val="center" w:pos="4153"/>
        <w:tab w:val="right" w:pos="8306"/>
      </w:tabs>
      <w:snapToGrid w:val="0"/>
      <w:jc w:val="left"/>
    </w:pPr>
    <w:rPr>
      <w:sz w:val="18"/>
      <w:szCs w:val="18"/>
    </w:rPr>
  </w:style>
  <w:style w:type="paragraph" w:styleId="11">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2"/>
    <w:basedOn w:val="9"/>
    <w:qFormat/>
    <w:uiPriority w:val="0"/>
    <w:pPr>
      <w:ind w:firstLine="420" w:firstLineChars="200"/>
    </w:pPr>
  </w:style>
  <w:style w:type="table" w:styleId="15">
    <w:name w:val="Table Grid"/>
    <w:basedOn w:val="1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页眉 Char"/>
    <w:basedOn w:val="16"/>
    <w:link w:val="11"/>
    <w:autoRedefine/>
    <w:semiHidden/>
    <w:qFormat/>
    <w:uiPriority w:val="99"/>
    <w:rPr>
      <w:sz w:val="18"/>
      <w:szCs w:val="18"/>
    </w:rPr>
  </w:style>
  <w:style w:type="character" w:customStyle="1" w:styleId="18">
    <w:name w:val="页脚 Char"/>
    <w:basedOn w:val="16"/>
    <w:link w:val="10"/>
    <w:autoRedefine/>
    <w:qFormat/>
    <w:uiPriority w:val="99"/>
    <w:rPr>
      <w:sz w:val="18"/>
      <w:szCs w:val="18"/>
    </w:rPr>
  </w:style>
  <w:style w:type="paragraph" w:customStyle="1" w:styleId="19">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0">
    <w:name w:val="NormalCharacter"/>
    <w:autoRedefine/>
    <w:qFormat/>
    <w:uiPriority w:val="0"/>
  </w:style>
  <w:style w:type="paragraph" w:customStyle="1" w:styleId="21">
    <w:name w:val="Table Paragraph"/>
    <w:basedOn w:val="1"/>
    <w:autoRedefine/>
    <w:qFormat/>
    <w:uiPriority w:val="1"/>
    <w:rPr>
      <w:rFonts w:ascii="Times New Roman" w:hAnsi="Times New Roman" w:eastAsia="宋体" w:cs="Times New Roman"/>
      <w:sz w:val="24"/>
      <w:szCs w:val="20"/>
    </w:rPr>
  </w:style>
  <w:style w:type="paragraph" w:customStyle="1" w:styleId="22">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3">
    <w:name w:val="List Paragraph"/>
    <w:basedOn w:val="1"/>
    <w:autoRedefine/>
    <w:qFormat/>
    <w:uiPriority w:val="34"/>
    <w:pPr>
      <w:ind w:firstLine="420" w:firstLineChars="200"/>
    </w:pPr>
  </w:style>
  <w:style w:type="character" w:customStyle="1" w:styleId="24">
    <w:name w:val="font11"/>
    <w:basedOn w:val="16"/>
    <w:qFormat/>
    <w:uiPriority w:val="0"/>
    <w:rPr>
      <w:rFonts w:hint="eastAsia" w:ascii="宋体" w:hAnsi="宋体" w:eastAsia="宋体" w:cs="宋体"/>
      <w:color w:val="000000"/>
      <w:sz w:val="21"/>
      <w:szCs w:val="21"/>
      <w:u w:val="none"/>
    </w:rPr>
  </w:style>
  <w:style w:type="character" w:customStyle="1" w:styleId="25">
    <w:name w:val="font21"/>
    <w:basedOn w:val="16"/>
    <w:qFormat/>
    <w:uiPriority w:val="0"/>
    <w:rPr>
      <w:rFonts w:hint="eastAsia" w:ascii="宋体" w:hAnsi="宋体" w:eastAsia="宋体" w:cs="宋体"/>
      <w:strike/>
      <w:color w:val="000000"/>
      <w:sz w:val="21"/>
      <w:szCs w:val="21"/>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 w:type="paragraph" w:customStyle="1" w:styleId="2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1925</Words>
  <Characters>2154</Characters>
  <Lines>6</Lines>
  <Paragraphs>1</Paragraphs>
  <TotalTime>0</TotalTime>
  <ScaleCrop>false</ScaleCrop>
  <LinksUpToDate>false</LinksUpToDate>
  <CharactersWithSpaces>2260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2026-03-04T09:40:51Z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