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附件：拟购六安市中医院VTE防治管理系统项目初步参数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第二次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20"/>
          <w:rFonts w:hint="eastAsia" w:ascii="仿宋" w:hAnsi="仿宋" w:eastAsia="仿宋" w:cs="仿宋"/>
          <w:b w:val="0"/>
          <w:bCs/>
          <w:color w:val="auto"/>
          <w:sz w:val="21"/>
          <w:szCs w:val="21"/>
          <w:lang w:eastAsia="zh-CN"/>
        </w:rPr>
        <w:t>具备</w:t>
      </w:r>
      <w:r>
        <w:rPr>
          <w:rStyle w:val="2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0"/>
          <w:rFonts w:hint="eastAsia" w:ascii="仿宋" w:hAnsi="仿宋" w:eastAsia="仿宋" w:cs="仿宋"/>
          <w:b/>
          <w:bCs w:val="0"/>
          <w:color w:val="auto"/>
          <w:sz w:val="21"/>
          <w:szCs w:val="21"/>
          <w:lang w:eastAsia="zh-CN"/>
        </w:rPr>
        <w:t>或具备</w:t>
      </w:r>
      <w:r>
        <w:rPr>
          <w:rStyle w:val="20"/>
          <w:rFonts w:hint="eastAsia" w:ascii="仿宋" w:hAnsi="仿宋" w:eastAsia="仿宋" w:cs="仿宋"/>
          <w:b/>
          <w:bCs w:val="0"/>
          <w:color w:val="auto"/>
          <w:sz w:val="21"/>
          <w:szCs w:val="21"/>
          <w:lang w:val="en-US" w:eastAsia="zh-CN"/>
        </w:rPr>
        <w:t>CMA【或CNAS】资质检测机构）</w:t>
      </w:r>
      <w:r>
        <w:rPr>
          <w:rStyle w:val="20"/>
          <w:rFonts w:hint="eastAsia" w:ascii="仿宋" w:hAnsi="仿宋" w:eastAsia="仿宋" w:cs="仿宋"/>
          <w:b w:val="0"/>
          <w:bCs/>
          <w:color w:val="auto"/>
          <w:sz w:val="21"/>
          <w:szCs w:val="21"/>
          <w:lang w:val="en-US" w:eastAsia="zh-CN"/>
        </w:rPr>
        <w:t>出具的</w:t>
      </w:r>
      <w:r>
        <w:rPr>
          <w:rStyle w:val="20"/>
          <w:rFonts w:hint="eastAsia" w:ascii="仿宋" w:hAnsi="仿宋" w:eastAsia="仿宋" w:cs="仿宋"/>
          <w:b w:val="0"/>
          <w:bCs/>
          <w:color w:val="auto"/>
          <w:sz w:val="21"/>
          <w:szCs w:val="21"/>
        </w:rPr>
        <w:t>质检报告原件扫描件</w:t>
      </w:r>
      <w:r>
        <w:rPr>
          <w:rStyle w:val="2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0"/>
          <w:rFonts w:hint="eastAsia" w:ascii="仿宋" w:hAnsi="仿宋" w:eastAsia="仿宋" w:cs="仿宋"/>
          <w:b w:val="0"/>
          <w:bCs/>
          <w:color w:val="auto"/>
          <w:sz w:val="21"/>
          <w:szCs w:val="21"/>
        </w:rPr>
        <w:t>食药监局</w:t>
      </w:r>
      <w:r>
        <w:rPr>
          <w:rStyle w:val="20"/>
          <w:rFonts w:hint="eastAsia" w:ascii="仿宋" w:hAnsi="仿宋" w:eastAsia="仿宋" w:cs="仿宋"/>
          <w:b w:val="0"/>
          <w:bCs/>
          <w:color w:val="auto"/>
          <w:sz w:val="21"/>
          <w:szCs w:val="21"/>
          <w:lang w:eastAsia="zh-CN"/>
        </w:rPr>
        <w:t>或</w:t>
      </w:r>
      <w:r>
        <w:rPr>
          <w:rStyle w:val="20"/>
          <w:rFonts w:hint="eastAsia" w:ascii="仿宋" w:hAnsi="仿宋" w:eastAsia="仿宋" w:cs="仿宋"/>
          <w:b w:val="0"/>
          <w:bCs/>
          <w:color w:val="auto"/>
          <w:sz w:val="21"/>
          <w:szCs w:val="21"/>
        </w:rPr>
        <w:t>其下属单位</w:t>
      </w:r>
      <w:r>
        <w:rPr>
          <w:rStyle w:val="20"/>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28A5FB">
      <w:pPr>
        <w:spacing w:line="320" w:lineRule="exact"/>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建设目标：</w:t>
      </w:r>
    </w:p>
    <w:p w14:paraId="69E44DF1">
      <w:pPr>
        <w:pStyle w:val="4"/>
        <w:ind w:firstLine="420" w:firstLineChars="200"/>
        <w:rPr>
          <w:rFonts w:hint="eastAsia" w:ascii="仿宋" w:hAnsi="仿宋" w:eastAsia="仿宋"/>
          <w:b/>
          <w:szCs w:val="21"/>
          <w:lang w:val="en-US" w:eastAsia="zh-CN"/>
        </w:rPr>
      </w:pPr>
      <w:r>
        <w:rPr>
          <w:rFonts w:hint="eastAsia" w:ascii="仿宋" w:hAnsi="仿宋" w:eastAsia="仿宋" w:cstheme="minorBidi"/>
          <w:kern w:val="2"/>
          <w:sz w:val="21"/>
          <w:szCs w:val="21"/>
          <w:lang w:val="en-US" w:eastAsia="zh-CN" w:bidi="ar-SA"/>
        </w:rPr>
        <w:t>为进一步提升医疗服务品质，改善患者就医体验，推进智慧医院建设进程，我院计划对现有3栋楼宇的病区进行无线互联网覆盖，现面向社会公开征集无线互联网覆盖建设方案，邀请各潜在供应商对建设方案进行现场介绍。要求：医院无线外网建设需与院内在用无线内网互不干扰，并具备一定的网络安全防护能力，支持认证访问，入侵检测和防御、上网行为管理等功能，确保医院内网数据安全及用户上网合规。</w:t>
      </w:r>
    </w:p>
    <w:p w14:paraId="2C0E6202">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p w14:paraId="08CCF85C">
      <w:pPr>
        <w:spacing w:line="320" w:lineRule="exact"/>
        <w:rPr>
          <w:rFonts w:hint="eastAsia" w:ascii="仿宋" w:hAnsi="仿宋" w:eastAsia="仿宋"/>
          <w:b/>
          <w:szCs w:val="21"/>
        </w:rPr>
      </w:pPr>
    </w:p>
    <w:p w14:paraId="0F946155">
      <w:pPr>
        <w:pStyle w:val="5"/>
        <w:widowControl/>
        <w:numPr>
          <w:ilvl w:val="0"/>
          <w:numId w:val="0"/>
        </w:numPr>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一、项目建设目标</w:t>
      </w:r>
    </w:p>
    <w:p w14:paraId="5AC5E438">
      <w:pPr>
        <w:pStyle w:val="5"/>
        <w:widowControl/>
        <w:numPr>
          <w:ilvl w:val="0"/>
          <w:numId w:val="0"/>
        </w:numPr>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静脉血栓栓塞症(VTE)包括深静脉血栓形成(DVT)和肺血栓栓塞症(PTE)，已构成医疗质量和安全的潜在风险，成为临床医务人员和医院管理者面临的严峻问题。临床上诸多科室的患者均存在VTE风险，其发病隐匿、临床症状不典型，容易误诊、漏诊，一旦发生致死率和致残率高。建设VTE防治管理项目，以提升我院肺栓塞和深静脉血栓形成防治能力建设信息化应用与质控管理水平,助力规范预防、诊断与治疗，显著降低VTE发生率、病死率。</w:t>
      </w:r>
    </w:p>
    <w:p w14:paraId="4ACFF16C">
      <w:pPr>
        <w:pStyle w:val="5"/>
        <w:widowControl/>
        <w:numPr>
          <w:ilvl w:val="0"/>
          <w:numId w:val="0"/>
        </w:numPr>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2.本项目为VTE智能防治质控系统。</w:t>
      </w:r>
    </w:p>
    <w:p w14:paraId="07D02CC5">
      <w:pPr>
        <w:pStyle w:val="5"/>
        <w:widowControl/>
        <w:numPr>
          <w:ilvl w:val="0"/>
          <w:numId w:val="0"/>
        </w:numPr>
        <w:jc w:val="left"/>
        <w:outlineLvl w:val="0"/>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二、技术和服务要求</w:t>
      </w:r>
    </w:p>
    <w:p w14:paraId="43E9569A">
      <w:pPr>
        <w:pStyle w:val="27"/>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（一）系统技术规格基本要求</w:t>
      </w:r>
    </w:p>
    <w:p w14:paraId="741AF742">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1.接口要求</w:t>
      </w:r>
    </w:p>
    <w:p w14:paraId="4868A46E">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（1）符合《电子病历系统应用水平分级评价管理办法（试行）及评价标准（试行）》；</w:t>
      </w:r>
    </w:p>
    <w:p w14:paraId="653854B4">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（2）能够与医院住院电子病历对接，获取电子病历中的数据内容，包括但不限于主诉、现病史、既往史等信息。</w:t>
      </w:r>
    </w:p>
    <w:p w14:paraId="112CB3AF">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（3）能够与医院集成平台对接，获取集成平台中的数据内容，包括但不限于患者检验结果、检查报告、医嘱内容等；</w:t>
      </w:r>
    </w:p>
    <w:p w14:paraId="73BD9A7C">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（4）能够与医院医嘱对接，获取医嘱信息，包括但不限于药品、检验、检查、手术医嘱；</w:t>
      </w:r>
    </w:p>
    <w:p w14:paraId="6B4E694D">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（5）满足院内信息系统互联互通需求，并同时满足《国家医疗健康信息区域卫生(医院)信息互联互通标准化成熟度测评方案(2020年版)》四级甲等建设；</w:t>
      </w:r>
    </w:p>
    <w:p w14:paraId="2AD1C47A">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2.数据格式化要求：不需要电子病历实现结构化录入，可以从非结构化电子病历内容中，通过机器学习，自动抽取结构化信息。</w:t>
      </w:r>
    </w:p>
    <w:p w14:paraId="32AB6C1C">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3.终端用户操作性能指标：软件系统要体现易于理解掌握、操作简单、提示清晰、逻辑性强，直观简洁、帮助信息丰富等特点，保证操作人员以最快速度和最少的击键次数完成工作。</w:t>
      </w:r>
    </w:p>
    <w:p w14:paraId="7709AE81">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4.其他要求：项目需满足信息技术应用创新符合性要求。</w:t>
      </w:r>
    </w:p>
    <w:p w14:paraId="09E381AB">
      <w:pPr>
        <w:pStyle w:val="5"/>
        <w:widowControl/>
        <w:numPr>
          <w:ilvl w:val="0"/>
          <w:numId w:val="0"/>
        </w:numPr>
        <w:ind w:firstLine="420" w:firstLineChars="2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（1）满足质量管理、数据统计自动化建设；</w:t>
      </w:r>
    </w:p>
    <w:p w14:paraId="744E8A28">
      <w:pPr>
        <w:pStyle w:val="5"/>
        <w:widowControl/>
        <w:numPr>
          <w:ilvl w:val="0"/>
          <w:numId w:val="0"/>
        </w:numPr>
        <w:ind w:firstLine="420" w:firstLineChars="2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（2）支持国产信息系统适配，支持满足国家信息技术应用创新测试的操作系统和数据库等软件环境部署；</w:t>
      </w:r>
    </w:p>
    <w:p w14:paraId="3A501486">
      <w:pPr>
        <w:pStyle w:val="5"/>
        <w:widowControl/>
        <w:numPr>
          <w:ilvl w:val="0"/>
          <w:numId w:val="0"/>
        </w:numPr>
        <w:ind w:firstLine="420" w:firstLineChars="2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（3）需免费配合我院后期密评工作；</w:t>
      </w:r>
    </w:p>
    <w:p w14:paraId="3D101149">
      <w:pPr>
        <w:pStyle w:val="5"/>
        <w:widowControl/>
        <w:numPr>
          <w:ilvl w:val="0"/>
          <w:numId w:val="0"/>
        </w:numPr>
        <w:ind w:firstLine="420" w:firstLineChars="200"/>
        <w:jc w:val="left"/>
        <w:outlineLvl w:val="0"/>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三、行业政策要求</w:t>
      </w:r>
    </w:p>
    <w:p w14:paraId="304457D2">
      <w:pPr>
        <w:widowControl/>
        <w:ind w:firstLine="420" w:firstLineChars="200"/>
        <w:jc w:val="left"/>
        <w:outlineLvl w:val="0"/>
        <w:rPr>
          <w:rFonts w:hint="eastAsia" w:ascii="仿宋" w:hAnsi="仿宋" w:eastAsia="仿宋" w:cs="Times New Roman"/>
          <w:bCs/>
          <w:strike w:val="0"/>
          <w:kern w:val="2"/>
          <w:sz w:val="21"/>
          <w:szCs w:val="21"/>
          <w:highlight w:val="none"/>
          <w:lang w:val="en-US" w:eastAsia="zh-CN" w:bidi="ar-SA"/>
        </w:rPr>
      </w:pPr>
      <w:r>
        <w:rPr>
          <w:rFonts w:hint="eastAsia" w:ascii="仿宋" w:hAnsi="仿宋" w:eastAsia="仿宋" w:cs="Times New Roman"/>
          <w:bCs/>
          <w:kern w:val="2"/>
          <w:sz w:val="21"/>
          <w:szCs w:val="21"/>
          <w:highlight w:val="yellow"/>
          <w:lang w:val="en-US" w:eastAsia="zh-CN" w:bidi="ar-SA"/>
        </w:rPr>
        <w:t>1.符合《全国医院信息化建设标准与规范（试行）》；</w:t>
      </w:r>
      <w:r>
        <w:rPr>
          <w:rFonts w:hint="eastAsia" w:ascii="仿宋" w:hAnsi="仿宋" w:eastAsia="仿宋" w:cs="Times New Roman"/>
          <w:bCs/>
          <w:kern w:val="2"/>
          <w:sz w:val="21"/>
          <w:szCs w:val="21"/>
          <w:highlight w:val="none"/>
          <w:lang w:val="en-US" w:eastAsia="zh-CN" w:bidi="ar-SA"/>
        </w:rPr>
        <w:t>满足《全国肺栓塞和深静脉血栓形成防治能力建设项目三级医院-静脉血栓防治中心建设标准及评分细则(2025版)》《医院内静脉血栓栓塞症防治质量评价与管理指南（2022版）》等相关文件的各项要求（以最新文件要求为准）。</w:t>
      </w:r>
    </w:p>
    <w:p w14:paraId="6699D6EE">
      <w:pPr>
        <w:pStyle w:val="5"/>
        <w:widowControl/>
        <w:numPr>
          <w:ilvl w:val="0"/>
          <w:numId w:val="0"/>
        </w:numPr>
        <w:ind w:firstLine="420" w:firstLineChars="2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2.需协助医院完成全国肺栓塞和深静脉血栓形成防治能力建设项目评审工作并达标。</w:t>
      </w:r>
    </w:p>
    <w:p w14:paraId="75664C6B">
      <w:pPr>
        <w:pStyle w:val="5"/>
        <w:widowControl/>
        <w:numPr>
          <w:ilvl w:val="0"/>
          <w:numId w:val="0"/>
        </w:numPr>
        <w:ind w:firstLine="210" w:firstLineChars="1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四、系统详细功能要求</w:t>
      </w:r>
    </w:p>
    <w:tbl>
      <w:tblPr>
        <w:tblStyle w:val="12"/>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61"/>
        <w:gridCol w:w="4400"/>
        <w:gridCol w:w="752"/>
        <w:gridCol w:w="978"/>
        <w:gridCol w:w="978"/>
        <w:gridCol w:w="995"/>
      </w:tblGrid>
      <w:tr w14:paraId="636B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87" w:type="dxa"/>
            <w:gridSpan w:val="4"/>
            <w:tcBorders>
              <w:top w:val="single" w:color="auto" w:sz="4" w:space="0"/>
              <w:left w:val="single" w:color="auto" w:sz="4" w:space="0"/>
              <w:bottom w:val="single" w:color="auto" w:sz="4" w:space="0"/>
              <w:right w:val="single" w:color="auto" w:sz="4" w:space="0"/>
            </w:tcBorders>
            <w:noWrap w:val="0"/>
            <w:vAlign w:val="center"/>
          </w:tcPr>
          <w:p w14:paraId="713ED59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本项目初步参数拟设置情况</w:t>
            </w:r>
          </w:p>
        </w:tc>
        <w:tc>
          <w:tcPr>
            <w:tcW w:w="978" w:type="dxa"/>
            <w:vMerge w:val="restart"/>
            <w:tcBorders>
              <w:top w:val="single" w:color="auto" w:sz="4" w:space="0"/>
              <w:left w:val="single" w:color="auto" w:sz="4" w:space="0"/>
              <w:right w:val="single" w:color="auto" w:sz="4" w:space="0"/>
            </w:tcBorders>
            <w:noWrap w:val="0"/>
            <w:vAlign w:val="center"/>
          </w:tcPr>
          <w:p w14:paraId="02E0D10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978" w:type="dxa"/>
            <w:vMerge w:val="restart"/>
            <w:tcBorders>
              <w:top w:val="single" w:color="auto" w:sz="4" w:space="0"/>
              <w:left w:val="single" w:color="auto" w:sz="4" w:space="0"/>
              <w:right w:val="single" w:color="auto" w:sz="4" w:space="0"/>
            </w:tcBorders>
            <w:noWrap w:val="0"/>
            <w:vAlign w:val="center"/>
          </w:tcPr>
          <w:p w14:paraId="141D4BC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建议修改指标</w:t>
            </w:r>
          </w:p>
        </w:tc>
        <w:tc>
          <w:tcPr>
            <w:tcW w:w="995" w:type="dxa"/>
            <w:vMerge w:val="restart"/>
            <w:tcBorders>
              <w:top w:val="single" w:color="auto" w:sz="4" w:space="0"/>
              <w:left w:val="single" w:color="auto" w:sz="4" w:space="0"/>
              <w:right w:val="single" w:color="auto" w:sz="4" w:space="0"/>
            </w:tcBorders>
            <w:noWrap w:val="0"/>
            <w:vAlign w:val="top"/>
          </w:tcPr>
          <w:p w14:paraId="535539D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备注（真实指标、是否独家、是否提供有效检测报告）</w:t>
            </w:r>
          </w:p>
        </w:tc>
      </w:tr>
      <w:tr w14:paraId="0955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524CA4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模块名称</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2569745">
            <w:pPr>
              <w:pStyle w:val="21"/>
              <w:widowControl/>
              <w:kinsoku w:val="0"/>
              <w:overflowPunct w:val="0"/>
              <w:spacing w:line="400" w:lineRule="exact"/>
              <w:jc w:val="center"/>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系统功能</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5EAE24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初步参数设置情况</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4C102F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是否设置为★</w:t>
            </w:r>
          </w:p>
        </w:tc>
        <w:tc>
          <w:tcPr>
            <w:tcW w:w="978" w:type="dxa"/>
            <w:vMerge w:val="continue"/>
            <w:tcBorders>
              <w:left w:val="single" w:color="auto" w:sz="4" w:space="0"/>
              <w:right w:val="single" w:color="auto" w:sz="4" w:space="0"/>
            </w:tcBorders>
            <w:noWrap w:val="0"/>
            <w:vAlign w:val="center"/>
          </w:tcPr>
          <w:p w14:paraId="0253ECF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vMerge w:val="continue"/>
            <w:tcBorders>
              <w:left w:val="single" w:color="auto" w:sz="4" w:space="0"/>
              <w:right w:val="single" w:color="auto" w:sz="4" w:space="0"/>
            </w:tcBorders>
            <w:noWrap w:val="0"/>
            <w:vAlign w:val="center"/>
          </w:tcPr>
          <w:p w14:paraId="1F4788C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vMerge w:val="continue"/>
            <w:tcBorders>
              <w:left w:val="single" w:color="auto" w:sz="4" w:space="0"/>
              <w:right w:val="single" w:color="auto" w:sz="4" w:space="0"/>
            </w:tcBorders>
            <w:noWrap w:val="0"/>
            <w:vAlign w:val="top"/>
          </w:tcPr>
          <w:p w14:paraId="40CD7E0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C78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restart"/>
            <w:tcBorders>
              <w:top w:val="single" w:color="auto" w:sz="4" w:space="0"/>
              <w:left w:val="single" w:color="auto" w:sz="4" w:space="0"/>
              <w:right w:val="single" w:color="auto" w:sz="4" w:space="0"/>
            </w:tcBorders>
            <w:noWrap w:val="0"/>
            <w:vAlign w:val="center"/>
          </w:tcPr>
          <w:p w14:paraId="2CDCB9AE">
            <w:pPr>
              <w:pStyle w:val="21"/>
              <w:widowControl/>
              <w:kinsoku w:val="0"/>
              <w:overflowPunct w:val="0"/>
              <w:spacing w:line="400" w:lineRule="exact"/>
              <w:rPr>
                <w:rFonts w:hint="eastAsia" w:ascii="宋体" w:hAnsi="宋体" w:cs="宋体"/>
                <w:color w:val="000000"/>
                <w:sz w:val="32"/>
                <w:szCs w:val="32"/>
              </w:rPr>
            </w:pPr>
          </w:p>
          <w:p w14:paraId="1506873E">
            <w:pPr>
              <w:pStyle w:val="21"/>
              <w:widowControl/>
              <w:numPr>
                <w:ilvl w:val="0"/>
                <w:numId w:val="0"/>
              </w:numPr>
              <w:kinsoku w:val="0"/>
              <w:overflowPunct w:val="0"/>
              <w:spacing w:line="400" w:lineRule="exact"/>
              <w:jc w:val="left"/>
              <w:rPr>
                <w:rFonts w:hint="eastAsia" w:ascii="仿宋" w:hAnsi="仿宋" w:eastAsia="仿宋" w:cs="Times New Roman"/>
                <w:bCs/>
                <w:kern w:val="2"/>
                <w:sz w:val="21"/>
                <w:szCs w:val="21"/>
                <w:lang w:val="en-US" w:eastAsia="zh-CN" w:bidi="ar-SA"/>
              </w:rPr>
            </w:pPr>
          </w:p>
          <w:p w14:paraId="22093E2F">
            <w:pPr>
              <w:pStyle w:val="21"/>
              <w:widowControl/>
              <w:numPr>
                <w:ilvl w:val="0"/>
                <w:numId w:val="0"/>
              </w:numPr>
              <w:kinsoku w:val="0"/>
              <w:overflowPunct w:val="0"/>
              <w:spacing w:line="400" w:lineRule="exact"/>
              <w:jc w:val="left"/>
              <w:rPr>
                <w:rFonts w:hint="eastAsia" w:ascii="宋体" w:hAnsi="宋体" w:cs="宋体"/>
                <w:color w:val="000000"/>
                <w:sz w:val="32"/>
                <w:szCs w:val="32"/>
              </w:rPr>
            </w:pPr>
            <w:r>
              <w:rPr>
                <w:rFonts w:hint="eastAsia" w:ascii="仿宋" w:hAnsi="仿宋" w:eastAsia="仿宋" w:cs="Times New Roman"/>
                <w:bCs/>
                <w:kern w:val="2"/>
                <w:sz w:val="21"/>
                <w:szCs w:val="21"/>
                <w:lang w:val="en-US" w:eastAsia="zh-CN" w:bidi="ar-SA"/>
              </w:rPr>
              <w:t>数据治理</w:t>
            </w:r>
          </w:p>
          <w:p w14:paraId="525BAF98">
            <w:pPr>
              <w:pStyle w:val="21"/>
              <w:widowControl/>
              <w:kinsoku w:val="0"/>
              <w:overflowPunct w:val="0"/>
              <w:spacing w:line="400" w:lineRule="exact"/>
              <w:rPr>
                <w:rFonts w:hint="eastAsia" w:ascii="宋体" w:hAnsi="宋体" w:cs="宋体"/>
                <w:color w:val="000000"/>
                <w:sz w:val="32"/>
                <w:szCs w:val="32"/>
              </w:rPr>
            </w:pPr>
          </w:p>
          <w:p w14:paraId="188E1544">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00E927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数据质量管理</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0765CFF">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w:t>
            </w:r>
            <w:r>
              <w:rPr>
                <w:rFonts w:hint="default" w:ascii="仿宋" w:hAnsi="仿宋" w:eastAsia="仿宋" w:cs="Times New Roman"/>
                <w:bCs/>
                <w:kern w:val="2"/>
                <w:sz w:val="21"/>
                <w:szCs w:val="21"/>
                <w:lang w:val="en-US" w:eastAsia="zh-CN" w:bidi="ar-SA"/>
              </w:rPr>
              <w:t>自动对病房医师、门诊医师、检查科室、检验处理等业务项目自动进行数据质量评分。评分维度包括数据质量评分、完整性、整合性。</w:t>
            </w:r>
          </w:p>
          <w:p w14:paraId="722361CC">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w:t>
            </w:r>
            <w:r>
              <w:rPr>
                <w:rFonts w:hint="default" w:ascii="仿宋" w:hAnsi="仿宋" w:eastAsia="仿宋" w:cs="Times New Roman"/>
                <w:bCs/>
                <w:kern w:val="2"/>
                <w:sz w:val="21"/>
                <w:szCs w:val="21"/>
                <w:lang w:val="en-US" w:eastAsia="zh-CN" w:bidi="ar-SA"/>
              </w:rPr>
              <w:t>对各个业务数据的编码对照率、字段有值率、字段关联率、时间顺序正确率进行自动统计。临床数据整合的完整性评价项目需达到电子病历五级标准规定的74项，需详细展示全部项目列表，其中每一个评价项目的完整记录、不完整记录、质量系数。可直接查看所有评价项目的sql配置。</w:t>
            </w:r>
          </w:p>
          <w:p w14:paraId="5A9F588E">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w:t>
            </w:r>
            <w:r>
              <w:rPr>
                <w:rFonts w:hint="default" w:ascii="仿宋" w:hAnsi="仿宋" w:eastAsia="仿宋" w:cs="Times New Roman"/>
                <w:bCs/>
                <w:kern w:val="2"/>
                <w:sz w:val="21"/>
                <w:szCs w:val="21"/>
                <w:lang w:val="en-US" w:eastAsia="zh-CN" w:bidi="ar-SA"/>
              </w:rPr>
              <w:t>对于不完整记录可下钻至记录明细，记录明细至少包含：角色、业务项目、评价标准、评价项目、未通过记录ID、患者标识。</w:t>
            </w:r>
          </w:p>
          <w:p w14:paraId="2D4F67AB">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4.支持评估人群自定义。</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358E28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E8F0AA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F85BC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6B2007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F86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74" w:type="dxa"/>
            <w:vMerge w:val="continue"/>
            <w:tcBorders>
              <w:left w:val="single" w:color="auto" w:sz="4" w:space="0"/>
              <w:right w:val="single" w:color="auto" w:sz="4" w:space="0"/>
            </w:tcBorders>
            <w:noWrap w:val="0"/>
            <w:vAlign w:val="center"/>
          </w:tcPr>
          <w:p w14:paraId="54DE5074">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F770A5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自然语言处理</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7A31DF55">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w:t>
            </w:r>
            <w:r>
              <w:rPr>
                <w:rFonts w:hint="default" w:ascii="仿宋" w:hAnsi="仿宋" w:eastAsia="仿宋" w:cs="Times New Roman"/>
                <w:bCs/>
                <w:kern w:val="2"/>
                <w:sz w:val="21"/>
                <w:szCs w:val="21"/>
                <w:lang w:val="en-US" w:eastAsia="zh-CN" w:bidi="ar-SA"/>
              </w:rPr>
              <w:t>可对各类非结构化医疗文书进行实时后结构化处理，如对于整段文本形式的出院记录可进行实时智能分析，至少包括：</w:t>
            </w:r>
          </w:p>
          <w:p w14:paraId="3ACABCDF">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w:t>
            </w:r>
            <w:r>
              <w:rPr>
                <w:rFonts w:hint="default" w:ascii="仿宋" w:hAnsi="仿宋" w:eastAsia="仿宋" w:cs="Times New Roman"/>
                <w:bCs/>
                <w:kern w:val="2"/>
                <w:sz w:val="21"/>
                <w:szCs w:val="21"/>
                <w:lang w:val="en-US" w:eastAsia="zh-CN" w:bidi="ar-SA"/>
              </w:rPr>
              <w:t>自动分段、分句：自动解析出入院日期、出院日期、入院情况、入院诊断、诊疗经过、出院情况、出院诊断、出院医嘱。并将每段文本中的句子进行自动分段。</w:t>
            </w:r>
          </w:p>
          <w:p w14:paraId="15514F89">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w:t>
            </w:r>
            <w:r>
              <w:rPr>
                <w:rFonts w:hint="default" w:ascii="仿宋" w:hAnsi="仿宋" w:eastAsia="仿宋" w:cs="Times New Roman"/>
                <w:bCs/>
                <w:kern w:val="2"/>
                <w:sz w:val="21"/>
                <w:szCs w:val="21"/>
                <w:lang w:val="en-US" w:eastAsia="zh-CN" w:bidi="ar-SA"/>
              </w:rPr>
              <w:t>自动分词：自动对每句文本中的医学实体进行正确识别。</w:t>
            </w:r>
          </w:p>
          <w:p w14:paraId="221E5AE9">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w:t>
            </w:r>
            <w:r>
              <w:rPr>
                <w:rFonts w:hint="default" w:ascii="仿宋" w:hAnsi="仿宋" w:eastAsia="仿宋" w:cs="Times New Roman"/>
                <w:bCs/>
                <w:kern w:val="2"/>
                <w:sz w:val="21"/>
                <w:szCs w:val="21"/>
                <w:lang w:val="en-US" w:eastAsia="zh-CN" w:bidi="ar-SA"/>
              </w:rPr>
              <w:t>实体关联：对于不同实体之间的关系进行正确关联，如：对于肿瘤TNM分期可识别并与临床诊断进行关联。</w:t>
            </w:r>
          </w:p>
          <w:p w14:paraId="6D34090C">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w:t>
            </w:r>
            <w:r>
              <w:rPr>
                <w:rFonts w:hint="default" w:ascii="仿宋" w:hAnsi="仿宋" w:eastAsia="仿宋" w:cs="Times New Roman"/>
                <w:bCs/>
                <w:kern w:val="2"/>
                <w:sz w:val="21"/>
                <w:szCs w:val="21"/>
                <w:lang w:val="en-US" w:eastAsia="zh-CN" w:bidi="ar-SA"/>
              </w:rPr>
              <w:t>实体抽取：以数据库视图形式展示抽取的实体类型及值。</w:t>
            </w:r>
          </w:p>
          <w:p w14:paraId="7AEA3935">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w:t>
            </w:r>
            <w:r>
              <w:rPr>
                <w:rFonts w:hint="default" w:ascii="仿宋" w:hAnsi="仿宋" w:eastAsia="仿宋" w:cs="Times New Roman"/>
                <w:bCs/>
                <w:kern w:val="2"/>
                <w:sz w:val="21"/>
                <w:szCs w:val="21"/>
                <w:lang w:val="en-US" w:eastAsia="zh-CN" w:bidi="ar-SA"/>
              </w:rPr>
              <w:t>API视图：支持以RESTful API</w:t>
            </w:r>
            <w:r>
              <w:rPr>
                <w:rFonts w:hint="eastAsia" w:ascii="仿宋" w:hAnsi="仿宋" w:eastAsia="仿宋" w:cs="Times New Roman"/>
                <w:bCs/>
                <w:kern w:val="2"/>
                <w:sz w:val="21"/>
                <w:szCs w:val="21"/>
                <w:lang w:val="en-US" w:eastAsia="zh-CN" w:bidi="ar-SA"/>
              </w:rPr>
              <w:t>等</w:t>
            </w:r>
            <w:r>
              <w:rPr>
                <w:rFonts w:hint="default" w:ascii="仿宋" w:hAnsi="仿宋" w:eastAsia="仿宋" w:cs="Times New Roman"/>
                <w:bCs/>
                <w:kern w:val="2"/>
                <w:sz w:val="21"/>
                <w:szCs w:val="21"/>
                <w:lang w:val="en-US" w:eastAsia="zh-CN" w:bidi="ar-SA"/>
              </w:rPr>
              <w:t>接口方式调用自然语言处理引擎并返回相应识别结果。</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F7596C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F57DAA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7B4C28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D498B3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455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restart"/>
            <w:tcBorders>
              <w:left w:val="single" w:color="auto" w:sz="4" w:space="0"/>
              <w:right w:val="single" w:color="auto" w:sz="4" w:space="0"/>
            </w:tcBorders>
            <w:noWrap w:val="0"/>
            <w:vAlign w:val="center"/>
          </w:tcPr>
          <w:p w14:paraId="62832A2D">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0BC1A1E4">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20B1CF3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11CA2E09">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7622D42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2F744551">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088DEBF8">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5E6F24A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3E1C002F">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6FDEFC0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2EAE0C1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30EDF1C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31E708B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62F9AD6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VTE风险和出血风险自动化计算评估</w:t>
            </w:r>
          </w:p>
        </w:tc>
        <w:tc>
          <w:tcPr>
            <w:tcW w:w="1161" w:type="dxa"/>
            <w:vMerge w:val="restart"/>
            <w:tcBorders>
              <w:top w:val="single" w:color="auto" w:sz="4" w:space="0"/>
              <w:left w:val="single" w:color="auto" w:sz="4" w:space="0"/>
              <w:right w:val="single" w:color="auto" w:sz="4" w:space="0"/>
            </w:tcBorders>
            <w:noWrap w:val="0"/>
            <w:vAlign w:val="center"/>
          </w:tcPr>
          <w:p w14:paraId="7E164D5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Caprini/Padua初始评估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0B54808A">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患者入院24小时内，系统结合患者全部病史、手术、用药、检查/检验结果等信息，能够自动完成患者的VTE风险评估。并在电子病历或His界面主动、及时提醒医务人员查看VTE风险评估的结果，</w:t>
            </w:r>
            <w:r>
              <w:rPr>
                <w:rFonts w:hint="eastAsia" w:ascii="仿宋" w:hAnsi="仿宋" w:eastAsia="仿宋" w:cs="Times New Roman"/>
                <w:bCs/>
                <w:kern w:val="2"/>
                <w:sz w:val="21"/>
                <w:szCs w:val="21"/>
                <w:highlight w:val="none"/>
                <w:lang w:val="en-US" w:eastAsia="zh-CN" w:bidi="ar-SA"/>
              </w:rPr>
              <w:t>且支持医务人员</w:t>
            </w:r>
            <w:r>
              <w:rPr>
                <w:rFonts w:hint="eastAsia" w:ascii="仿宋" w:hAnsi="仿宋" w:eastAsia="仿宋" w:cs="Times New Roman"/>
                <w:bCs/>
                <w:kern w:val="2"/>
                <w:sz w:val="21"/>
                <w:szCs w:val="21"/>
                <w:lang w:val="en-US" w:eastAsia="zh-CN" w:bidi="ar-SA"/>
              </w:rPr>
              <w:t>一键追溯原始信息来源</w:t>
            </w:r>
            <w:r>
              <w:rPr>
                <w:rFonts w:hint="eastAsia" w:ascii="仿宋" w:hAnsi="仿宋" w:eastAsia="仿宋" w:cs="Times New Roman"/>
                <w:bCs/>
                <w:kern w:val="2"/>
                <w:sz w:val="21"/>
                <w:szCs w:val="21"/>
                <w:highlight w:val="none"/>
                <w:lang w:val="en-US" w:eastAsia="zh-CN" w:bidi="ar-SA"/>
              </w:rPr>
              <w:t>，快速</w:t>
            </w:r>
            <w:r>
              <w:rPr>
                <w:rFonts w:hint="eastAsia" w:ascii="仿宋" w:hAnsi="仿宋" w:eastAsia="仿宋" w:cs="Times New Roman"/>
                <w:bCs/>
                <w:kern w:val="2"/>
                <w:sz w:val="21"/>
                <w:szCs w:val="21"/>
                <w:lang w:val="en-US" w:eastAsia="zh-CN" w:bidi="ar-SA"/>
              </w:rPr>
              <w:t>修改及完成电子签名确认</w:t>
            </w:r>
            <w:r>
              <w:rPr>
                <w:rFonts w:hint="eastAsia" w:ascii="仿宋" w:hAnsi="仿宋" w:eastAsia="仿宋" w:cs="Times New Roman"/>
                <w:bCs/>
                <w:kern w:val="2"/>
                <w:sz w:val="21"/>
                <w:szCs w:val="21"/>
                <w:highlight w:val="none"/>
                <w:lang w:val="en-US" w:eastAsia="zh-CN" w:bidi="ar-SA"/>
              </w:rPr>
              <w:t>。</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5D6D0A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CBBB80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F078CB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7CC6B3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1F5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674" w:type="dxa"/>
            <w:vMerge w:val="continue"/>
            <w:tcBorders>
              <w:left w:val="single" w:color="auto" w:sz="4" w:space="0"/>
              <w:right w:val="single" w:color="auto" w:sz="4" w:space="0"/>
            </w:tcBorders>
            <w:noWrap w:val="0"/>
            <w:vAlign w:val="center"/>
          </w:tcPr>
          <w:p w14:paraId="4F2BCDD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CC1086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735E1D23">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结合患者全部病史、用药、检查检验结果等信息，智能识别中高危患者特征，主动判断患者的VTE风险情况（是否为中高危患者）。支持人机VTE评估结果同一界面对比，根据对比结果进行重点关注。医务人员可进行修改或确认。若系统评估危险程度高于医务人员，则应主动对医务人员进行提醒，帮助医务人员减少评估中的遗漏，增加评估的客观性和全面性。</w:t>
            </w:r>
            <w:r>
              <w:rPr>
                <w:rFonts w:hint="eastAsia" w:ascii="仿宋" w:hAnsi="仿宋" w:eastAsia="仿宋" w:cs="Times New Roman"/>
                <w:bCs/>
                <w:kern w:val="2"/>
                <w:sz w:val="21"/>
                <w:szCs w:val="21"/>
                <w:highlight w:val="none"/>
                <w:lang w:val="en-US" w:eastAsia="zh-CN" w:bidi="ar-SA"/>
              </w:rPr>
              <w:t>支持医生、护士共同确认，修改评分内容。</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CA7CDD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F56C41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E53E55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FFC042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6D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674" w:type="dxa"/>
            <w:vMerge w:val="continue"/>
            <w:tcBorders>
              <w:left w:val="single" w:color="auto" w:sz="4" w:space="0"/>
              <w:right w:val="single" w:color="auto" w:sz="4" w:space="0"/>
            </w:tcBorders>
            <w:noWrap w:val="0"/>
            <w:vAlign w:val="center"/>
          </w:tcPr>
          <w:p w14:paraId="06A79D9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FBC13D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2FF7F211">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系统自动完成所有住院患者的VTE风险评估，并支持在医务人员打开电子病历时，主动提醒医生完成对患者VTE风险评估结果的修改及完成电子签名确认，在医务人员快速确认系统自动评估的结果后，提醒自动消失。</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29600C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649E99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75A7DD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F5DAFA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F20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right w:val="single" w:color="auto" w:sz="4" w:space="0"/>
            </w:tcBorders>
            <w:noWrap w:val="0"/>
            <w:vAlign w:val="center"/>
          </w:tcPr>
          <w:p w14:paraId="264E013E">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15F37D7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VTE动态评估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5DCB30A">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可实时根据患者在院情况自动进行VTE风险评估，并在电子病历或His界面主动提醒医务人员对评估结果进行快速修改或确认。保证患者病情变化时，能使用准确的VTE风险评估量表、自动判断风险程度、识别中高危患者，及时完成VTE风险评估，使医务人员掌握患者VTE风险动态变化。</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38E2D2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CFB745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C6E33C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C37A34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9BF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674" w:type="dxa"/>
            <w:vMerge w:val="continue"/>
            <w:tcBorders>
              <w:left w:val="single" w:color="auto" w:sz="4" w:space="0"/>
              <w:right w:val="single" w:color="auto" w:sz="4" w:space="0"/>
            </w:tcBorders>
            <w:noWrap w:val="0"/>
            <w:vAlign w:val="center"/>
          </w:tcPr>
          <w:p w14:paraId="711DE85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4729CF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247F48F3">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1、在术前准备阶段，系统自动根据手术申请信息，自动对患者进行VTE风险评估，主动提醒医务人员对评估结果进行确认，在医务人员快速确认评估结果后，质控提醒自动消失。</w:t>
            </w:r>
          </w:p>
          <w:p w14:paraId="309A645B">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2、系统可主动识别患者手术申请医嘱、术前小结文书，监测评估是否在手术开始前24小时内完成。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00350D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86DEAA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16D1ED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515CF7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65F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674" w:type="dxa"/>
            <w:vMerge w:val="continue"/>
            <w:tcBorders>
              <w:left w:val="single" w:color="auto" w:sz="4" w:space="0"/>
              <w:right w:val="single" w:color="auto" w:sz="4" w:space="0"/>
            </w:tcBorders>
            <w:noWrap w:val="0"/>
            <w:vAlign w:val="center"/>
          </w:tcPr>
          <w:p w14:paraId="53FD183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EC755F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6BF7D526">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在患者完成相关手术后，系统自动根据患者术后情况，自动对患者进行VTE风险评估，针对VTE风险评估结果有变化的患者，主动提醒医务人员对评估结果进行确认，在医务人员快速确认评估结果后，质控提醒自动消失。</w:t>
            </w:r>
          </w:p>
          <w:p w14:paraId="1673A58D">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2、系统可主动识别患者手术时间，监测评估是否在手术结束后24小时内完成。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6155A9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509D2C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76F2D5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EB0FB3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969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74" w:type="dxa"/>
            <w:vMerge w:val="continue"/>
            <w:tcBorders>
              <w:left w:val="single" w:color="auto" w:sz="4" w:space="0"/>
              <w:right w:val="single" w:color="auto" w:sz="4" w:space="0"/>
            </w:tcBorders>
            <w:noWrap w:val="0"/>
            <w:vAlign w:val="center"/>
          </w:tcPr>
          <w:p w14:paraId="701A46D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99F270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6D8B537E">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在患者完成转科后24小时内，系统应主动提醒转入科室医务人员及时完成患者VTE动态风险评估结果的修改及完成电子签名确认。</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C4C4EC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FFC834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7BD1AD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5D5AD0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FCE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74" w:type="dxa"/>
            <w:vMerge w:val="continue"/>
            <w:tcBorders>
              <w:left w:val="single" w:color="auto" w:sz="4" w:space="0"/>
              <w:right w:val="single" w:color="auto" w:sz="4" w:space="0"/>
            </w:tcBorders>
            <w:noWrap w:val="0"/>
            <w:vAlign w:val="center"/>
          </w:tcPr>
          <w:p w14:paraId="4245D6A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38A104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3E829FAF">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i w:val="0"/>
                <w:iCs w:val="0"/>
                <w:color w:val="auto"/>
                <w:kern w:val="2"/>
                <w:sz w:val="21"/>
                <w:szCs w:val="21"/>
                <w:highlight w:val="none"/>
                <w:u w:val="none"/>
                <w:lang w:val="en-US" w:eastAsia="zh-CN" w:bidi="ar-SA"/>
              </w:rPr>
              <w:t>在患者报/停病危</w:t>
            </w:r>
            <w:r>
              <w:rPr>
                <w:rFonts w:hint="eastAsia" w:ascii="仿宋" w:hAnsi="仿宋" w:eastAsia="仿宋" w:cs="Times New Roman"/>
                <w:bCs/>
                <w:i w:val="0"/>
                <w:iCs w:val="0"/>
                <w:kern w:val="2"/>
                <w:sz w:val="21"/>
                <w:szCs w:val="21"/>
                <w:highlight w:val="none"/>
                <w:u w:val="none"/>
                <w:lang w:val="en-US" w:eastAsia="zh-CN" w:bidi="ar-SA"/>
              </w:rPr>
              <w:t>/</w:t>
            </w:r>
            <w:r>
              <w:rPr>
                <w:rFonts w:hint="eastAsia" w:ascii="仿宋" w:hAnsi="仿宋" w:eastAsia="仿宋" w:cs="Times New Roman"/>
                <w:bCs/>
                <w:i w:val="0"/>
                <w:iCs w:val="0"/>
                <w:color w:val="auto"/>
                <w:kern w:val="2"/>
                <w:sz w:val="21"/>
                <w:szCs w:val="21"/>
                <w:highlight w:val="none"/>
                <w:u w:val="none"/>
                <w:lang w:val="en-US" w:eastAsia="zh-CN" w:bidi="ar-SA"/>
              </w:rPr>
              <w:t>病重</w:t>
            </w:r>
            <w:r>
              <w:rPr>
                <w:rFonts w:hint="eastAsia" w:ascii="仿宋" w:hAnsi="仿宋" w:eastAsia="仿宋" w:cs="Times New Roman"/>
                <w:bCs/>
                <w:kern w:val="2"/>
                <w:sz w:val="21"/>
                <w:szCs w:val="21"/>
                <w:lang w:val="en-US" w:eastAsia="zh-CN" w:bidi="ar-SA"/>
              </w:rPr>
              <w:t>后24小时内，系统应主动提醒医务人员及时完成患者VTE动态风险评估结果的确认。</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B5B8B8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690DD2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2F1BEC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BC61DA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029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right w:val="single" w:color="auto" w:sz="4" w:space="0"/>
            </w:tcBorders>
            <w:noWrap w:val="0"/>
            <w:vAlign w:val="center"/>
          </w:tcPr>
          <w:p w14:paraId="75DC8C5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1070599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60DCA688">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患者在院期间，系统根据患者病情变化、患者全部病史、手术、用药、检查检验结果等信息更新，实时自动评估和监测VTE风险。患者一旦发生VTE风险变化，系统应即刻主动提示，提醒医生及时采取措施。</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A72D47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820D93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F92F77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00D718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2A2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74" w:type="dxa"/>
            <w:vMerge w:val="continue"/>
            <w:tcBorders>
              <w:left w:val="single" w:color="auto" w:sz="4" w:space="0"/>
              <w:right w:val="single" w:color="auto" w:sz="4" w:space="0"/>
            </w:tcBorders>
            <w:noWrap w:val="0"/>
            <w:vAlign w:val="center"/>
          </w:tcPr>
          <w:p w14:paraId="1056900E">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4D3E6C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2691B26A">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患者出院时，系统应主动提醒医生再次进行VTE风险评估结果的确认，避免在患者出院前发生遗漏。</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026F2E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77EF3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A743DC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944550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689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674" w:type="dxa"/>
            <w:vMerge w:val="continue"/>
            <w:tcBorders>
              <w:left w:val="single" w:color="auto" w:sz="4" w:space="0"/>
              <w:right w:val="single" w:color="auto" w:sz="4" w:space="0"/>
            </w:tcBorders>
            <w:noWrap w:val="0"/>
            <w:vAlign w:val="center"/>
          </w:tcPr>
          <w:p w14:paraId="0EBC4DD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0D719C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87DF166">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动态复评：系统应支持动态复评提醒，VTE高危患者支持每3日自动复评，中危患者支持每7日自动复评，低危患者支持每14日自动复评，并提醒医生及时确认，医生确认后提醒自动消失。自动复评时间可根据医院需要调整。</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A5E17F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4D9198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191AC2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75F4EB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7D1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0D15DFF9">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1FDE29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出血风险评估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74555C6B">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根据患者全部病史、用药、检查检验结果等信息，自动提取高危患者特征，自动判断患者的出血风险并在电子病历或His界面提醒给临床医生，支持点击查看具体的危险因素，并可一键追溯原始信息来源。当最新评估风险等级高于前次人工评估结果时，系统以人机对比的形式进行主动提醒。</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07F41E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B8752F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A0E536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B61007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7C749CB">
        <w:tblPrEx>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708F366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1F2DBEB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VTE动态评估结果记录</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5BBD526">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系统支持记录患者在院内动态评估结果以及历次医嘱记录，自动评估、分析结果变化趋势，供医务人员参考，以便为患者制定个性化VTE防治方案。</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D288EB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6CFD6B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76D904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30E831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D76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72CB429D">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FB3BFF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224E6090">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系统自动生成患者在院内VTE风险评估、出血风险评估等所有风险评估结果、评估时间及详细评估项的历史记录，支持医务人员快速根据患者病情变化对已完成的评估结果进行修改或重新评估及完成电子签名确认。</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35C232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C8D171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B9A910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F88951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79B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4" w:type="dxa"/>
            <w:vMerge w:val="continue"/>
            <w:tcBorders>
              <w:left w:val="single" w:color="auto" w:sz="4" w:space="0"/>
              <w:right w:val="single" w:color="auto" w:sz="4" w:space="0"/>
            </w:tcBorders>
            <w:noWrap w:val="0"/>
            <w:vAlign w:val="center"/>
          </w:tcPr>
          <w:p w14:paraId="124847F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6A55AE1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7B7DF4B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2BD5EC2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6D27FC6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1F98D6A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评估表打印配置</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31E48B74">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提供评估表页面评估时机显示配置，可根据医院需求，配置评估表页面是否显示评估时机标签选项，包括入院、出院、术前、术后、转科、产前、产后、病情变化时重新评估。支持不同的评估表配置显示不同的评估时机标签，配置后立即生效。</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604571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D27B48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0CECFE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40B510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0F3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674" w:type="dxa"/>
            <w:vMerge w:val="continue"/>
            <w:tcBorders>
              <w:left w:val="single" w:color="auto" w:sz="4" w:space="0"/>
              <w:right w:val="single" w:color="auto" w:sz="4" w:space="0"/>
            </w:tcBorders>
            <w:noWrap w:val="0"/>
            <w:vAlign w:val="center"/>
          </w:tcPr>
          <w:p w14:paraId="5A7658AC">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EC95E5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4AD374A6">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支持在线打印VTE评估表。支持医务人员在评估表界面，提供字体小、中、大快捷调整按钮，满足医生个性性化需求，提高用户体验。</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6C38A9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AFA18D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49D912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42BD2E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845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76018B4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27FD659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4CB5964B">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评估表合并打印配置：提供评估表合并打印配置功能，当医务人员使用同一评估表对某患者进行多次风险评估时，支持对多次评估结果进行合并打印，可勾选需要合并打印的历史评估记录。</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CBF943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3F53D2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3053DC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D8D681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8E4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74" w:type="dxa"/>
            <w:vMerge w:val="continue"/>
            <w:tcBorders>
              <w:left w:val="single" w:color="auto" w:sz="4" w:space="0"/>
              <w:right w:val="single" w:color="auto" w:sz="4" w:space="0"/>
            </w:tcBorders>
            <w:noWrap w:val="0"/>
            <w:vAlign w:val="center"/>
          </w:tcPr>
          <w:p w14:paraId="26C24FC7">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4A89BFA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09F45040">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支持评估表下载格式配置，可配置为仅OFD（国产PDF）、PDF或OFD，配置完成后，立即生效。</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162264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2955E4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77A201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4D799F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1E2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74" w:type="dxa"/>
            <w:vMerge w:val="restart"/>
            <w:tcBorders>
              <w:left w:val="single" w:color="auto" w:sz="4" w:space="0"/>
              <w:right w:val="single" w:color="auto" w:sz="4" w:space="0"/>
            </w:tcBorders>
            <w:noWrap w:val="0"/>
            <w:vAlign w:val="center"/>
          </w:tcPr>
          <w:p w14:paraId="61CCDF0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7CD63790">
            <w:pPr>
              <w:bidi w:val="0"/>
              <w:rPr>
                <w:rFonts w:hint="eastAsia"/>
                <w:lang w:val="en-US" w:eastAsia="zh-CN"/>
              </w:rPr>
            </w:pPr>
          </w:p>
          <w:p w14:paraId="20E56174">
            <w:pPr>
              <w:bidi w:val="0"/>
              <w:rPr>
                <w:rFonts w:hint="eastAsia"/>
                <w:lang w:val="en-US" w:eastAsia="zh-CN"/>
              </w:rPr>
            </w:pPr>
          </w:p>
          <w:p w14:paraId="36F4A434">
            <w:pPr>
              <w:bidi w:val="0"/>
              <w:rPr>
                <w:rFonts w:hint="eastAsia"/>
                <w:lang w:val="en-US" w:eastAsia="zh-CN"/>
              </w:rPr>
            </w:pPr>
          </w:p>
          <w:p w14:paraId="18F33393">
            <w:pPr>
              <w:bidi w:val="0"/>
              <w:jc w:val="left"/>
              <w:rPr>
                <w:rFonts w:hint="eastAsia"/>
                <w:lang w:val="en-US" w:eastAsia="zh-CN"/>
              </w:rPr>
            </w:pPr>
            <w:r>
              <w:rPr>
                <w:rFonts w:hint="eastAsia"/>
                <w:lang w:val="en-US" w:eastAsia="zh-CN"/>
              </w:rPr>
              <w:t>VTE预防质控</w:t>
            </w:r>
          </w:p>
        </w:tc>
        <w:tc>
          <w:tcPr>
            <w:tcW w:w="1161" w:type="dxa"/>
            <w:vMerge w:val="restart"/>
            <w:tcBorders>
              <w:left w:val="single" w:color="auto" w:sz="4" w:space="0"/>
              <w:right w:val="single" w:color="auto" w:sz="4" w:space="0"/>
            </w:tcBorders>
            <w:noWrap w:val="0"/>
            <w:vAlign w:val="center"/>
          </w:tcPr>
          <w:p w14:paraId="1CA3609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医生端VTE预防措施质控</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6E769A68">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当患者VTE风险评分结果为中高危时，系统应主动提醒医生采取VTE的预防措施。</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34B39B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04876D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40F6F3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5D9D3D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A2F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244A477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4E8460C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428B0D6">
            <w:pPr>
              <w:widowControl w:val="0"/>
              <w:kinsoku/>
              <w:overflowPunct/>
              <w:spacing w:line="240" w:lineRule="auto"/>
              <w:jc w:val="left"/>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风险评估确认提醒：系统支持医生对VTE风险评估结果进行修改、确认。</w:t>
            </w:r>
          </w:p>
          <w:p w14:paraId="708B62FF">
            <w:pPr>
              <w:widowControl w:val="0"/>
              <w:kinsoku/>
              <w:overflowPunct/>
              <w:spacing w:line="240" w:lineRule="auto"/>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检查提醒：系统支持对确诊VTE患者进行VTE相关症状、体征检查的智能提醒，辅助医生及时完善相关检查。</w:t>
            </w:r>
          </w:p>
          <w:p w14:paraId="7532AC1D">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highlight w:val="none"/>
                <w:lang w:val="en-US" w:eastAsia="zh-CN" w:bidi="ar-SA"/>
              </w:rPr>
              <w:t>随访提醒：系统支持对确诊VTE患者或者VTE中高危风险患者提醒需进行院后随访。</w:t>
            </w:r>
          </w:p>
          <w:p w14:paraId="201733E1">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能够实时根据患者在院情况自动判断，对未进行VTE预防措施的VTE风险中高危患者，主动、智能提醒医务人员进行相应的基础预防、物理预防、药物预防、联合预防等措施。可根据医院需要设置为强制功能（强制给予预防措施），防止医生漏开预防措施。</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62BD5A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6E7D41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A1066A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C20E72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5D4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77B7DF3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E54A1A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007EFEF">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根据患者VTE和出血风险的结果不同，定义恰当的预防措施，例如：VTE高危、出血低危的患者应采用抗凝药物进行预防；VTE高危、出血高危的患者应采用物理预防等；能够根据患者病情和预防措施的采取情况，自动判断患者是否采用恰当的预防措施，并主动给予医生提醒，保证预防措施执行到位。</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812E0D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3C6C95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3CC7A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5EEE19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4EE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74" w:type="dxa"/>
            <w:vMerge w:val="continue"/>
            <w:tcBorders>
              <w:left w:val="single" w:color="auto" w:sz="4" w:space="0"/>
              <w:right w:val="single" w:color="auto" w:sz="4" w:space="0"/>
            </w:tcBorders>
            <w:noWrap w:val="0"/>
            <w:vAlign w:val="center"/>
          </w:tcPr>
          <w:p w14:paraId="3EBED86C">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0C4842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703A5375">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一次住院期间患者首次出院时评估为VTE中高危的患者，系统应主动提醒医务人员完善VTE风险评估告知书。</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5F49E3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58FC80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7503A5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FD6C5B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6E5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9" w:hRule="atLeast"/>
          <w:jc w:val="center"/>
        </w:trPr>
        <w:tc>
          <w:tcPr>
            <w:tcW w:w="674" w:type="dxa"/>
            <w:vMerge w:val="continue"/>
            <w:tcBorders>
              <w:left w:val="single" w:color="auto" w:sz="4" w:space="0"/>
              <w:right w:val="single" w:color="auto" w:sz="4" w:space="0"/>
            </w:tcBorders>
            <w:noWrap w:val="0"/>
            <w:vAlign w:val="center"/>
          </w:tcPr>
          <w:p w14:paraId="34CE902D">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6269CE99">
            <w:pPr>
              <w:pStyle w:val="21"/>
              <w:widowControl/>
              <w:kinsoku w:val="0"/>
              <w:overflowPunct w:val="0"/>
              <w:spacing w:line="400" w:lineRule="exact"/>
              <w:jc w:val="left"/>
              <w:rPr>
                <w:rFonts w:hint="eastAsia" w:ascii="仿宋" w:hAnsi="仿宋" w:eastAsia="仿宋" w:cs="Times New Roman"/>
                <w:bCs/>
                <w:kern w:val="2"/>
                <w:sz w:val="21"/>
                <w:szCs w:val="21"/>
                <w:highlight w:val="yellow"/>
                <w:lang w:val="en-US" w:eastAsia="zh-CN" w:bidi="ar-SA"/>
              </w:rPr>
            </w:pPr>
            <w:r>
              <w:rPr>
                <w:rFonts w:hint="eastAsia" w:ascii="仿宋" w:hAnsi="仿宋" w:eastAsia="仿宋" w:cs="Times New Roman"/>
                <w:bCs/>
                <w:kern w:val="2"/>
                <w:sz w:val="21"/>
                <w:szCs w:val="21"/>
                <w:highlight w:val="yellow"/>
                <w:lang w:val="en-US" w:eastAsia="zh-CN" w:bidi="ar-SA"/>
              </w:rPr>
              <w:t>护理端提醒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06285ED8">
            <w:pPr>
              <w:widowControl w:val="0"/>
              <w:kinsoku/>
              <w:overflowPunct/>
              <w:spacing w:line="240" w:lineRule="auto"/>
              <w:jc w:val="left"/>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风险评估确认提醒：系统支持护理人员对VTE风险评估结果进行修改、确认。</w:t>
            </w:r>
          </w:p>
          <w:p w14:paraId="0907497C">
            <w:pPr>
              <w:widowControl w:val="0"/>
              <w:kinsoku/>
              <w:overflowPunct/>
              <w:spacing w:line="240" w:lineRule="auto"/>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检查提醒：系统支持对确诊VTE患者进行VTE相关症状、体征检查的智能提醒，辅助护理人员及时完善相关检查。</w:t>
            </w:r>
          </w:p>
          <w:p w14:paraId="7D7FF566">
            <w:pPr>
              <w:widowControl w:val="0"/>
              <w:kinsoku/>
              <w:overflowPunct/>
              <w:spacing w:line="240" w:lineRule="auto"/>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随访提醒：系统支持对确诊VTE患者或者VTE中高危风险患者提醒需进行院后随访。</w:t>
            </w:r>
          </w:p>
          <w:p w14:paraId="6E1A3A60">
            <w:pPr>
              <w:spacing w:line="240" w:lineRule="auto"/>
            </w:pPr>
            <w:r>
              <w:rPr>
                <w:rFonts w:hint="eastAsia" w:ascii="仿宋" w:hAnsi="仿宋" w:eastAsia="仿宋" w:cs="Times New Roman"/>
                <w:bCs/>
                <w:kern w:val="2"/>
                <w:sz w:val="21"/>
                <w:szCs w:val="21"/>
                <w:highlight w:val="none"/>
                <w:lang w:val="en-US" w:eastAsia="zh-CN" w:bidi="ar-SA"/>
              </w:rPr>
              <w:t>VTE预防宣教提醒：系统支持对确诊VTE患者或者VTE中高危风险患者进行VTE相关预防措施宣教提醒。对VTE风险为中高危的患者，建议进行（机械、药物）预防措施有适用症和禁忌症提醒，</w:t>
            </w:r>
            <w:r>
              <w:rPr>
                <w:rFonts w:hint="eastAsia" w:ascii="仿宋" w:hAnsi="仿宋" w:eastAsia="仿宋" w:cs="Times New Roman"/>
                <w:bCs/>
                <w:szCs w:val="21"/>
                <w:highlight w:val="none"/>
                <w:lang w:val="en-US" w:eastAsia="zh-CN"/>
              </w:rPr>
              <w:t>护理记录时间节点提醒，物理和药物预防下医嘱时间和医嘱停的时间；药物出院前出院当天再提醒导入护理记录模版</w:t>
            </w:r>
            <w:r>
              <w:rPr>
                <w:rFonts w:hint="eastAsia" w:ascii="仿宋" w:hAnsi="仿宋" w:eastAsia="仿宋" w:cs="Times New Roman"/>
                <w:bCs/>
                <w:kern w:val="2"/>
                <w:sz w:val="21"/>
                <w:szCs w:val="21"/>
                <w:highlight w:val="none"/>
                <w:lang w:val="en-US" w:eastAsia="zh-CN" w:bidi="ar-SA"/>
              </w:rPr>
              <w:t>；对VTE风险为低危的患者，进行基本预防和机械预防</w:t>
            </w:r>
            <w:r>
              <w:rPr>
                <w:rFonts w:hint="default" w:ascii="仿宋" w:hAnsi="仿宋" w:eastAsia="仿宋" w:cs="Times New Roman"/>
                <w:bCs/>
                <w:kern w:val="2"/>
                <w:sz w:val="21"/>
                <w:szCs w:val="21"/>
                <w:highlight w:val="none"/>
                <w:lang w:val="en-US" w:eastAsia="zh-CN" w:bidi="ar-SA"/>
              </w:rPr>
              <w:t>宣教</w:t>
            </w:r>
            <w:r>
              <w:rPr>
                <w:rFonts w:hint="eastAsia" w:ascii="仿宋" w:hAnsi="仿宋" w:eastAsia="仿宋" w:cs="Times New Roman"/>
                <w:bCs/>
                <w:kern w:val="2"/>
                <w:sz w:val="21"/>
                <w:szCs w:val="21"/>
                <w:highlight w:val="none"/>
                <w:lang w:val="en-US" w:eastAsia="zh-CN" w:bidi="ar-SA"/>
              </w:rPr>
              <w:t>适用症和禁忌症提醒，导入护理记录模版</w:t>
            </w:r>
          </w:p>
          <w:p w14:paraId="45B1C83F">
            <w:pPr>
              <w:spacing w:line="240" w:lineRule="auto"/>
              <w:rPr>
                <w:rFonts w:hint="eastAsia" w:ascii="仿宋" w:hAnsi="仿宋" w:eastAsia="仿宋" w:cs="Times New Roman"/>
                <w:bCs/>
                <w:kern w:val="2"/>
                <w:sz w:val="21"/>
                <w:szCs w:val="21"/>
                <w:highlight w:val="yellow"/>
                <w:lang w:val="en-US" w:eastAsia="zh-CN" w:bidi="ar-SA"/>
              </w:rPr>
            </w:pPr>
            <w:r>
              <w:rPr>
                <w:rFonts w:hint="eastAsia" w:ascii="仿宋" w:hAnsi="仿宋" w:eastAsia="仿宋" w:cs="Times New Roman"/>
                <w:bCs/>
                <w:kern w:val="2"/>
                <w:sz w:val="21"/>
                <w:szCs w:val="21"/>
                <w:highlight w:val="none"/>
                <w:lang w:val="en-US" w:eastAsia="zh-CN" w:bidi="ar-SA"/>
              </w:rPr>
              <w:t>基础预防数据采集功能：例如（包括但不限于）：</w:t>
            </w:r>
            <w:r>
              <w:rPr>
                <w:rFonts w:hint="eastAsia" w:ascii="仿宋" w:hAnsi="仿宋" w:eastAsia="仿宋" w:cs="Times New Roman"/>
                <w:b w:val="0"/>
                <w:bCs/>
                <w:sz w:val="21"/>
                <w:szCs w:val="21"/>
                <w:highlight w:val="none"/>
                <w:lang w:val="en-US" w:eastAsia="zh-CN"/>
              </w:rPr>
              <w:t>踝泵运动：</w:t>
            </w:r>
            <w:r>
              <w:rPr>
                <w:rFonts w:hint="eastAsia" w:ascii="仿宋" w:hAnsi="仿宋" w:eastAsia="仿宋" w:cs="Times New Roman"/>
                <w:bCs/>
                <w:color w:val="C00000"/>
                <w:kern w:val="2"/>
                <w:sz w:val="21"/>
                <w:szCs w:val="21"/>
                <w:highlight w:val="none"/>
                <w:lang w:val="en-US" w:eastAsia="zh-CN" w:bidi="ar-SA"/>
              </w:rPr>
              <w:t>每天3～4 次，每次20～30组</w:t>
            </w:r>
            <w:r>
              <w:rPr>
                <w:rFonts w:hint="eastAsia" w:ascii="仿宋" w:hAnsi="仿宋" w:eastAsia="仿宋" w:cs="Times New Roman"/>
                <w:bCs/>
                <w:color w:val="000000"/>
                <w:kern w:val="2"/>
                <w:sz w:val="21"/>
                <w:szCs w:val="21"/>
                <w:highlight w:val="none"/>
                <w:lang w:val="en-US" w:eastAsia="zh-CN" w:bidi="ar-SA"/>
              </w:rPr>
              <w:t>。</w:t>
            </w:r>
            <w:r>
              <w:rPr>
                <w:rFonts w:hint="eastAsia" w:ascii="仿宋" w:hAnsi="仿宋" w:eastAsia="仿宋" w:cs="Times New Roman"/>
                <w:bCs/>
                <w:color w:val="C00000"/>
                <w:kern w:val="2"/>
                <w:sz w:val="21"/>
                <w:szCs w:val="21"/>
                <w:highlight w:val="none"/>
                <w:lang w:val="en-US" w:eastAsia="zh-CN" w:bidi="ar"/>
              </w:rPr>
              <w:t>股四头肌功能锻炼:</w:t>
            </w:r>
            <w:r>
              <w:rPr>
                <w:rFonts w:hint="eastAsia" w:ascii="仿宋" w:hAnsi="仿宋" w:eastAsia="仿宋" w:cs="Times New Roman"/>
                <w:bCs/>
                <w:color w:val="000000"/>
                <w:kern w:val="2"/>
                <w:sz w:val="21"/>
                <w:szCs w:val="21"/>
                <w:highlight w:val="none"/>
                <w:lang w:val="en-US" w:eastAsia="zh-CN" w:bidi="ar"/>
              </w:rPr>
              <w:t>每天3～4次，每次20～30组。</w:t>
            </w:r>
            <w:r>
              <w:rPr>
                <w:rFonts w:hint="eastAsia" w:ascii="仿宋" w:hAnsi="仿宋" w:eastAsia="仿宋" w:cs="Times New Roman"/>
                <w:b w:val="0"/>
                <w:bCs/>
                <w:sz w:val="21"/>
                <w:szCs w:val="21"/>
                <w:highlight w:val="none"/>
                <w:lang w:val="en-US" w:eastAsia="zh-CN"/>
              </w:rPr>
              <w:t>避免脱水：正常成人每天所需的水分为</w:t>
            </w:r>
            <w:r>
              <w:rPr>
                <w:rFonts w:hint="eastAsia" w:ascii="仿宋" w:hAnsi="仿宋" w:eastAsia="仿宋" w:cs="Times New Roman"/>
                <w:b w:val="0"/>
                <w:bCs/>
                <w:color w:val="C00000"/>
                <w:sz w:val="21"/>
                <w:szCs w:val="21"/>
                <w:highlight w:val="none"/>
                <w:lang w:val="en-US" w:eastAsia="zh-CN"/>
              </w:rPr>
              <w:t>1500-2500ml</w:t>
            </w:r>
            <w:r>
              <w:rPr>
                <w:rFonts w:hint="eastAsia" w:ascii="仿宋" w:hAnsi="仿宋" w:eastAsia="仿宋" w:cs="Times New Roman"/>
                <w:b w:val="0"/>
                <w:bCs/>
                <w:sz w:val="21"/>
                <w:szCs w:val="21"/>
                <w:highlight w:val="none"/>
                <w:lang w:val="en-US" w:eastAsia="zh-CN"/>
              </w:rPr>
              <w:t>，</w:t>
            </w:r>
            <w:r>
              <w:rPr>
                <w:rFonts w:hint="eastAsia" w:ascii="仿宋" w:hAnsi="仿宋" w:eastAsia="仿宋" w:cs="Times New Roman"/>
                <w:b w:val="0"/>
                <w:bCs/>
                <w:sz w:val="21"/>
                <w:szCs w:val="21"/>
                <w:highlight w:val="none"/>
              </w:rPr>
              <w:t>腹式呼吸</w:t>
            </w:r>
            <w:r>
              <w:rPr>
                <w:rFonts w:hint="eastAsia" w:ascii="仿宋" w:hAnsi="仿宋" w:eastAsia="仿宋" w:cs="Times New Roman"/>
                <w:b w:val="0"/>
                <w:bCs/>
                <w:sz w:val="21"/>
                <w:szCs w:val="21"/>
                <w:highlight w:val="none"/>
                <w:lang w:val="en-US"/>
              </w:rPr>
              <w:t>:</w:t>
            </w:r>
            <w:r>
              <w:rPr>
                <w:rFonts w:hint="eastAsia" w:ascii="仿宋" w:hAnsi="仿宋" w:eastAsia="仿宋" w:cs="Times New Roman"/>
                <w:bCs/>
                <w:sz w:val="21"/>
                <w:szCs w:val="21"/>
                <w:highlight w:val="none"/>
              </w:rPr>
              <w:t>每日锻炼5～7次，每次做5～15分钟。</w:t>
            </w:r>
            <w:r>
              <w:rPr>
                <w:rFonts w:hint="eastAsia" w:ascii="仿宋" w:hAnsi="仿宋" w:eastAsia="仿宋" w:cs="Times New Roman"/>
                <w:b w:val="0"/>
                <w:bCs/>
                <w:sz w:val="21"/>
                <w:szCs w:val="21"/>
                <w:highlight w:val="none"/>
              </w:rPr>
              <w:t>缩唇呼吸</w:t>
            </w:r>
            <w:r>
              <w:rPr>
                <w:rFonts w:hint="eastAsia" w:ascii="仿宋" w:hAnsi="仿宋" w:eastAsia="仿宋" w:cs="Times New Roman"/>
                <w:b w:val="0"/>
                <w:bCs/>
                <w:sz w:val="21"/>
                <w:szCs w:val="21"/>
                <w:highlight w:val="none"/>
                <w:lang w:val="en-US"/>
              </w:rPr>
              <w:t>:</w:t>
            </w:r>
            <w:r>
              <w:rPr>
                <w:rFonts w:hint="eastAsia" w:ascii="仿宋" w:hAnsi="仿宋" w:eastAsia="仿宋" w:cs="Times New Roman"/>
                <w:bCs/>
                <w:sz w:val="21"/>
                <w:szCs w:val="21"/>
                <w:highlight w:val="none"/>
              </w:rPr>
              <w:t>每日锻炼2次，每次做10-20分钟。</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DF6F2D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5FEA78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B6C23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902837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CD9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74" w:type="dxa"/>
            <w:vMerge w:val="restart"/>
            <w:tcBorders>
              <w:left w:val="single" w:color="auto" w:sz="4" w:space="0"/>
              <w:right w:val="single" w:color="auto" w:sz="4" w:space="0"/>
            </w:tcBorders>
            <w:noWrap w:val="0"/>
            <w:vAlign w:val="center"/>
          </w:tcPr>
          <w:p w14:paraId="0E882A8F">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预防禁忌提示</w:t>
            </w:r>
          </w:p>
        </w:tc>
        <w:tc>
          <w:tcPr>
            <w:tcW w:w="1161" w:type="dxa"/>
            <w:tcBorders>
              <w:left w:val="single" w:color="auto" w:sz="4" w:space="0"/>
              <w:right w:val="single" w:color="auto" w:sz="4" w:space="0"/>
            </w:tcBorders>
            <w:noWrap w:val="0"/>
            <w:vAlign w:val="center"/>
          </w:tcPr>
          <w:p w14:paraId="43486EA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出血高危抗凝禁忌提醒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65056A9D">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出血高危提醒：对于有检验异常、评估为出血高危的患者，当医生开具抗凝药物时，系统应自动进行出血高危禁忌提醒，并提示抗凝治疗禁忌的来源，支持查看来源原文。</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EC2350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AC3629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C07A96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168138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A69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74" w:type="dxa"/>
            <w:vMerge w:val="continue"/>
            <w:tcBorders>
              <w:left w:val="single" w:color="auto" w:sz="4" w:space="0"/>
              <w:right w:val="single" w:color="auto" w:sz="4" w:space="0"/>
            </w:tcBorders>
            <w:noWrap w:val="0"/>
            <w:vAlign w:val="center"/>
          </w:tcPr>
          <w:p w14:paraId="42103F7F">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68327B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下肢间歇充气加压装置（IPC）检查禁忌质控</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499E7DCF">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下肢间歇充气加压装置（IPC）：医生开具下肢压力泵等机械预防医嘱时，系统应自动判断患者是否已完成相应的下肢静脉超声，或判断检查结果中是否体现下肢静脉血栓，主动、实时判断风险并提醒，避免肺栓塞等严重并发症的发生。</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CCCF43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DF9720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52F41C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4415E5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77C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674" w:type="dxa"/>
            <w:vMerge w:val="continue"/>
            <w:tcBorders>
              <w:left w:val="single" w:color="auto" w:sz="4" w:space="0"/>
              <w:right w:val="single" w:color="auto" w:sz="4" w:space="0"/>
            </w:tcBorders>
            <w:noWrap w:val="0"/>
            <w:vAlign w:val="center"/>
          </w:tcPr>
          <w:p w14:paraId="65CA5A2D">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26388EA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机械预防禁忌</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E410687">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VTE评估中危或高危患者，系统自动完成机械预防禁忌评估表评估并提醒医生完成修改及电子签名确认，支持评估依据查看和溯源。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00E0D8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838860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C81C2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D4D283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A72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4" w:type="dxa"/>
            <w:vMerge w:val="continue"/>
            <w:tcBorders>
              <w:left w:val="single" w:color="auto" w:sz="4" w:space="0"/>
              <w:right w:val="single" w:color="auto" w:sz="4" w:space="0"/>
            </w:tcBorders>
            <w:noWrap w:val="0"/>
            <w:vAlign w:val="center"/>
          </w:tcPr>
          <w:p w14:paraId="5D764663">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DA5599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6EFD999B">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机械预防禁忌提醒</w:t>
            </w:r>
          </w:p>
          <w:p w14:paraId="2E86D880">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对于VTE风险为中高危患者，系统可自动评估是否存在机械预防禁忌，通过浮窗将评估结果推送给医生并支持信息下钻。</w:t>
            </w:r>
          </w:p>
          <w:p w14:paraId="01B3B5F5">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例如医生在日常病程记录中描述患者双下肢重度水肿，系统能立即识别并通过浮窗用红色字体提醒存在机械预防禁忌，医生可点击查看评估明细及原始数据，关键信息标红。</w:t>
            </w:r>
          </w:p>
          <w:p w14:paraId="23E2F5EE">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如医生认为系统识别错误，可点击“识别错误”并补充原因将自己的意见发送给系统，从而使模型不断优化。</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F6195D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484534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E28642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61119F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0E2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674" w:type="dxa"/>
            <w:vMerge w:val="restart"/>
            <w:tcBorders>
              <w:left w:val="single" w:color="auto" w:sz="4" w:space="0"/>
              <w:right w:val="single" w:color="auto" w:sz="4" w:space="0"/>
            </w:tcBorders>
            <w:noWrap w:val="0"/>
            <w:vAlign w:val="center"/>
          </w:tcPr>
          <w:p w14:paraId="55A4D321">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深静脉血栓评分（DVT-wells）及筛查</w:t>
            </w:r>
          </w:p>
        </w:tc>
        <w:tc>
          <w:tcPr>
            <w:tcW w:w="1161" w:type="dxa"/>
            <w:vMerge w:val="restart"/>
            <w:tcBorders>
              <w:left w:val="single" w:color="auto" w:sz="4" w:space="0"/>
              <w:right w:val="single" w:color="auto" w:sz="4" w:space="0"/>
            </w:tcBorders>
            <w:noWrap w:val="0"/>
            <w:vAlign w:val="center"/>
          </w:tcPr>
          <w:p w14:paraId="09F971B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深静脉血栓评分（DVT-wells）</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0AAA0710">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系统结合患者信息，对VTE风险评估结果为中高危的非VTE确诊患者应进行深静脉血栓wells评估（wells-DVT评分），并提醒医生完成修改及电子签名确认，支持评估依据查看和溯源。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C07E2E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403D27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A2926E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7581E7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7AA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4" w:type="dxa"/>
            <w:vMerge w:val="continue"/>
            <w:tcBorders>
              <w:left w:val="single" w:color="auto" w:sz="4" w:space="0"/>
              <w:right w:val="single" w:color="auto" w:sz="4" w:space="0"/>
            </w:tcBorders>
            <w:noWrap w:val="0"/>
            <w:vAlign w:val="center"/>
          </w:tcPr>
          <w:p w14:paraId="24827F1C">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1979CF0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F0C78F3">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支持评估表的下载，打印以及合并打印等，并支持以PDF形式保持在电子病历系统中。</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8E67B2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783B94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EFD49D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9963E2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312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74" w:type="dxa"/>
            <w:vMerge w:val="continue"/>
            <w:tcBorders>
              <w:left w:val="single" w:color="auto" w:sz="4" w:space="0"/>
              <w:right w:val="single" w:color="auto" w:sz="4" w:space="0"/>
            </w:tcBorders>
            <w:noWrap w:val="0"/>
            <w:vAlign w:val="center"/>
          </w:tcPr>
          <w:p w14:paraId="2D242BB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6E308FC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深静脉血栓筛查质控</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6F8E0850">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针对VTE风险评估结果中高危及Wells评估结果低度可能性的患者，在</w:t>
            </w:r>
            <w:r>
              <w:rPr>
                <w:rFonts w:hint="eastAsia" w:ascii="仿宋" w:hAnsi="仿宋" w:eastAsia="仿宋" w:cs="Times New Roman"/>
                <w:bCs/>
                <w:color w:val="FF0000"/>
                <w:kern w:val="2"/>
                <w:sz w:val="21"/>
                <w:szCs w:val="21"/>
                <w:highlight w:val="none"/>
                <w:lang w:val="en-US" w:eastAsia="zh-CN" w:bidi="ar-SA"/>
              </w:rPr>
              <w:t>HIS或</w:t>
            </w:r>
            <w:r>
              <w:rPr>
                <w:rFonts w:hint="eastAsia" w:ascii="仿宋" w:hAnsi="仿宋" w:eastAsia="仿宋" w:cs="Times New Roman"/>
                <w:bCs/>
                <w:kern w:val="2"/>
                <w:sz w:val="21"/>
                <w:szCs w:val="21"/>
                <w:highlight w:val="yellow"/>
                <w:lang w:val="en-US" w:eastAsia="zh-CN" w:bidi="ar-SA"/>
              </w:rPr>
              <w:t>EMR界面</w:t>
            </w:r>
            <w:r>
              <w:rPr>
                <w:rFonts w:hint="eastAsia" w:ascii="仿宋" w:hAnsi="仿宋" w:eastAsia="仿宋" w:cs="Times New Roman"/>
                <w:bCs/>
                <w:kern w:val="2"/>
                <w:sz w:val="21"/>
                <w:szCs w:val="21"/>
                <w:lang w:val="en-US" w:eastAsia="zh-CN" w:bidi="ar-SA"/>
              </w:rPr>
              <w:t>提醒医生开立D-二聚体等检查医嘱。</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66941C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33680E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7E3A3F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C5DC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AA1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74" w:type="dxa"/>
            <w:vMerge w:val="continue"/>
            <w:tcBorders>
              <w:left w:val="single" w:color="auto" w:sz="4" w:space="0"/>
              <w:right w:val="single" w:color="auto" w:sz="4" w:space="0"/>
            </w:tcBorders>
            <w:noWrap w:val="0"/>
            <w:vAlign w:val="center"/>
          </w:tcPr>
          <w:p w14:paraId="1C149276">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CA582A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568FBA97">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针对VTE风险评估结果中高危，DVT-Wells评估结果中/高度可能性或DVT-Wells评估结果低度可能性但D-二聚体等阳性的患者，在</w:t>
            </w:r>
            <w:r>
              <w:rPr>
                <w:rFonts w:hint="eastAsia" w:ascii="仿宋" w:hAnsi="仿宋" w:eastAsia="仿宋" w:cs="Times New Roman"/>
                <w:bCs/>
                <w:color w:val="FF0000"/>
                <w:kern w:val="2"/>
                <w:sz w:val="21"/>
                <w:szCs w:val="21"/>
                <w:highlight w:val="none"/>
                <w:lang w:val="en-US" w:eastAsia="zh-CN" w:bidi="ar-SA"/>
              </w:rPr>
              <w:t>HIS或</w:t>
            </w:r>
            <w:r>
              <w:rPr>
                <w:rFonts w:hint="eastAsia" w:ascii="仿宋" w:hAnsi="仿宋" w:eastAsia="仿宋" w:cs="Times New Roman"/>
                <w:bCs/>
                <w:kern w:val="2"/>
                <w:sz w:val="21"/>
                <w:szCs w:val="21"/>
                <w:highlight w:val="yellow"/>
                <w:lang w:val="en-US" w:eastAsia="zh-CN" w:bidi="ar-SA"/>
              </w:rPr>
              <w:t>EMR界面</w:t>
            </w:r>
            <w:r>
              <w:rPr>
                <w:rFonts w:hint="eastAsia" w:ascii="仿宋" w:hAnsi="仿宋" w:eastAsia="仿宋" w:cs="Times New Roman"/>
                <w:bCs/>
                <w:kern w:val="2"/>
                <w:sz w:val="21"/>
                <w:szCs w:val="21"/>
                <w:lang w:val="en-US" w:eastAsia="zh-CN" w:bidi="ar-SA"/>
              </w:rPr>
              <w:t>提醒医生开立静脉超声检查医嘱。</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A149D8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F9FC43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41C2A2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4321F2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39E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74" w:type="dxa"/>
            <w:vMerge w:val="restart"/>
            <w:tcBorders>
              <w:left w:val="single" w:color="auto" w:sz="4" w:space="0"/>
              <w:right w:val="single" w:color="auto" w:sz="4" w:space="0"/>
            </w:tcBorders>
            <w:noWrap w:val="0"/>
            <w:vAlign w:val="center"/>
          </w:tcPr>
          <w:p w14:paraId="7310B5C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急性肺栓塞评分（PTE-wells）及筛查</w:t>
            </w:r>
          </w:p>
        </w:tc>
        <w:tc>
          <w:tcPr>
            <w:tcW w:w="1161" w:type="dxa"/>
            <w:vMerge w:val="restart"/>
            <w:tcBorders>
              <w:left w:val="single" w:color="auto" w:sz="4" w:space="0"/>
              <w:right w:val="single" w:color="auto" w:sz="4" w:space="0"/>
            </w:tcBorders>
            <w:noWrap w:val="0"/>
            <w:vAlign w:val="center"/>
          </w:tcPr>
          <w:p w14:paraId="099C77B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急性肺栓塞评分（PTE-wells）</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E3649A3">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VTE风险评估结果中高危或DVT-Wells评估结果中/高度可能性的患者，根据当前患者特征如胸痛、呼吸困难等，自动判断患者是否应进行Wells评分（PTE-Wells评分或重症医学科PTE临床可能性评分表（Geneva）、简化Wells评分），并对符合条件的患者自动完成评分，并提醒医生完成修改及电子签名确认，支持评估依据查看和溯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0BFF76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3E60EC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57B210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D70521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988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4" w:type="dxa"/>
            <w:vMerge w:val="continue"/>
            <w:tcBorders>
              <w:left w:val="single" w:color="auto" w:sz="4" w:space="0"/>
              <w:right w:val="single" w:color="auto" w:sz="4" w:space="0"/>
            </w:tcBorders>
            <w:noWrap w:val="0"/>
            <w:vAlign w:val="center"/>
          </w:tcPr>
          <w:p w14:paraId="4AB6707F">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43B47EE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729E41F1">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支持评估表的下载，打印以及合并打印等，并支持以PDF形式保持在电子病历系统中。</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E83005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DF3954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D73888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B692DE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B95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6490E76">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03CF28D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肺栓塞严重程度和危险分层</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140FB2F2">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对于高度可疑或者确诊急性肺栓塞患者，系统支持结合患者全部病史、手术、用药、检查/检验结果等信息，自动判断患者是否应进行sPESI或者肺血栓栓塞危险分层评估并对符合条件的患者自动评估风险。</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8210DE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63ABFF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ABB528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C3784A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673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B2B7476">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363E810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急性肺栓塞筛查质控</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3B35A0E">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系统应支持根据医生确认的综合评估结果，患者病情特征，检验检查内容等，根据指南个性化分层推送PTE筛查（CT肺动脉造影，心动图检查）、D-二聚体检测等，医生完成筛查后提醒消失。</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DC0C8D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65CD7B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9EEC5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E203C4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000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56196CEC">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E9DB45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会诊提醒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D815DC3">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急性肺栓塞确诊的非呼吸科患者，提醒科室邀请呼吸科会诊；对wells评分结果高度可能性的非心血管外科患者，提醒邀请血管外科会诊；对于急性肺栓塞确诊且肺血栓栓塞症（PTE）危险分层评估高危的非心血管外科患者，有溶栓禁忌时提醒血管外科会诊</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B844D2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6F215F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52AE46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59042A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03E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50B6C159">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肺栓塞诊疗质控</w:t>
            </w:r>
          </w:p>
        </w:tc>
        <w:tc>
          <w:tcPr>
            <w:tcW w:w="1161" w:type="dxa"/>
            <w:tcBorders>
              <w:left w:val="single" w:color="auto" w:sz="4" w:space="0"/>
              <w:right w:val="single" w:color="auto" w:sz="4" w:space="0"/>
            </w:tcBorders>
            <w:noWrap w:val="0"/>
            <w:vAlign w:val="center"/>
          </w:tcPr>
          <w:p w14:paraId="4F24E20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疑似肺栓塞抗凝治疗提醒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041913F5">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医生开立医嘱时，系统自动判断患者的PTE 筛查结果，PTE检查结果为阳性且医生未进行抗凝治疗时，系统提醒医生进行抗凝治疗。</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792D82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499F398">
            <w:pPr>
              <w:pStyle w:val="21"/>
              <w:widowControl/>
              <w:kinsoku w:val="0"/>
              <w:overflowPunct w:val="0"/>
              <w:spacing w:line="400" w:lineRule="exact"/>
              <w:jc w:val="center"/>
              <w:rPr>
                <w:rFonts w:hint="eastAsia" w:ascii="仿宋" w:hAnsi="仿宋" w:eastAsia="仿宋" w:cs="Times New Roman"/>
                <w:bCs/>
                <w:kern w:val="2"/>
                <w:sz w:val="21"/>
                <w:szCs w:val="21"/>
                <w:highlight w:val="yellow"/>
                <w:lang w:val="en-US" w:eastAsia="zh-CN" w:bidi="ar-SA"/>
              </w:rPr>
            </w:pPr>
          </w:p>
        </w:tc>
        <w:tc>
          <w:tcPr>
            <w:tcW w:w="978" w:type="dxa"/>
            <w:tcBorders>
              <w:left w:val="single" w:color="auto" w:sz="4" w:space="0"/>
              <w:right w:val="single" w:color="auto" w:sz="4" w:space="0"/>
            </w:tcBorders>
            <w:noWrap w:val="0"/>
            <w:vAlign w:val="center"/>
          </w:tcPr>
          <w:p w14:paraId="7BD259E4">
            <w:pPr>
              <w:pStyle w:val="21"/>
              <w:widowControl/>
              <w:kinsoku w:val="0"/>
              <w:overflowPunct w:val="0"/>
              <w:spacing w:line="400" w:lineRule="exact"/>
              <w:jc w:val="center"/>
              <w:rPr>
                <w:rFonts w:hint="eastAsia" w:ascii="仿宋" w:hAnsi="仿宋" w:eastAsia="仿宋" w:cs="Times New Roman"/>
                <w:bCs/>
                <w:kern w:val="2"/>
                <w:sz w:val="21"/>
                <w:szCs w:val="21"/>
                <w:highlight w:val="yellow"/>
                <w:lang w:val="en-US" w:eastAsia="zh-CN" w:bidi="ar-SA"/>
              </w:rPr>
            </w:pPr>
          </w:p>
        </w:tc>
        <w:tc>
          <w:tcPr>
            <w:tcW w:w="995" w:type="dxa"/>
            <w:tcBorders>
              <w:left w:val="single" w:color="auto" w:sz="4" w:space="0"/>
              <w:right w:val="single" w:color="auto" w:sz="4" w:space="0"/>
            </w:tcBorders>
            <w:noWrap w:val="0"/>
            <w:vAlign w:val="top"/>
          </w:tcPr>
          <w:p w14:paraId="01911533">
            <w:pPr>
              <w:pStyle w:val="21"/>
              <w:widowControl/>
              <w:kinsoku w:val="0"/>
              <w:overflowPunct w:val="0"/>
              <w:spacing w:line="400" w:lineRule="exact"/>
              <w:jc w:val="center"/>
              <w:rPr>
                <w:rFonts w:hint="eastAsia" w:ascii="仿宋" w:hAnsi="仿宋" w:eastAsia="仿宋" w:cs="Times New Roman"/>
                <w:bCs/>
                <w:kern w:val="2"/>
                <w:sz w:val="21"/>
                <w:szCs w:val="21"/>
                <w:highlight w:val="yellow"/>
                <w:lang w:val="en-US" w:eastAsia="zh-CN" w:bidi="ar-SA"/>
              </w:rPr>
            </w:pPr>
          </w:p>
        </w:tc>
      </w:tr>
      <w:tr w14:paraId="2180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17C4E2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08DA7D9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急性肺栓塞治疗提醒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4456FDE3">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急性肺栓塞患者，及其肺血栓栓塞症（PTE）危险分层情况，结合患者是否有溶栓禁忌，是否进行溶栓抗凝治疗情况，分层推荐治疗提醒。当PTE危险分层为高危，且无溶栓禁忌，提醒溶栓治疗；当PTE危险分层为高危，但患者有溶栓禁忌，提醒抗凝治疗。</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1A2FAE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3B2283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724838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E62741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BF0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107C9E7">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26EBCE6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溶栓后凝血监测</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544A10D">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急性肺栓塞患者，系统自动识别患者治疗医嘱信息，当医生开立溶栓治疗时，系统提醒医生溶栓后监测APTT。</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590415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A7BA83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D1C27F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011685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74C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5DF0DEC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55DED7B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血管活性药物使用提醒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1C7C9E5D">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系统自动识别患者急性肺栓塞患者及其肺血栓栓塞症（PTE）危险分层情况，针对患者肺血栓栓塞症（PTE）危险分层为高危时，系统提醒血管活性药物使用（急性PTE）。</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6ADC45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8841C3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859694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90B215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606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7D0D43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2D37ED0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吸氧治疗提醒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5865D8E">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系统自动识别患者急性肺栓塞患者及其肺血栓栓塞症（PTE）危险分层情况，针对患者病情提供个性化的治疗提醒。当患者肺血栓栓塞症（PTE）危险分层高危、且存在低氧血症时，系统提醒医生进行吸氧治疗。</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C5E7A6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063CA3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04907F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45C4AE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B37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7FFFC29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7D0E9D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PTE机械辅助通气治疗提醒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18B72A70">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系统自动识别患者急性肺栓塞患者及其肺血栓栓塞症（PTE）危险分层情况，针对患者病情提供个性化的治疗提醒。当患者存在呼吸衰竭时，系统提醒机械辅助通气治疗。</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B735DF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0DB3D6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0506A8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EBF199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381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7531209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1E5542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出院医嘱提醒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53FECE59">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患者的检查报告结果，PTE检查结果阳性时，系统在出院记录或医嘱界面提醒医生抗凝药出院带药，在出院记录界面提醒记录相应随访要求（如需要服用抗凝药剂量、时间要求等，具体内容可根据医院需求维护调整）。</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BAA1D8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3091BD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CA61D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F6A9FE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F09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148917C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防治规范辅助</w:t>
            </w:r>
          </w:p>
        </w:tc>
        <w:tc>
          <w:tcPr>
            <w:tcW w:w="1161" w:type="dxa"/>
            <w:tcBorders>
              <w:left w:val="single" w:color="auto" w:sz="4" w:space="0"/>
              <w:right w:val="single" w:color="auto" w:sz="4" w:space="0"/>
            </w:tcBorders>
            <w:noWrap w:val="0"/>
            <w:vAlign w:val="center"/>
          </w:tcPr>
          <w:p w14:paraId="51C7BE4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漏诊提醒</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66627848">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系统应能够自动识别病历文书内容、检查报告结果，对疑似VTE诊断漏诊的患者，在电子病历或His页面以浮窗形式主动、智能提醒医务人员补充</w:t>
            </w:r>
            <w:r>
              <w:rPr>
                <w:rFonts w:hint="default" w:ascii="仿宋" w:hAnsi="仿宋" w:eastAsia="仿宋" w:cs="Times New Roman"/>
                <w:bCs/>
                <w:kern w:val="2"/>
                <w:sz w:val="21"/>
                <w:szCs w:val="21"/>
                <w:lang w:val="en-US" w:eastAsia="zh-CN" w:bidi="ar-SA"/>
              </w:rPr>
              <w:t>vte</w:t>
            </w:r>
            <w:r>
              <w:rPr>
                <w:rFonts w:hint="eastAsia" w:ascii="仿宋" w:hAnsi="仿宋" w:eastAsia="仿宋" w:cs="Times New Roman"/>
                <w:bCs/>
                <w:kern w:val="2"/>
                <w:sz w:val="21"/>
                <w:szCs w:val="21"/>
                <w:lang w:val="en-US" w:eastAsia="zh-CN" w:bidi="ar-SA"/>
              </w:rPr>
              <w:t>出院诊断。</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BF39B4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EA2A7A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28D908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A7CBE0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7A6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334C5F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14262C1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防治小结</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48984476">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对于使用Caprini评分、Padua评分、妊娠VTE等VTE风险评估表表单的患者，支持在患者入院24h后、手术后、出院前等自动总结</w:t>
            </w:r>
            <w:r>
              <w:rPr>
                <w:rFonts w:hint="default" w:ascii="仿宋" w:hAnsi="仿宋" w:eastAsia="仿宋" w:cs="Times New Roman"/>
                <w:bCs/>
                <w:kern w:val="2"/>
                <w:sz w:val="21"/>
                <w:szCs w:val="21"/>
                <w:lang w:val="en-US" w:eastAsia="zh-CN" w:bidi="ar-SA"/>
              </w:rPr>
              <w:t>VTE防治情况。总结</w:t>
            </w:r>
            <w:r>
              <w:rPr>
                <w:rFonts w:hint="eastAsia" w:ascii="仿宋" w:hAnsi="仿宋" w:eastAsia="仿宋" w:cs="Times New Roman"/>
                <w:bCs/>
                <w:kern w:val="2"/>
                <w:sz w:val="21"/>
                <w:szCs w:val="21"/>
                <w:lang w:val="en-US" w:eastAsia="zh-CN" w:bidi="ar-SA"/>
              </w:rPr>
              <w:t>当前患者</w:t>
            </w:r>
            <w:r>
              <w:rPr>
                <w:rFonts w:hint="default" w:ascii="仿宋" w:hAnsi="仿宋" w:eastAsia="仿宋" w:cs="Times New Roman"/>
                <w:bCs/>
                <w:kern w:val="2"/>
                <w:sz w:val="21"/>
                <w:szCs w:val="21"/>
                <w:lang w:val="en-US" w:eastAsia="zh-CN" w:bidi="ar-SA"/>
              </w:rPr>
              <w:t>的诊断、</w:t>
            </w:r>
            <w:r>
              <w:rPr>
                <w:rFonts w:hint="eastAsia" w:ascii="仿宋" w:hAnsi="仿宋" w:eastAsia="仿宋" w:cs="Times New Roman"/>
                <w:bCs/>
                <w:kern w:val="2"/>
                <w:sz w:val="21"/>
                <w:szCs w:val="21"/>
                <w:lang w:val="en-US" w:eastAsia="zh-CN" w:bidi="ar-SA"/>
              </w:rPr>
              <w:t>VTE风险</w:t>
            </w:r>
            <w:r>
              <w:rPr>
                <w:rFonts w:hint="default" w:ascii="仿宋" w:hAnsi="仿宋" w:eastAsia="仿宋" w:cs="Times New Roman"/>
                <w:bCs/>
                <w:kern w:val="2"/>
                <w:sz w:val="21"/>
                <w:szCs w:val="21"/>
                <w:lang w:val="en-US" w:eastAsia="zh-CN" w:bidi="ar-SA"/>
              </w:rPr>
              <w:t>评估结果、评估时间、评估量表</w:t>
            </w:r>
            <w:r>
              <w:rPr>
                <w:rFonts w:hint="eastAsia" w:ascii="仿宋" w:hAnsi="仿宋" w:eastAsia="仿宋" w:cs="Times New Roman"/>
                <w:bCs/>
                <w:kern w:val="2"/>
                <w:sz w:val="21"/>
                <w:szCs w:val="21"/>
                <w:lang w:val="en-US" w:eastAsia="zh-CN" w:bidi="ar-SA"/>
              </w:rPr>
              <w:t>、</w:t>
            </w:r>
            <w:r>
              <w:rPr>
                <w:rFonts w:hint="default" w:ascii="仿宋" w:hAnsi="仿宋" w:eastAsia="仿宋" w:cs="Times New Roman"/>
                <w:bCs/>
                <w:kern w:val="2"/>
                <w:sz w:val="21"/>
                <w:szCs w:val="21"/>
                <w:lang w:val="en-US" w:eastAsia="zh-CN" w:bidi="ar-SA"/>
              </w:rPr>
              <w:t>药物</w:t>
            </w:r>
            <w:r>
              <w:rPr>
                <w:rFonts w:hint="eastAsia" w:ascii="仿宋" w:hAnsi="仿宋" w:eastAsia="仿宋" w:cs="Times New Roman"/>
                <w:bCs/>
                <w:kern w:val="2"/>
                <w:sz w:val="21"/>
                <w:szCs w:val="21"/>
                <w:lang w:val="en-US" w:eastAsia="zh-CN" w:bidi="ar-SA"/>
              </w:rPr>
              <w:t>预防措施实施情况</w:t>
            </w:r>
            <w:r>
              <w:rPr>
                <w:rFonts w:hint="default" w:ascii="仿宋" w:hAnsi="仿宋" w:eastAsia="仿宋" w:cs="Times New Roman"/>
                <w:bCs/>
                <w:kern w:val="2"/>
                <w:sz w:val="21"/>
                <w:szCs w:val="21"/>
                <w:lang w:val="en-US" w:eastAsia="zh-CN" w:bidi="ar-SA"/>
              </w:rPr>
              <w:t>、机械预防措施实施情况</w:t>
            </w:r>
            <w:r>
              <w:rPr>
                <w:rFonts w:hint="eastAsia" w:ascii="仿宋" w:hAnsi="仿宋" w:eastAsia="仿宋" w:cs="Times New Roman"/>
                <w:bCs/>
                <w:kern w:val="2"/>
                <w:sz w:val="21"/>
                <w:szCs w:val="21"/>
                <w:lang w:val="en-US" w:eastAsia="zh-CN" w:bidi="ar-SA"/>
              </w:rPr>
              <w:t>，并支持回写到病程（需第三方厂商配合实现。）</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6C9B06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A91E19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EAFE4F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AB2DD1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E8F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45CFC673">
            <w:pPr>
              <w:pStyle w:val="21"/>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妊娠期及产褥期VTE风险管理</w:t>
            </w:r>
          </w:p>
        </w:tc>
        <w:tc>
          <w:tcPr>
            <w:tcW w:w="1161" w:type="dxa"/>
            <w:vMerge w:val="restart"/>
            <w:tcBorders>
              <w:left w:val="single" w:color="auto" w:sz="4" w:space="0"/>
              <w:right w:val="single" w:color="auto" w:sz="4" w:space="0"/>
            </w:tcBorders>
            <w:noWrap w:val="0"/>
            <w:vAlign w:val="center"/>
          </w:tcPr>
          <w:p w14:paraId="6ABC4AD0">
            <w:pPr>
              <w:pStyle w:val="21"/>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初始风险评估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929A5AF">
            <w:pPr>
              <w:pStyle w:val="21"/>
              <w:widowControl/>
              <w:kinsoku w:val="0"/>
              <w:overflowPunct w:val="0"/>
              <w:spacing w:line="240" w:lineRule="auto"/>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患者入院24小时内，系统根据患者病程记录信息自动识别妊娠期及产褥期患者，并基于权威指南RCOG血栓风险评估体系，结合患者全部病史、手术、用药、检查检验结果等信息，自动完成妊娠期及产褥期患者的VTE风险评估。并主动、及时提醒医务人员查看妊娠期及产褥期患者的VTE风险评估结果，且支持医务人员一键追溯原始信息来源，快速修改及完成电子签名确认。支持医生、护士共同确认，修改评分内容。</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F55C1A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22C35E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D137C4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08C70F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2E3C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5C31E3C3">
            <w:pPr>
              <w:pStyle w:val="21"/>
              <w:widowControl/>
              <w:kinsoku w:val="0"/>
              <w:overflowPunct w:val="0"/>
              <w:spacing w:line="400" w:lineRule="exact"/>
              <w:jc w:val="left"/>
              <w:rPr>
                <w:rFonts w:hint="eastAsia" w:ascii="仿宋" w:hAnsi="仿宋" w:eastAsia="仿宋" w:cs="Times New Roman"/>
                <w:bCs/>
                <w:kern w:val="2"/>
                <w:sz w:val="21"/>
                <w:szCs w:val="21"/>
                <w:highlight w:val="yellow"/>
                <w:lang w:val="en-US" w:eastAsia="zh-CN" w:bidi="ar-SA"/>
              </w:rPr>
            </w:pPr>
          </w:p>
        </w:tc>
        <w:tc>
          <w:tcPr>
            <w:tcW w:w="1161" w:type="dxa"/>
            <w:vMerge w:val="continue"/>
            <w:tcBorders>
              <w:left w:val="single" w:color="auto" w:sz="4" w:space="0"/>
              <w:right w:val="single" w:color="auto" w:sz="4" w:space="0"/>
            </w:tcBorders>
            <w:noWrap w:val="0"/>
            <w:vAlign w:val="center"/>
          </w:tcPr>
          <w:p w14:paraId="0B44D63B">
            <w:pPr>
              <w:pStyle w:val="21"/>
              <w:widowControl/>
              <w:kinsoku w:val="0"/>
              <w:overflowPunct w:val="0"/>
              <w:spacing w:line="400" w:lineRule="exact"/>
              <w:jc w:val="left"/>
              <w:rPr>
                <w:rFonts w:hint="eastAsia" w:ascii="仿宋" w:hAnsi="仿宋" w:eastAsia="仿宋" w:cs="Times New Roman"/>
                <w:bCs/>
                <w:kern w:val="2"/>
                <w:sz w:val="21"/>
                <w:szCs w:val="21"/>
                <w:highlight w:val="yellow"/>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61F93445">
            <w:pPr>
              <w:pStyle w:val="21"/>
              <w:widowControl/>
              <w:kinsoku w:val="0"/>
              <w:overflowPunct w:val="0"/>
              <w:spacing w:line="240" w:lineRule="auto"/>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系统结合妊娠期及产褥期患者全部病史、用药、检查检验结果等信息、智能识别中高危患者特征，根据患者妊娠期或产褥期状态，自动判断患者的VTE风险情况（是否为中高危患者）。支持人机VTE评估结果同一界面对比，根据对比结果进行重点关注。若系统评估危险程度高于医生，则应主动对医生进行提醒，帮助医生减少评估中的遗漏，增加评估的客观性和全面性。</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D1E6B6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AF0844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D5824E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90BAA9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4BB2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58A018C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EF15909">
            <w:pPr>
              <w:pStyle w:val="21"/>
              <w:kinsoku w:val="0"/>
              <w:overflowPunct w:val="0"/>
              <w:spacing w:line="360" w:lineRule="auto"/>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FE94644">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系统自动完成所有住院患者的VTE风险评估，并支持在医生打开电子病历时，主动提醒医生完成对患者VTE风险评估结果的确认，在医务人员快速确认系统自动评估的结果后，提醒自动消失。</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116A46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2D9E67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02059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31CC07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228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0569A9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4FFACF73">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动态评估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5A9F942">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可实时识别妊娠期及产褥期患者，实时根据患者在院情况自动进行VTE风险评估，并主动提醒医务人员对妊娠期及产褥期患者的评估结果进行快速确认。保证患者病情变化时，能使用准确的VTE风险评估量表、自动判断风险程度、识别中高危患者，使医生掌握患者VTE风险动态变化。</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59B340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9FDCD7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02D0DE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7AA53B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8E8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C47E3C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15D60544">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020C74AA">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1、在患者完成产科相关手术</w:t>
            </w:r>
            <w:r>
              <w:rPr>
                <w:rFonts w:hint="eastAsia" w:ascii="仿宋" w:hAnsi="仿宋" w:eastAsia="仿宋" w:cs="Times New Roman"/>
                <w:bCs/>
                <w:kern w:val="2"/>
                <w:sz w:val="21"/>
                <w:szCs w:val="21"/>
                <w:lang w:val="en-US" w:eastAsia="zh-Hans" w:bidi="ar-SA"/>
              </w:rPr>
              <w:t>或分娩后</w:t>
            </w:r>
            <w:r>
              <w:rPr>
                <w:rFonts w:hint="eastAsia" w:ascii="仿宋" w:hAnsi="仿宋" w:eastAsia="仿宋" w:cs="Times New Roman"/>
                <w:bCs/>
                <w:kern w:val="2"/>
                <w:sz w:val="21"/>
                <w:szCs w:val="21"/>
                <w:lang w:val="en-US" w:eastAsia="zh-CN" w:bidi="ar-SA"/>
              </w:rPr>
              <w:t>，系统自动根据患者的术后情况，自动对患者进行VTE风险评估，针对VTE风险评估结果有变化的患者，主动提醒医务人员对评估结果进行确认，在医务人员快速确认评估结果后，质控提醒自动消失。</w:t>
            </w:r>
          </w:p>
          <w:p w14:paraId="7F3BC878">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2、系统可主动识别患者产科手术时间，监测评估是否在手术结束后24小时内完成。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44DC76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3AA8A8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2F2AA0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BD6AB4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2FF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FA78DB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1D61BBD9">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69BD136F">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在患者完成转科后24小时内，系统主动提醒转入科室是否及时完成妊娠期及产褥期患者的VTE动态风险评估结果的确认。</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43430A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8AEAF5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1AD301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4202BB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0A5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B9C028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D541DCD">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FE6B173">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患者出院时，系统应主动提醒医生再次进行VTE风险评估结果的确认，避免在患者出院前发生遗漏。</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07B3AB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7D78CC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07E660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12452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02E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EF69BD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38072C15">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出血风险评估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6D5897B2">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鉴于抗凝预防本身潜在的出血并发症，系统实时自动根据患者的住院情况进行出血风险评估，并主动提醒医生对妊娠期及产褥期患者的出血风险评估结果进行查看，快速确认。（可智能推荐适用于妊娠期及产褥期住院患者的出血风险评估表，并自动完成评估）。</w:t>
            </w:r>
          </w:p>
          <w:p w14:paraId="294D7851">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2、系统支持对妊娠期及产褥期住院患者的出血风险评估结果进行病历回填。（需要第三方厂商配合完成接口才可实现）</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36C189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E1A88B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E39C40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50FA12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B90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AC62B6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23D40095">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0C3B12D8">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结合患者全部病史、用药、检查检验结果等信息，系统可根据出血高危患者特征，自动判断患者的出血风险情况。支持人机VTE评估对比，根据对比结果进行重点关注。</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033996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DB3194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392585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A7D059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28E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7968632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3D6A1DC4">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VTE预防措施</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12F528E8">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能够实时根据患者产褥期或妊娠期状态自动判断，对产褥期及妊娠期的VTE中危、高危患者推荐恰当、针对性的VTE预防措施，对未进行VTE预防措施的中高危风险患者，主动、智能提醒医务人员进行相应的基础预防、物理预防、药物预防等措施。可根据医院需要设置为强制功能（强制给予预防措施），防止医生漏开预防措施。</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74C17F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9F70EE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F0BF4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01F81E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426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7D1DADA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11493DC2">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338F10C4">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根据患者VTE和出血风险的结果不同，定义恰当的预防措施，例如：产前阶段VTE高危、出血低危的患者应采用无妊娠禁忌的低分子肝素等抗凝药物进行预防。能够根据患者病情和预防措施的采取情况，自动判断患者是否采用恰当的预防措施，并主动给予医生提醒，保证预防措施执行到位。</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DD182E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F3DD4E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50730B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98DE07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2592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6E7C1F8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肿瘤VTE风险管理</w:t>
            </w:r>
          </w:p>
        </w:tc>
        <w:tc>
          <w:tcPr>
            <w:tcW w:w="1161" w:type="dxa"/>
            <w:vMerge w:val="restart"/>
            <w:tcBorders>
              <w:left w:val="single" w:color="auto" w:sz="4" w:space="0"/>
              <w:right w:val="single" w:color="auto" w:sz="4" w:space="0"/>
            </w:tcBorders>
            <w:noWrap w:val="0"/>
            <w:vAlign w:val="top"/>
          </w:tcPr>
          <w:p w14:paraId="22700F79">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p w14:paraId="160E573D">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p w14:paraId="3BE1A92E">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p w14:paraId="08BAF12F">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p w14:paraId="6E20E871">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p w14:paraId="5D8C3EC0">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初始风险评估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6C2AED6C">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患者入院24小时内，系统根据患者病程记录信息自动识别肿瘤患者患者，结合患者全部病史、手术、用药、检查检验结果等信息，自动完成肿瘤患者</w:t>
            </w:r>
            <w:r>
              <w:rPr>
                <w:rFonts w:hint="eastAsia" w:ascii="仿宋" w:hAnsi="仿宋" w:eastAsia="仿宋" w:cs="Times New Roman"/>
                <w:bCs/>
                <w:kern w:val="2"/>
                <w:sz w:val="21"/>
                <w:szCs w:val="21"/>
                <w:lang w:val="en-US" w:eastAsia="zh-Hans" w:bidi="ar-SA"/>
              </w:rPr>
              <w:t>（Khorana</w:t>
            </w:r>
            <w:r>
              <w:rPr>
                <w:rFonts w:hint="eastAsia" w:ascii="仿宋" w:hAnsi="仿宋" w:eastAsia="仿宋" w:cs="Times New Roman"/>
                <w:bCs/>
                <w:kern w:val="2"/>
                <w:sz w:val="21"/>
                <w:szCs w:val="21"/>
                <w:lang w:val="en-US" w:eastAsia="zh-CN" w:bidi="ar-SA"/>
              </w:rPr>
              <w:t>、Padua或者Caprini</w:t>
            </w:r>
            <w:r>
              <w:rPr>
                <w:rFonts w:hint="eastAsia" w:ascii="仿宋" w:hAnsi="仿宋" w:eastAsia="仿宋" w:cs="Times New Roman"/>
                <w:bCs/>
                <w:kern w:val="2"/>
                <w:sz w:val="21"/>
                <w:szCs w:val="21"/>
                <w:lang w:val="en-US" w:eastAsia="zh-Hans" w:bidi="ar-SA"/>
              </w:rPr>
              <w:t>）</w:t>
            </w:r>
            <w:r>
              <w:rPr>
                <w:rFonts w:hint="eastAsia" w:ascii="仿宋" w:hAnsi="仿宋" w:eastAsia="仿宋" w:cs="Times New Roman"/>
                <w:bCs/>
                <w:kern w:val="2"/>
                <w:sz w:val="21"/>
                <w:szCs w:val="21"/>
                <w:lang w:val="en-US" w:eastAsia="zh-CN" w:bidi="ar-SA"/>
              </w:rPr>
              <w:t>的VTE风险评估。并主动、及时提醒医务人员查看肿瘤患者的VTE风险评估结果，且</w:t>
            </w:r>
            <w:r>
              <w:rPr>
                <w:rFonts w:hint="eastAsia" w:ascii="仿宋" w:hAnsi="仿宋" w:eastAsia="仿宋" w:cs="Times New Roman"/>
                <w:bCs/>
                <w:kern w:val="2"/>
                <w:sz w:val="21"/>
                <w:szCs w:val="21"/>
                <w:highlight w:val="none"/>
                <w:lang w:val="en-US" w:eastAsia="zh-CN" w:bidi="ar-SA"/>
              </w:rPr>
              <w:t>支持医务人员一键追溯原始信息来源，快速修改及完成电子签名确认。支持医生、护士共同确认，修改评分内容。</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18C628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4E0BDD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2B2641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CB9E07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8EA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B434FA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010977F8">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356FF915">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结合患者全部病史、用药、检查检验结果等信息、智能识别中高危患者特征，根据患者状态，自动判断患者的VTE风险情况（是否为中高危患者）。支持人机VTE评估结果同一界面对比，根据对比结果进行重点关注。若系统评估危险程度高于医生，则应主动对医生进行提醒，帮助医生减少评估中的遗漏，增加评估的客观性和全面性。</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7C6152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81B3A2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EF3575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3EDC4B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5F9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BADC06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30B3BB16">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0020AE4E">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系统自动完成所有住院肿瘤患者的VTE风险评估，并支持在医生打开电子病历时，主动提醒医生完成对患者VTE风险评估结果的确认，在医务人员快速确认系统自动评估的结果后，提醒自动消失。</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D8549A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201CDA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114B82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2E5AF1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84C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74" w:type="dxa"/>
            <w:vMerge w:val="continue"/>
            <w:tcBorders>
              <w:left w:val="single" w:color="auto" w:sz="4" w:space="0"/>
              <w:right w:val="single" w:color="auto" w:sz="4" w:space="0"/>
            </w:tcBorders>
            <w:noWrap w:val="0"/>
            <w:vAlign w:val="center"/>
          </w:tcPr>
          <w:p w14:paraId="68F40ED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top"/>
          </w:tcPr>
          <w:p w14:paraId="3B336201">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动态评估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7DCD8778">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可实时识别肿瘤患者，实时根据患者在院情况自动进行VTE风险评估，并主动提醒医务人员对肿瘤患者的评估结果进行快速确认。保证患者病情变化时，能使用准确的VTE风险评估量表、自动判断风险程度、识别中高危患者，使医生掌握患者VTE风险动态变化。</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C0E072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C047D9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F52BDF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1FD40E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43E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803764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7E604D32">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387B5E8B">
            <w:pPr>
              <w:pStyle w:val="21"/>
              <w:numPr>
                <w:ilvl w:val="0"/>
                <w:numId w:val="2"/>
              </w:numPr>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在患者完成开始手术前，系统自动根据患者的手术信息，自动对患者进行VTE风险评估，主动提醒医务人员对评估结果进行确认，在医务人员快速确认评估结果后，质控提醒自动消失。</w:t>
            </w:r>
          </w:p>
          <w:p w14:paraId="06E347E1">
            <w:pPr>
              <w:pStyle w:val="21"/>
              <w:numPr>
                <w:ilvl w:val="0"/>
                <w:numId w:val="0"/>
              </w:numPr>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2、系统可主动识别患者手术申请或术前小结，监测评估是否在手术开始前24小时内完成。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AB12D9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103A50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8CC729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050E6C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1A7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3463EE8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593F7CFD">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7FB52806">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在患者完成相关手术后，系统自动根据患者的术后情况，自动对患者进行VTE风险评估，针对VTE风险评估结果有变化的患者，主动提醒医务人员对评估结果进行确认，在医务人员快速确认评估结果后，质控提醒自动消失。2、系统可主动识别患者手术时间，监测评估是否在手术结束后24小时内完成。</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FD1668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E1B39C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1C7AD3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72A877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237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8E7D8C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3114112D">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6B9DE389">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在患者完成转科后24小时内，系统主动提醒转入科室及时完成肿瘤患者的VTE动态风险评估结果的确认。</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09DE4F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565716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2358F3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5B06B1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BFE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DF004E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7FD50A82">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57EA42D3">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患者出院时，系统应主动提醒医生再次进行VTE风险评估结果确认，避免在患者出院前发生遗漏。</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6768A6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142B2D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6A2CA6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5A545E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AFD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3C4AD0C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7AFFC201">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出血风险评估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0245DE1D">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鉴于抗凝预防本身潜在的出血并发症，系统实时自动根据患者的住院情况进行出血风险评估，并主动提醒医生对肿瘤患者的出血风险评估结果进行查看，快速确认。（可智能推荐适用于肿瘤住院患者的出血风险评估表，并自动完成评估）。</w:t>
            </w:r>
          </w:p>
          <w:p w14:paraId="2F428956">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2、系统支持对肿瘤住院患者的出血风险评估结果进行病历回填。</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7B6CD5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BC459A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0F209E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1D871A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6C6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ECA7A0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1CEE55F">
            <w:pPr>
              <w:pStyle w:val="21"/>
              <w:kinsoku w:val="0"/>
              <w:overflowPunct w:val="0"/>
              <w:spacing w:line="360" w:lineRule="auto"/>
              <w:jc w:val="cente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D7488E4">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结合患者全部病史、用药、检查检验结果等信息，系统可根据出血高危患者特征，自动判断患者的出血风险情况。支持人机VTE评估对比，根据对比结果进行重点关注。</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6AD36C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32400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42EFF5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FD6FC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316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6D2485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6343A6C8">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VTE预防措施</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74C202B">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能够实时根据患者是否手术自动判断，对术前、术后的VTE高危患者推荐恰当、针对性的VTE预防措施</w:t>
            </w:r>
            <w:r>
              <w:rPr>
                <w:rFonts w:hint="eastAsia" w:ascii="仿宋" w:hAnsi="仿宋" w:eastAsia="仿宋" w:cs="Times New Roman"/>
                <w:bCs/>
                <w:kern w:val="2"/>
                <w:sz w:val="21"/>
                <w:szCs w:val="21"/>
                <w:lang w:val="en-US" w:eastAsia="zh-Hans" w:bidi="ar-SA"/>
              </w:rPr>
              <w:t>。</w:t>
            </w:r>
            <w:r>
              <w:rPr>
                <w:rFonts w:hint="eastAsia" w:ascii="仿宋" w:hAnsi="仿宋" w:eastAsia="仿宋" w:cs="Times New Roman"/>
                <w:bCs/>
                <w:kern w:val="2"/>
                <w:sz w:val="21"/>
                <w:szCs w:val="21"/>
                <w:lang w:val="en-US" w:eastAsia="zh-CN" w:bidi="ar-SA"/>
              </w:rPr>
              <w:t>对未进行VTE预防措施的高危风险患者，主动、智能提醒医务人员进行相应的基础预防、物理预防、药物预防等措施。可根据医院需要设置为强制功能（强制给予预防措施），防止医生漏开预防措施。</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2CC924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F4C012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41272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DA941E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6E7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AD9E82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A36A84C">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2293B442">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根据患者VTE和出血风险的结果不同，定义恰当的预防措施，例如：VTE高危、出血低危的患者应采用抗凝药物进行预防。能够根据患者病情和预防措施的采取情况，自动判断患者是否采用恰当的预防措施，并主动给予医生提醒，保证预防措施执行到位。</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FC1492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918F90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DBE67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1BC26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3D8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74" w:type="dxa"/>
            <w:vMerge w:val="continue"/>
            <w:tcBorders>
              <w:left w:val="single" w:color="auto" w:sz="4" w:space="0"/>
              <w:right w:val="single" w:color="auto" w:sz="4" w:space="0"/>
            </w:tcBorders>
            <w:noWrap w:val="0"/>
            <w:vAlign w:val="center"/>
          </w:tcPr>
          <w:p w14:paraId="5E3A3A4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948A382">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4B4E967A">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当患者VTE风险评分结果为中高危时，系统应主动提醒医生采取VTE的预防措施。</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3A9477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631F80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CC1EB9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40BAFD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4070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05457D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32C36491">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Hans" w:bidi="ar-SA"/>
              </w:rPr>
              <w:t>DVT患者推荐检查治疗</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1CA7C1B9">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Hans" w:bidi="ar-SA"/>
              </w:rPr>
              <w:t>支持对于</w:t>
            </w:r>
            <w:r>
              <w:rPr>
                <w:rFonts w:hint="eastAsia" w:ascii="仿宋" w:hAnsi="仿宋" w:eastAsia="仿宋" w:cs="Times New Roman"/>
                <w:bCs/>
                <w:kern w:val="2"/>
                <w:sz w:val="21"/>
                <w:szCs w:val="21"/>
                <w:lang w:val="en-US" w:eastAsia="zh-CN" w:bidi="ar-SA"/>
              </w:rPr>
              <w:t>恶性肿瘤患者疑似</w:t>
            </w:r>
            <w:r>
              <w:rPr>
                <w:rFonts w:hint="default" w:ascii="仿宋" w:hAnsi="仿宋" w:eastAsia="仿宋" w:cs="Times New Roman"/>
                <w:bCs/>
                <w:kern w:val="2"/>
                <w:sz w:val="21"/>
                <w:szCs w:val="21"/>
                <w:lang w:val="en-US" w:eastAsia="zh-CN" w:bidi="ar-SA"/>
              </w:rPr>
              <w:t>DVT</w:t>
            </w:r>
            <w:r>
              <w:rPr>
                <w:rFonts w:hint="eastAsia" w:ascii="仿宋" w:hAnsi="仿宋" w:eastAsia="仿宋" w:cs="Times New Roman"/>
                <w:bCs/>
                <w:kern w:val="2"/>
                <w:sz w:val="21"/>
                <w:szCs w:val="21"/>
                <w:lang w:val="en-US" w:eastAsia="zh-Hans" w:bidi="ar-SA"/>
              </w:rPr>
              <w:t>提醒静脉加压超声检查；对DVT确诊患者，根据患者抗凝禁忌情况的有无，推荐DVT治疗建议和血栓治疗建议。</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EB0724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6C77DA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C78F0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7DE4AF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54D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6345C52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28A30BF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6C15B60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00E475C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4255F06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08B5754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22F8958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VTE质控平台</w:t>
            </w:r>
          </w:p>
        </w:tc>
        <w:tc>
          <w:tcPr>
            <w:tcW w:w="1161" w:type="dxa"/>
            <w:tcBorders>
              <w:left w:val="single" w:color="auto" w:sz="4" w:space="0"/>
              <w:right w:val="single" w:color="auto" w:sz="4" w:space="0"/>
            </w:tcBorders>
            <w:noWrap w:val="0"/>
            <w:vAlign w:val="center"/>
          </w:tcPr>
          <w:p w14:paraId="16486225">
            <w:pPr>
              <w:spacing w:line="360" w:lineRule="auto"/>
              <w:jc w:val="center"/>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科室质量管理平台</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7A189F19">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质控统计功能在科室质量管理平台中“VTE防治”模块，可查看VTE防治统计数据。能够提供管理部门完整、详细的数据统计分析报表，可以从管理端直观、多维度查看VTE防治效果。</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B7BC7A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FB1121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C8FAF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A96443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03F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EE1D1C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23349CB8">
            <w:pPr>
              <w:pStyle w:val="21"/>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在院监测</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3E04B00C">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支持管理者对在院患者VTE防治措施执行情况进行监管，提醒医生对未按规范防治的高危患者及时采取补救措施进行防治、避免和减少因未及时防治而导致的VTE发生率及致死率。</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E4C880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3CCBC4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6D3B3A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6688B0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88B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4" w:type="dxa"/>
            <w:vMerge w:val="continue"/>
            <w:tcBorders>
              <w:left w:val="single" w:color="auto" w:sz="4" w:space="0"/>
              <w:right w:val="single" w:color="auto" w:sz="4" w:space="0"/>
            </w:tcBorders>
            <w:noWrap w:val="0"/>
            <w:vAlign w:val="center"/>
          </w:tcPr>
          <w:p w14:paraId="31506C9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9D16B5A">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5F472548">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对于未完成某项VTE防治措施的患者，系统可自动查询相关评估结果的详细信息；对于已完成某项VTE防治措施的患者，系统可自动查询相关评估结果的详细信息</w:t>
            </w:r>
            <w:r>
              <w:rPr>
                <w:rFonts w:hint="eastAsia" w:ascii="仿宋" w:hAnsi="仿宋" w:eastAsia="仿宋" w:cs="Times New Roman"/>
                <w:bCs/>
                <w:kern w:val="2"/>
                <w:sz w:val="21"/>
                <w:szCs w:val="21"/>
                <w:lang w:val="en-US" w:eastAsia="zh-CN" w:bidi="ar-SA"/>
              </w:rPr>
              <w:t>及预防措施内容</w:t>
            </w:r>
            <w:r>
              <w:rPr>
                <w:rFonts w:hint="eastAsia" w:ascii="仿宋" w:hAnsi="仿宋" w:eastAsia="仿宋" w:cs="Times New Roman"/>
                <w:bCs/>
                <w:kern w:val="2"/>
                <w:sz w:val="21"/>
                <w:szCs w:val="21"/>
                <w:lang w:val="en-US" w:eastAsia="zh-Hans" w:bidi="ar-SA"/>
              </w:rPr>
              <w:t>。支持下载患者VTE防治明细表格，进行更多维度的统计分析和临床管理。</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6BC407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34D01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4FD9DC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BB1836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08E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84E30D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7FDBB267">
            <w:pPr>
              <w:pStyle w:val="21"/>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指标统计</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63682C46">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医院和科室管理人员可对全院、或按科室对各科室患者的VTE防治质控指标的达成情况和VTE实际发生率分析一览、查看相关患者明细，同时支持按年龄、是否手术、是否为院外VTE、是否正在接受抗凝治疗、是否有机械预防禁忌</w:t>
            </w:r>
            <w:r>
              <w:rPr>
                <w:rFonts w:hint="eastAsia" w:ascii="仿宋" w:hAnsi="仿宋" w:eastAsia="仿宋" w:cs="Times New Roman"/>
                <w:bCs/>
                <w:kern w:val="2"/>
                <w:sz w:val="21"/>
                <w:szCs w:val="21"/>
                <w:lang w:val="en-US" w:eastAsia="zh-CN" w:bidi="ar-SA"/>
              </w:rPr>
              <w:t>、是否为日间患者</w:t>
            </w:r>
            <w:r>
              <w:rPr>
                <w:rFonts w:hint="eastAsia" w:ascii="仿宋" w:hAnsi="仿宋" w:eastAsia="仿宋" w:cs="Times New Roman"/>
                <w:bCs/>
                <w:kern w:val="2"/>
                <w:sz w:val="21"/>
                <w:szCs w:val="21"/>
                <w:lang w:val="en-US" w:eastAsia="zh-Hans" w:bidi="ar-SA"/>
              </w:rPr>
              <w:t>等条件查看患者明细</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便于回顾追踪患者在院期间的VTE防治情况。</w:t>
            </w:r>
          </w:p>
          <w:p w14:paraId="2DC4B1E7">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至少包括：</w:t>
            </w:r>
          </w:p>
          <w:p w14:paraId="48F5AB20">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（1）</w:t>
            </w:r>
            <w:r>
              <w:rPr>
                <w:rFonts w:hint="eastAsia" w:ascii="仿宋" w:hAnsi="仿宋" w:eastAsia="仿宋" w:cs="Times New Roman"/>
                <w:bCs/>
                <w:kern w:val="2"/>
                <w:sz w:val="21"/>
                <w:szCs w:val="21"/>
                <w:lang w:val="en-US" w:eastAsia="zh-Hans" w:bidi="ar-SA"/>
              </w:rPr>
              <w:t>评估指标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支持按全院/科室/时间等不同维度筛选，统计指标包括</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入院、术后、转科等关键节点的VTE评估情况、不同人群出血评估、Wells评估情况统计，各个指标支持下钻、科室</w:t>
            </w:r>
            <w:r>
              <w:rPr>
                <w:rFonts w:hint="eastAsia" w:ascii="仿宋" w:hAnsi="仿宋" w:eastAsia="仿宋" w:cs="Times New Roman"/>
                <w:bCs/>
                <w:kern w:val="2"/>
                <w:sz w:val="21"/>
                <w:szCs w:val="21"/>
                <w:lang w:val="en-US" w:eastAsia="zh-CN" w:bidi="ar-SA"/>
              </w:rPr>
              <w:t>情况</w:t>
            </w:r>
            <w:r>
              <w:rPr>
                <w:rFonts w:hint="eastAsia" w:ascii="仿宋" w:hAnsi="仿宋" w:eastAsia="仿宋" w:cs="Times New Roman"/>
                <w:bCs/>
                <w:kern w:val="2"/>
                <w:sz w:val="21"/>
                <w:szCs w:val="21"/>
                <w:lang w:val="en-US" w:eastAsia="zh-Hans" w:bidi="ar-SA"/>
              </w:rPr>
              <w:t>以及趋势图。</w:t>
            </w:r>
          </w:p>
          <w:p w14:paraId="29A0BF80">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（2）</w:t>
            </w:r>
            <w:r>
              <w:rPr>
                <w:rFonts w:hint="eastAsia" w:ascii="仿宋" w:hAnsi="仿宋" w:eastAsia="仿宋" w:cs="Times New Roman"/>
                <w:bCs/>
                <w:kern w:val="2"/>
                <w:sz w:val="21"/>
                <w:szCs w:val="21"/>
                <w:lang w:val="en-US" w:eastAsia="zh-Hans" w:bidi="ar-SA"/>
              </w:rPr>
              <w:t>预防详情指标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支持按全院/科室/时间等不同维度筛选，统计指标包括机械、药物、基础等不同层面，各个指标支持下钻、科室</w:t>
            </w:r>
            <w:r>
              <w:rPr>
                <w:rFonts w:hint="eastAsia" w:ascii="仿宋" w:hAnsi="仿宋" w:eastAsia="仿宋" w:cs="Times New Roman"/>
                <w:bCs/>
                <w:kern w:val="2"/>
                <w:sz w:val="21"/>
                <w:szCs w:val="21"/>
                <w:lang w:val="en-US" w:eastAsia="zh-CN" w:bidi="ar-SA"/>
              </w:rPr>
              <w:t>情况</w:t>
            </w:r>
            <w:r>
              <w:rPr>
                <w:rFonts w:hint="eastAsia" w:ascii="仿宋" w:hAnsi="仿宋" w:eastAsia="仿宋" w:cs="Times New Roman"/>
                <w:bCs/>
                <w:kern w:val="2"/>
                <w:sz w:val="21"/>
                <w:szCs w:val="21"/>
                <w:lang w:val="en-US" w:eastAsia="zh-Hans" w:bidi="ar-SA"/>
              </w:rPr>
              <w:t>以及趋势图。</w:t>
            </w:r>
          </w:p>
          <w:p w14:paraId="247F5AC2">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（3）</w:t>
            </w:r>
            <w:r>
              <w:rPr>
                <w:rFonts w:hint="eastAsia" w:ascii="仿宋" w:hAnsi="仿宋" w:eastAsia="仿宋" w:cs="Times New Roman"/>
                <w:bCs/>
                <w:kern w:val="2"/>
                <w:sz w:val="21"/>
                <w:szCs w:val="21"/>
                <w:lang w:val="en-US" w:eastAsia="zh-Hans" w:bidi="ar-SA"/>
              </w:rPr>
              <w:t>诊断指标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支持按全院/科室/时间等不同维度筛选，统计指标包括D</w:t>
            </w:r>
            <w:r>
              <w:rPr>
                <w:rFonts w:hint="eastAsia" w:ascii="仿宋" w:hAnsi="仿宋" w:eastAsia="仿宋" w:cs="Times New Roman"/>
                <w:bCs/>
                <w:kern w:val="2"/>
                <w:sz w:val="21"/>
                <w:szCs w:val="21"/>
                <w:lang w:val="en-US" w:eastAsia="zh-CN" w:bidi="ar-SA"/>
              </w:rPr>
              <w:t>-二聚体等</w:t>
            </w:r>
            <w:r>
              <w:rPr>
                <w:rFonts w:hint="eastAsia" w:ascii="仿宋" w:hAnsi="仿宋" w:eastAsia="仿宋" w:cs="Times New Roman"/>
                <w:bCs/>
                <w:kern w:val="2"/>
                <w:sz w:val="21"/>
                <w:szCs w:val="21"/>
                <w:lang w:val="en-US" w:eastAsia="zh-Hans" w:bidi="ar-SA"/>
              </w:rPr>
              <w:t>检测率、下肢血管超声率、超声心动图、肺血管CT率等不同层面，各个指标支持下钻、科室</w:t>
            </w:r>
            <w:r>
              <w:rPr>
                <w:rFonts w:hint="eastAsia" w:ascii="仿宋" w:hAnsi="仿宋" w:eastAsia="仿宋" w:cs="Times New Roman"/>
                <w:bCs/>
                <w:kern w:val="2"/>
                <w:sz w:val="21"/>
                <w:szCs w:val="21"/>
                <w:lang w:val="en-US" w:eastAsia="zh-CN" w:bidi="ar-SA"/>
              </w:rPr>
              <w:t>情况</w:t>
            </w:r>
            <w:r>
              <w:rPr>
                <w:rFonts w:hint="eastAsia" w:ascii="仿宋" w:hAnsi="仿宋" w:eastAsia="仿宋" w:cs="Times New Roman"/>
                <w:bCs/>
                <w:kern w:val="2"/>
                <w:sz w:val="21"/>
                <w:szCs w:val="21"/>
                <w:lang w:val="en-US" w:eastAsia="zh-Hans" w:bidi="ar-SA"/>
              </w:rPr>
              <w:t>以及趋势图。</w:t>
            </w:r>
          </w:p>
          <w:p w14:paraId="5C718B1A">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（4）</w:t>
            </w:r>
            <w:r>
              <w:rPr>
                <w:rFonts w:hint="eastAsia" w:ascii="仿宋" w:hAnsi="仿宋" w:eastAsia="仿宋" w:cs="Times New Roman"/>
                <w:bCs/>
                <w:kern w:val="2"/>
                <w:sz w:val="21"/>
                <w:szCs w:val="21"/>
                <w:lang w:val="en-US" w:eastAsia="zh-Hans" w:bidi="ar-SA"/>
              </w:rPr>
              <w:t>治疗指标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支持按全院/科室/时间等不同维度筛选，统计指标包括VTE患者的抗凝、溶栓等不同层面，各个指标支持下钻、</w:t>
            </w:r>
            <w:r>
              <w:rPr>
                <w:rFonts w:hint="eastAsia" w:ascii="仿宋" w:hAnsi="仿宋" w:eastAsia="仿宋" w:cs="Times New Roman"/>
                <w:bCs/>
                <w:kern w:val="2"/>
                <w:sz w:val="21"/>
                <w:szCs w:val="21"/>
                <w:lang w:val="en-US" w:eastAsia="zh-CN" w:bidi="ar-SA"/>
              </w:rPr>
              <w:t>科室情况</w:t>
            </w:r>
            <w:r>
              <w:rPr>
                <w:rFonts w:hint="eastAsia" w:ascii="仿宋" w:hAnsi="仿宋" w:eastAsia="仿宋" w:cs="Times New Roman"/>
                <w:bCs/>
                <w:kern w:val="2"/>
                <w:sz w:val="21"/>
                <w:szCs w:val="21"/>
                <w:lang w:val="en-US" w:eastAsia="zh-Hans" w:bidi="ar-SA"/>
              </w:rPr>
              <w:t>以及趋势图。</w:t>
            </w:r>
          </w:p>
          <w:p w14:paraId="3D6E952F">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（5）</w:t>
            </w:r>
            <w:r>
              <w:rPr>
                <w:rFonts w:hint="eastAsia" w:ascii="仿宋" w:hAnsi="仿宋" w:eastAsia="仿宋" w:cs="Times New Roman"/>
                <w:bCs/>
                <w:kern w:val="2"/>
                <w:sz w:val="21"/>
                <w:szCs w:val="21"/>
                <w:lang w:val="en-US" w:eastAsia="zh-Hans" w:bidi="ar-SA"/>
              </w:rPr>
              <w:t>结局指标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支持按全院/科室/时间等不同维度筛选，支持院内VTE发生情况的细指标统计，包括VTE,PTE,DVT等相关性和病死率统计，以及资源消耗情况统计，支持趋势图。</w:t>
            </w:r>
          </w:p>
          <w:p w14:paraId="73FA2935">
            <w:pPr>
              <w:pStyle w:val="21"/>
              <w:kinsoku w:val="0"/>
              <w:overflowPunct w:val="0"/>
              <w:spacing w:line="24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w:t>
            </w:r>
            <w:r>
              <w:rPr>
                <w:rFonts w:hint="eastAsia" w:ascii="仿宋" w:hAnsi="仿宋" w:eastAsia="仿宋" w:cs="Times New Roman"/>
                <w:bCs/>
                <w:kern w:val="2"/>
                <w:sz w:val="21"/>
                <w:szCs w:val="21"/>
                <w:lang w:val="en-US" w:eastAsia="zh-Hans" w:bidi="ar-SA"/>
              </w:rPr>
              <w:t>肿瘤相关指标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支持重症ICU患者VTE评估率，肺癌、结直肠癌、胃癌、乳腺癌、肝癌、食管癌等患者VTE评估率指标统计。每个指标支持计算公式、趋势图以及下钻功能</w:t>
            </w:r>
            <w:r>
              <w:rPr>
                <w:rFonts w:hint="eastAsia" w:ascii="仿宋" w:hAnsi="仿宋" w:eastAsia="仿宋" w:cs="Times New Roman"/>
                <w:bCs/>
                <w:kern w:val="2"/>
                <w:sz w:val="21"/>
                <w:szCs w:val="21"/>
                <w:lang w:val="en-US" w:eastAsia="zh-CN" w:bidi="ar-SA"/>
              </w:rPr>
              <w:t>。</w:t>
            </w:r>
          </w:p>
          <w:p w14:paraId="23AE1CBA">
            <w:pPr>
              <w:pStyle w:val="21"/>
              <w:kinsoku w:val="0"/>
              <w:overflowPunct w:val="0"/>
              <w:spacing w:line="240" w:lineRule="auto"/>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（7）支持按手术维度统计患者VTE风险评估及预防情况。</w:t>
            </w:r>
          </w:p>
          <w:p w14:paraId="0FC3D0B5">
            <w:pPr>
              <w:pStyle w:val="21"/>
              <w:kinsoku w:val="0"/>
              <w:overflowPunct w:val="0"/>
              <w:spacing w:line="240" w:lineRule="auto"/>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（8）支持按月维度汇总VTE风险评估及预防情况。</w:t>
            </w:r>
          </w:p>
          <w:p w14:paraId="36769863">
            <w:pPr>
              <w:pStyle w:val="21"/>
              <w:kinsoku w:val="0"/>
              <w:overflowPunct w:val="0"/>
              <w:spacing w:line="24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（9）支持按月维度汇总VTE认证上报数据。</w:t>
            </w:r>
          </w:p>
          <w:p w14:paraId="5E0E155E">
            <w:pPr>
              <w:pStyle w:val="21"/>
              <w:kinsoku w:val="0"/>
              <w:overflowPunct w:val="0"/>
              <w:spacing w:line="240" w:lineRule="auto"/>
              <w:rPr>
                <w:rFonts w:hint="default"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（10）支持根据医院需求维护相关统计报表。</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C61DCF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ACAFF1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F11AC6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E94FD0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4D2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328BADB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72604EA0">
            <w:pPr>
              <w:pStyle w:val="21"/>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随访清单</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5DE2C42">
            <w:pPr>
              <w:pStyle w:val="21"/>
              <w:numPr>
                <w:ilvl w:val="0"/>
                <w:numId w:val="3"/>
              </w:numPr>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医院和科室管理人员可对全院、或按科室查看各科室患者的VTE防治情况，根据VTE风险情况、出血风险评估情况筛选随访目标患者。</w:t>
            </w:r>
          </w:p>
          <w:p w14:paraId="10EF9FA7">
            <w:pPr>
              <w:pStyle w:val="21"/>
              <w:numPr>
                <w:ilvl w:val="0"/>
                <w:numId w:val="3"/>
              </w:numPr>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支持查看患者评估情况、出入院诊断、检查情况、预防措施情况等，支持下载患者清单。</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674866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60F6EE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FACE68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3D1686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E2B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24986C7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VTE过程质量配置</w:t>
            </w:r>
          </w:p>
        </w:tc>
        <w:tc>
          <w:tcPr>
            <w:tcW w:w="1161" w:type="dxa"/>
            <w:vMerge w:val="restart"/>
            <w:tcBorders>
              <w:left w:val="single" w:color="auto" w:sz="4" w:space="0"/>
              <w:right w:val="single" w:color="auto" w:sz="4" w:space="0"/>
            </w:tcBorders>
            <w:noWrap w:val="0"/>
            <w:vAlign w:val="center"/>
          </w:tcPr>
          <w:p w14:paraId="088B49B3">
            <w:pPr>
              <w:pStyle w:val="21"/>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医嘱监控（三级卡控）</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F057B3A">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结合医院监管需求，支持医院根据自身业务需求设置VTE质控的提醒方式，提醒强度区分三级：1级仅提醒、2级弹出框主动展示提醒医生关注、3级弹出框主动展示提醒（医生开立预防医嘱时，根据患者病情，自动校验预防措施合理性，判断不合理或需完成相关检查、检验结果），以监测医生在患者住院期间病情变化的关键节点采取恰当、及时的预防措施。三级提醒级别支持医院个性化配置到每一条质控要求上，匹配医院不同的管理要求。</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1CD4B9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B7C635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CECF6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852ECF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24A8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DE5E9D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5387B4D">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7D3F3CB3">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当患者VTE评估结果为中/高危时，系统应自动对预防措施的采取情况进行判断。若尚未完成相应的预防医嘱，系统应主动提醒（弹框提醒）医生下达预防处方。</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5AB705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4746F9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FC2B50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402042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95E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91743E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E78FD02">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2B9B0F46">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当患者VTE评估结果为中/高危，且出血风险为高危时，若尚未完成物理预防医嘱，系统应主动对医生进行提醒（弹框提醒），在医生提交/保存医嘱时，进行提醒。若医生有其他考虑，需写明原因。</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DB290D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24204E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3FB3AC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1938EA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AB4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FB56AB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BE28461">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2A452649">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当患者出血风险为高危时，若医生继续下达抗凝药物医嘱时，系统应主动对医生进行强提醒，在医生提交/保存医嘱时，进行提醒。若医生有其他考虑，需写明原因。</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32A5B4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54FC55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C71591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EF098D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779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07277B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E6E493C">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0B91EEFE">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当患者VTE评估结果为中/高危，且出血风险为低危时，系统应主动提醒（弹框提醒）医生下达抗凝药物医嘱以预防血栓，若医生有其他顾虑，需写明原因。</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C7D42C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06E52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84F895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9B9308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00F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DE4CDB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4D87EB0A">
            <w:pPr>
              <w:pStyle w:val="21"/>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质控生效配置</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787D3552">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生效范围配置：支持对所有质控逻辑的生效范围进行配置。可按照提醒科室、提醒病区或非提醒科室、非提醒病区进行筛选配置，满足不同科室、病区的差异化质控需求。当对应质控逻辑触发时，只在生效科室提醒，非提醒科室不提醒，例如可配置内科VTE风险评估表（Pa</w:t>
            </w:r>
            <w:r>
              <w:rPr>
                <w:rFonts w:hint="default" w:ascii="仿宋" w:hAnsi="仿宋" w:eastAsia="仿宋" w:cs="Times New Roman"/>
                <w:bCs/>
                <w:kern w:val="2"/>
                <w:sz w:val="21"/>
                <w:szCs w:val="21"/>
                <w:lang w:val="en-US" w:eastAsia="zh-CN" w:bidi="ar-SA"/>
              </w:rPr>
              <w:t>dua</w:t>
            </w:r>
            <w:r>
              <w:rPr>
                <w:rFonts w:hint="eastAsia" w:ascii="仿宋" w:hAnsi="仿宋" w:eastAsia="仿宋" w:cs="Times New Roman"/>
                <w:bCs/>
                <w:kern w:val="2"/>
                <w:sz w:val="21"/>
                <w:szCs w:val="21"/>
                <w:lang w:val="en-US" w:eastAsia="zh-CN" w:bidi="ar-SA"/>
              </w:rPr>
              <w:t>评分表）非提醒科室为“妇科、普通外科”。</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2C640E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6232EE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C19048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EA0DB1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B91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5281D0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078C37F">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3A0217C8">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default" w:ascii="仿宋" w:hAnsi="仿宋" w:eastAsia="仿宋" w:cs="Times New Roman"/>
                <w:bCs/>
                <w:kern w:val="2"/>
                <w:sz w:val="21"/>
                <w:szCs w:val="21"/>
                <w:lang w:val="en-US" w:eastAsia="zh-CN" w:bidi="ar-SA"/>
              </w:rPr>
              <w:t>提醒位置配置：</w:t>
            </w:r>
            <w:r>
              <w:rPr>
                <w:rFonts w:hint="eastAsia" w:ascii="仿宋" w:hAnsi="仿宋" w:eastAsia="仿宋" w:cs="Times New Roman"/>
                <w:bCs/>
                <w:kern w:val="2"/>
                <w:sz w:val="21"/>
                <w:szCs w:val="21"/>
                <w:lang w:val="en-US" w:eastAsia="zh-CN" w:bidi="ar-SA"/>
              </w:rPr>
              <w:t>支持根据需求配置质控逻辑的提醒位置，包括入院记录、首次病程记录、日常病程录、查房记录、出院记录、入院护理记录、日常护理记录、医嘱系统等。</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7706C5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63DCD6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7C8453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E3A317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8D3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B37B76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AFB3BFD">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11AD10F8">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评估表配置：对于VTE初始评估质控提醒，可在同一配置界面，实现不同科室不同评估表的配置，如骨科配置骨科VTE危险因素评估表；血管外科等科室配置外科VTE风险评估（Caprini评分表）。</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174BC7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5D25B8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099722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B85F11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38F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36AC9B9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4C6DE133">
            <w:pPr>
              <w:pStyle w:val="21"/>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实时可视化数据大屏监控</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295B5B3A">
            <w:pPr>
              <w:pStyle w:val="21"/>
              <w:kinsoku w:val="0"/>
              <w:overflowPunct w:val="0"/>
              <w:spacing w:line="24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将全院、各个科室的VTE防治情况进行实时可视化大屏监控，进行多维度实时监测院内评测和检测过程指标：VTE的风险评估及时率/准确率、分级干预措施落实率、出血风险评估率，结局指标：院内相关性VTE发生率、VTE相关死亡率；自动计算过程指标和结局指标等（根据医院需求维护相关数据指标），便于监控患者的VTE实时防治情况。</w:t>
            </w:r>
          </w:p>
          <w:p w14:paraId="14653033">
            <w:pPr>
              <w:pStyle w:val="21"/>
              <w:kinsoku w:val="0"/>
              <w:overflowPunct w:val="0"/>
              <w:spacing w:line="24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效果监测结果形成图标显示，并有AI辅助改进措施，可对其内容AI辅助改机措施有修改和确定权力。</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F8CB50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4D527F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2AA54A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7BE362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2C3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6490C80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06CD3C8">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400" w:type="dxa"/>
            <w:tcBorders>
              <w:top w:val="single" w:color="auto" w:sz="4" w:space="0"/>
              <w:left w:val="single" w:color="auto" w:sz="4" w:space="0"/>
              <w:bottom w:val="single" w:color="auto" w:sz="4" w:space="0"/>
              <w:right w:val="single" w:color="auto" w:sz="4" w:space="0"/>
            </w:tcBorders>
            <w:noWrap w:val="0"/>
            <w:vAlign w:val="top"/>
          </w:tcPr>
          <w:p w14:paraId="41853C7D">
            <w:pPr>
              <w:pStyle w:val="21"/>
              <w:kinsoku w:val="0"/>
              <w:overflowPunct w:val="0"/>
              <w:spacing w:line="24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实时分类展示全院、各个科室患者的VTE防控详细信息，包括：VTE风险等级、出血风险评估情况、VTE中高危患者的详细风险评估结果、预防药物、物理预防措施。</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6C657A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AE8583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DC1CF6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FEA29B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341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74" w:type="dxa"/>
            <w:vMerge w:val="restart"/>
            <w:tcBorders>
              <w:left w:val="single" w:color="auto" w:sz="4" w:space="0"/>
              <w:right w:val="single" w:color="auto" w:sz="4" w:space="0"/>
            </w:tcBorders>
            <w:noWrap w:val="0"/>
            <w:vAlign w:val="center"/>
          </w:tcPr>
          <w:p w14:paraId="1B43D146">
            <w:pPr>
              <w:pStyle w:val="21"/>
              <w:kinsoku w:val="0"/>
              <w:overflowPunct w:val="0"/>
              <w:spacing w:line="360" w:lineRule="auto"/>
              <w:rPr>
                <w:rFonts w:hint="eastAsia" w:ascii="仿宋" w:hAnsi="仿宋" w:eastAsia="仿宋" w:cs="Times New Roman"/>
                <w:bCs/>
                <w:strike/>
                <w:kern w:val="2"/>
                <w:sz w:val="21"/>
                <w:szCs w:val="21"/>
                <w:highlight w:val="yellow"/>
                <w:lang w:val="en-US" w:eastAsia="zh-CN" w:bidi="ar-SA"/>
              </w:rPr>
            </w:pPr>
            <w:r>
              <w:rPr>
                <w:rFonts w:hint="eastAsia" w:ascii="仿宋" w:hAnsi="仿宋" w:eastAsia="仿宋" w:cs="Times New Roman"/>
                <w:bCs/>
                <w:kern w:val="2"/>
                <w:sz w:val="21"/>
                <w:szCs w:val="21"/>
                <w:lang w:val="en-US" w:eastAsia="zh-CN" w:bidi="ar-SA"/>
              </w:rPr>
              <w:t>其他</w:t>
            </w:r>
          </w:p>
        </w:tc>
        <w:tc>
          <w:tcPr>
            <w:tcW w:w="1161" w:type="dxa"/>
            <w:tcBorders>
              <w:left w:val="single" w:color="auto" w:sz="4" w:space="0"/>
              <w:right w:val="single" w:color="auto" w:sz="4" w:space="0"/>
            </w:tcBorders>
            <w:noWrap w:val="0"/>
            <w:vAlign w:val="center"/>
          </w:tcPr>
          <w:p w14:paraId="4F76645E">
            <w:pPr>
              <w:pStyle w:val="21"/>
              <w:kinsoku w:val="0"/>
              <w:overflowPunct w:val="0"/>
              <w:spacing w:line="360" w:lineRule="auto"/>
              <w:rPr>
                <w:rFonts w:hint="eastAsia" w:ascii="仿宋" w:hAnsi="仿宋" w:eastAsia="仿宋" w:cs="Times New Roman"/>
                <w:bCs/>
                <w:strike/>
                <w:kern w:val="2"/>
                <w:sz w:val="21"/>
                <w:szCs w:val="21"/>
                <w:highlight w:val="yellow"/>
                <w:lang w:val="en-US" w:eastAsia="zh-Hans" w:bidi="ar-SA"/>
              </w:rPr>
            </w:pPr>
            <w:r>
              <w:rPr>
                <w:rFonts w:hint="eastAsia" w:ascii="仿宋" w:hAnsi="仿宋" w:eastAsia="仿宋" w:cs="Times New Roman"/>
                <w:bCs/>
                <w:kern w:val="2"/>
                <w:sz w:val="21"/>
                <w:szCs w:val="21"/>
                <w:lang w:val="en-US" w:eastAsia="zh-CN" w:bidi="ar-SA"/>
              </w:rPr>
              <w:t>治疗数据互联互通</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43282CFB">
            <w:pPr>
              <w:spacing w:line="240" w:lineRule="auto"/>
            </w:pPr>
            <w:r>
              <w:rPr>
                <w:rFonts w:hint="eastAsia" w:ascii="仿宋" w:hAnsi="仿宋" w:eastAsia="仿宋" w:cs="Times New Roman"/>
                <w:bCs/>
                <w:kern w:val="2"/>
                <w:sz w:val="21"/>
                <w:szCs w:val="21"/>
                <w:lang w:val="en-US" w:eastAsia="zh-CN" w:bidi="ar-SA"/>
              </w:rPr>
              <w:t>系统支持与带有联网功能的下肢间歇充气加压装置（IPC）等VTE治疗设备互联互通。</w:t>
            </w:r>
          </w:p>
          <w:p w14:paraId="363DDFA6">
            <w:pPr>
              <w:pStyle w:val="21"/>
              <w:kinsoku w:val="0"/>
              <w:overflowPunct w:val="0"/>
              <w:spacing w:line="240" w:lineRule="auto"/>
              <w:rPr>
                <w:rFonts w:hint="default" w:ascii="仿宋" w:hAnsi="仿宋" w:eastAsia="仿宋" w:cs="Times New Roman"/>
                <w:bCs/>
                <w:strike/>
                <w:kern w:val="2"/>
                <w:sz w:val="21"/>
                <w:szCs w:val="21"/>
                <w:highlight w:val="yellow"/>
                <w:lang w:val="en-US" w:eastAsia="zh-CN" w:bidi="ar-SA"/>
              </w:rPr>
            </w:pPr>
          </w:p>
        </w:tc>
        <w:tc>
          <w:tcPr>
            <w:tcW w:w="752" w:type="dxa"/>
            <w:tcBorders>
              <w:top w:val="single" w:color="auto" w:sz="4" w:space="0"/>
              <w:left w:val="single" w:color="auto" w:sz="4" w:space="0"/>
              <w:bottom w:val="single" w:color="auto" w:sz="4" w:space="0"/>
              <w:right w:val="single" w:color="auto" w:sz="4" w:space="0"/>
            </w:tcBorders>
            <w:noWrap w:val="0"/>
            <w:vAlign w:val="top"/>
          </w:tcPr>
          <w:p w14:paraId="354D4BDE">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AE01C1">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2078A21">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37F6C07A">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242C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jc w:val="center"/>
        </w:trPr>
        <w:tc>
          <w:tcPr>
            <w:tcW w:w="674" w:type="dxa"/>
            <w:vMerge w:val="continue"/>
            <w:tcBorders>
              <w:left w:val="single" w:color="auto" w:sz="4" w:space="0"/>
              <w:right w:val="single" w:color="auto" w:sz="4" w:space="0"/>
            </w:tcBorders>
            <w:noWrap w:val="0"/>
            <w:vAlign w:val="center"/>
          </w:tcPr>
          <w:p w14:paraId="60487964">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6FD4843">
            <w:pPr>
              <w:pStyle w:val="21"/>
              <w:kinsoku w:val="0"/>
              <w:overflowPunct w:val="0"/>
              <w:spacing w:line="36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防治中心认证管理</w:t>
            </w:r>
          </w:p>
        </w:tc>
        <w:tc>
          <w:tcPr>
            <w:tcW w:w="4400" w:type="dxa"/>
            <w:tcBorders>
              <w:top w:val="single" w:color="auto" w:sz="4" w:space="0"/>
              <w:left w:val="single" w:color="auto" w:sz="4" w:space="0"/>
              <w:bottom w:val="single" w:color="auto" w:sz="4" w:space="0"/>
              <w:right w:val="single" w:color="auto" w:sz="4" w:space="0"/>
            </w:tcBorders>
            <w:noWrap w:val="0"/>
            <w:vAlign w:val="top"/>
          </w:tcPr>
          <w:p w14:paraId="3BA384C1">
            <w:pPr>
              <w:pStyle w:val="21"/>
              <w:numPr>
                <w:ilvl w:val="0"/>
                <w:numId w:val="4"/>
              </w:numPr>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VTE防治中心授牌工作的全流程及辅助管理功能，引导医院高效、准确地完成每一步认证工作，直到获取授牌，包含报名VTE项目、知情同意书提交、院内VTE防治体系建设、认证资料提交、专家评审等的全流程及辅助管理功能。</w:t>
            </w:r>
          </w:p>
          <w:p w14:paraId="440D20DC">
            <w:pPr>
              <w:pStyle w:val="21"/>
              <w:numPr>
                <w:numId w:val="0"/>
              </w:numPr>
              <w:kinsoku w:val="0"/>
              <w:overflowPunct w:val="0"/>
              <w:spacing w:line="240" w:lineRule="auto"/>
              <w:rPr>
                <w:rFonts w:hint="default"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2、</w:t>
            </w:r>
            <w:r>
              <w:rPr>
                <w:rFonts w:hint="default" w:ascii="仿宋" w:hAnsi="仿宋" w:eastAsia="仿宋" w:cs="Times New Roman"/>
                <w:bCs/>
                <w:color w:val="0000FF"/>
                <w:kern w:val="2"/>
                <w:sz w:val="21"/>
                <w:szCs w:val="21"/>
                <w:lang w:val="en-US" w:eastAsia="zh-CN" w:bidi="ar-SA"/>
              </w:rPr>
              <w:t>VTE防治体系建设的过程中，要求提供全程的帮助服务（建设内容、方案、时间安排、学术帮助，以及迎审阶段的必要协助）</w:t>
            </w:r>
            <w:r>
              <w:rPr>
                <w:rFonts w:hint="eastAsia" w:ascii="仿宋" w:hAnsi="仿宋" w:eastAsia="仿宋" w:cs="Times New Roman"/>
                <w:bCs/>
                <w:color w:val="0000FF"/>
                <w:kern w:val="2"/>
                <w:sz w:val="21"/>
                <w:szCs w:val="21"/>
                <w:lang w:val="en-US" w:eastAsia="zh-CN" w:bidi="ar-SA"/>
              </w:rPr>
              <w:t>（</w:t>
            </w:r>
            <w:r>
              <w:rPr>
                <w:rFonts w:hint="default" w:ascii="仿宋" w:hAnsi="仿宋" w:eastAsia="仿宋" w:cs="Times New Roman"/>
                <w:bCs/>
                <w:color w:val="0000FF"/>
                <w:kern w:val="2"/>
                <w:sz w:val="21"/>
                <w:szCs w:val="21"/>
                <w:lang w:val="en-US" w:eastAsia="zh-CN" w:bidi="ar-SA"/>
              </w:rPr>
              <w:t>协助医院通过评审的证明材料</w:t>
            </w:r>
            <w:r>
              <w:rPr>
                <w:rFonts w:hint="eastAsia" w:ascii="仿宋" w:hAnsi="仿宋" w:eastAsia="仿宋" w:cs="Times New Roman"/>
                <w:bCs/>
                <w:color w:val="0000FF"/>
                <w:kern w:val="2"/>
                <w:sz w:val="21"/>
                <w:szCs w:val="21"/>
                <w:lang w:val="en-US" w:eastAsia="zh-CN" w:bidi="ar-SA"/>
              </w:rPr>
              <w:t>）</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460175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655D938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251ED1B0">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4E004B3">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487B6BE">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62A06533">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7968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674" w:type="dxa"/>
            <w:vMerge w:val="restart"/>
            <w:tcBorders>
              <w:left w:val="single" w:color="auto" w:sz="4" w:space="0"/>
              <w:right w:val="single" w:color="auto" w:sz="4" w:space="0"/>
            </w:tcBorders>
            <w:noWrap w:val="0"/>
            <w:vAlign w:val="center"/>
          </w:tcPr>
          <w:p w14:paraId="19125480">
            <w:pPr>
              <w:pStyle w:val="11"/>
              <w:spacing w:line="360" w:lineRule="auto"/>
              <w:ind w:left="0" w:leftChars="0" w:firstLine="0" w:firstLineChars="0"/>
              <w:rPr>
                <w:rFonts w:hint="eastAsia" w:ascii="仿宋" w:hAnsi="仿宋" w:eastAsia="仿宋" w:cs="Times New Roman"/>
                <w:bCs/>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标准智能体</w:t>
            </w:r>
          </w:p>
        </w:tc>
        <w:tc>
          <w:tcPr>
            <w:tcW w:w="1161" w:type="dxa"/>
            <w:tcBorders>
              <w:left w:val="single" w:color="auto" w:sz="4" w:space="0"/>
              <w:right w:val="single" w:color="auto" w:sz="4" w:space="0"/>
            </w:tcBorders>
            <w:shd w:val="clear"/>
            <w:noWrap w:val="0"/>
            <w:vAlign w:val="center"/>
          </w:tcPr>
          <w:p w14:paraId="1B2FCA35">
            <w:pPr>
              <w:pStyle w:val="11"/>
              <w:spacing w:line="360" w:lineRule="auto"/>
              <w:ind w:left="0" w:leftChars="0" w:firstLine="0" w:firstLineChars="0"/>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基于病历问答</w:t>
            </w:r>
          </w:p>
        </w:tc>
        <w:tc>
          <w:tcPr>
            <w:tcW w:w="4400" w:type="dxa"/>
            <w:tcBorders>
              <w:top w:val="single" w:color="auto" w:sz="4" w:space="0"/>
              <w:left w:val="single" w:color="auto" w:sz="4" w:space="0"/>
              <w:bottom w:val="single" w:color="auto" w:sz="4" w:space="0"/>
              <w:right w:val="single" w:color="auto" w:sz="4" w:space="0"/>
            </w:tcBorders>
            <w:shd w:val="clear"/>
            <w:noWrap w:val="0"/>
            <w:vAlign w:val="center"/>
          </w:tcPr>
          <w:p w14:paraId="10B75AC2">
            <w:pPr>
              <w:pStyle w:val="11"/>
              <w:spacing w:line="240" w:lineRule="auto"/>
              <w:ind w:left="0" w:leftChars="0" w:firstLine="0" w:firstLineChars="0"/>
              <w:rPr>
                <w:rFonts w:hint="default"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支持将患者病历、医嘱、检验检查等信息自动与大模型进行关联，用户使用问答功能时，大模型可自动分析患者数据进行回答。</w:t>
            </w:r>
          </w:p>
        </w:tc>
        <w:tc>
          <w:tcPr>
            <w:tcW w:w="752" w:type="dxa"/>
            <w:tcBorders>
              <w:top w:val="single" w:color="auto" w:sz="4" w:space="0"/>
              <w:left w:val="single" w:color="auto" w:sz="4" w:space="0"/>
              <w:bottom w:val="single" w:color="auto" w:sz="4" w:space="0"/>
              <w:right w:val="single" w:color="auto" w:sz="4" w:space="0"/>
            </w:tcBorders>
            <w:noWrap w:val="0"/>
            <w:vAlign w:val="top"/>
          </w:tcPr>
          <w:p w14:paraId="27F13A91">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0ECF1E1">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5DE9C72">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5C2E4D8A">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2BF4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0D60DC2E">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shd w:val="clear"/>
            <w:noWrap w:val="0"/>
            <w:vAlign w:val="center"/>
          </w:tcPr>
          <w:p w14:paraId="0AC6DB24">
            <w:pPr>
              <w:pStyle w:val="11"/>
              <w:spacing w:line="360" w:lineRule="auto"/>
              <w:ind w:left="0" w:leftChars="0" w:firstLine="0" w:firstLineChars="0"/>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智能生成首程病程记录</w:t>
            </w: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4D6D6D93">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智能生成首程病程记录，一键生成目标文书（支持生成指定日期目标文书）生成的文书自动引用相关的检查检验结果、医嘱信息、病理报告及查房记录等信息，自动进行分析。引用的信息提供明确出处，可一键点击查看。</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4800827">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ECC283A">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CF89FCA">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6BC41E0F">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7238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74" w:type="dxa"/>
            <w:vMerge w:val="continue"/>
            <w:tcBorders>
              <w:left w:val="single" w:color="auto" w:sz="4" w:space="0"/>
              <w:right w:val="single" w:color="auto" w:sz="4" w:space="0"/>
            </w:tcBorders>
            <w:noWrap w:val="0"/>
            <w:vAlign w:val="center"/>
          </w:tcPr>
          <w:p w14:paraId="39E044FD">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shd w:val="clear"/>
            <w:noWrap w:val="0"/>
            <w:vAlign w:val="center"/>
          </w:tcPr>
          <w:p w14:paraId="5FE93B7E">
            <w:pPr>
              <w:pStyle w:val="11"/>
              <w:spacing w:line="360" w:lineRule="auto"/>
              <w:ind w:left="0" w:leftChars="0" w:firstLine="0" w:firstLineChars="0"/>
              <w:rPr>
                <w:rFonts w:hint="eastAsia" w:ascii="仿宋" w:hAnsi="仿宋" w:eastAsia="仿宋" w:cs="Times New Roman"/>
                <w:bCs/>
                <w:color w:val="0000FF"/>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7BB59997">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可通过快捷编辑按钮修改文书生成要求，文书生成过程中可提前中止，可对生成内容进行反馈。</w:t>
            </w:r>
          </w:p>
        </w:tc>
        <w:tc>
          <w:tcPr>
            <w:tcW w:w="752" w:type="dxa"/>
            <w:tcBorders>
              <w:top w:val="single" w:color="auto" w:sz="4" w:space="0"/>
              <w:left w:val="single" w:color="auto" w:sz="4" w:space="0"/>
              <w:bottom w:val="single" w:color="auto" w:sz="4" w:space="0"/>
              <w:right w:val="single" w:color="auto" w:sz="4" w:space="0"/>
            </w:tcBorders>
            <w:noWrap w:val="0"/>
            <w:vAlign w:val="top"/>
          </w:tcPr>
          <w:p w14:paraId="5092CF7B">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546550F">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CCDD02A">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7DD40E78">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2A90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4" w:type="dxa"/>
            <w:vMerge w:val="continue"/>
            <w:tcBorders>
              <w:left w:val="single" w:color="auto" w:sz="4" w:space="0"/>
              <w:right w:val="single" w:color="auto" w:sz="4" w:space="0"/>
            </w:tcBorders>
            <w:noWrap w:val="0"/>
            <w:vAlign w:val="center"/>
          </w:tcPr>
          <w:p w14:paraId="0875CEAE">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shd w:val="clear"/>
            <w:noWrap w:val="0"/>
            <w:vAlign w:val="center"/>
          </w:tcPr>
          <w:p w14:paraId="04818385">
            <w:pPr>
              <w:pStyle w:val="11"/>
              <w:spacing w:line="360" w:lineRule="auto"/>
              <w:ind w:left="0" w:leftChars="0" w:firstLine="0" w:firstLineChars="0"/>
              <w:rPr>
                <w:rFonts w:hint="eastAsia" w:ascii="仿宋" w:hAnsi="仿宋" w:eastAsia="仿宋" w:cs="Times New Roman"/>
                <w:bCs/>
                <w:color w:val="0000FF"/>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55619494">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生成文书内容支持一键复制</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4843FC4">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875D94B">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1189398">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5007F6E3">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6168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4AE7231A">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shd w:val="clear"/>
            <w:noWrap w:val="0"/>
            <w:vAlign w:val="center"/>
          </w:tcPr>
          <w:p w14:paraId="2082F4FC">
            <w:pPr>
              <w:pStyle w:val="11"/>
              <w:spacing w:line="360" w:lineRule="auto"/>
              <w:ind w:left="0" w:leftChars="0" w:firstLine="0" w:firstLineChars="0"/>
              <w:rPr>
                <w:rFonts w:hint="eastAsia" w:ascii="宋体" w:hAnsi="宋体" w:cs="宋体"/>
                <w:sz w:val="24"/>
              </w:rPr>
            </w:pPr>
            <w:r>
              <w:rPr>
                <w:rFonts w:hint="eastAsia" w:ascii="仿宋" w:hAnsi="仿宋" w:eastAsia="仿宋" w:cs="Times New Roman"/>
                <w:bCs/>
                <w:color w:val="0000FF"/>
                <w:kern w:val="2"/>
                <w:sz w:val="21"/>
                <w:szCs w:val="21"/>
                <w:lang w:val="en-US" w:eastAsia="zh-CN" w:bidi="ar-SA"/>
              </w:rPr>
              <w:t>智能生成主治医师查房记录</w:t>
            </w: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478B28D6">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智能生成主治医师查房记录，一键生成目标文书（支持生成指定日期目标文书）生成的文书自动引用相关的检查检验结果、医嘱信息、病理报告及查房记录等信息，自动进行分析。引用的信息提供明确出处，可一键点击查看。</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3411F27">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9DBAA5A">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0C71996">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6C0C8910">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4C17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03ADF254">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shd w:val="clear"/>
            <w:noWrap w:val="0"/>
            <w:vAlign w:val="center"/>
          </w:tcPr>
          <w:p w14:paraId="1E36444D">
            <w:pPr>
              <w:pStyle w:val="11"/>
              <w:spacing w:line="360" w:lineRule="auto"/>
              <w:ind w:left="0" w:leftChars="0" w:firstLine="0" w:firstLineChars="0"/>
              <w:rPr>
                <w:rFonts w:hint="eastAsia" w:ascii="宋体" w:hAnsi="宋体" w:cs="宋体"/>
                <w:sz w:val="24"/>
              </w:rPr>
            </w:pP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50774C01">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可通过快捷编辑按钮修改文书生成要求，文书生成过程中可提前中止，可对生成内容进行反馈。</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55C8CF8">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FE2B538">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0382C3">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193D9A19">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4CF6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3543A923">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shd w:val="clear"/>
            <w:noWrap w:val="0"/>
            <w:vAlign w:val="center"/>
          </w:tcPr>
          <w:p w14:paraId="5BB7FB30">
            <w:pPr>
              <w:pStyle w:val="11"/>
              <w:spacing w:line="360" w:lineRule="auto"/>
              <w:ind w:left="0" w:leftChars="0" w:firstLine="0" w:firstLineChars="0"/>
              <w:rPr>
                <w:rFonts w:hint="eastAsia" w:ascii="宋体" w:hAnsi="宋体" w:cs="宋体"/>
                <w:sz w:val="24"/>
              </w:rPr>
            </w:pP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304E90A1">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生成文书内容支持一键复制</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71BAE94">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49EC657">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6ACD114">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1B8FC123">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609A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456DA874">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shd w:val="clear"/>
            <w:noWrap w:val="0"/>
            <w:vAlign w:val="center"/>
          </w:tcPr>
          <w:p w14:paraId="7D777871">
            <w:pPr>
              <w:pStyle w:val="11"/>
              <w:spacing w:line="360" w:lineRule="auto"/>
              <w:ind w:left="0" w:leftChars="0" w:firstLine="0" w:firstLineChars="0"/>
              <w:rPr>
                <w:rFonts w:hint="eastAsia" w:ascii="宋体" w:hAnsi="宋体" w:cs="宋体"/>
                <w:sz w:val="24"/>
              </w:rPr>
            </w:pPr>
            <w:r>
              <w:rPr>
                <w:rFonts w:hint="eastAsia" w:ascii="仿宋" w:hAnsi="仿宋" w:eastAsia="仿宋" w:cs="Times New Roman"/>
                <w:bCs/>
                <w:color w:val="0000FF"/>
                <w:kern w:val="2"/>
                <w:sz w:val="21"/>
                <w:szCs w:val="21"/>
                <w:lang w:val="en-US" w:eastAsia="zh-CN" w:bidi="ar-SA"/>
              </w:rPr>
              <w:t>智能生成主任医师查房记录</w:t>
            </w: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2FEF3114">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智能生成主任医师查房记录，一键生成目标文书（支持生成指定日期目标文书）生成的文书自动引用相关的检查检验结果、医嘱信息、病理报告及查房记录等信息，自动进行分析。引用的信息提供明确出处，可一键点击查看。</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B63B2FB">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A859889">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32A8C20">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3CB0004E">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5FF4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55863859">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shd w:val="clear"/>
            <w:noWrap w:val="0"/>
            <w:vAlign w:val="center"/>
          </w:tcPr>
          <w:p w14:paraId="46514786">
            <w:pPr>
              <w:pStyle w:val="11"/>
              <w:spacing w:line="360" w:lineRule="auto"/>
              <w:ind w:left="0" w:leftChars="0" w:firstLine="0" w:firstLineChars="0"/>
              <w:rPr>
                <w:rFonts w:hint="eastAsia" w:ascii="宋体" w:hAnsi="宋体" w:cs="宋体"/>
                <w:sz w:val="24"/>
              </w:rPr>
            </w:pP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4B65955A">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可通过快捷编辑按钮修改文书生成要求，文书生成过程中可提前中止，可对生成内容进行反馈。</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BDF674D">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CC7DEB1">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B612EE">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6D92DB3B">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500E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74" w:type="dxa"/>
            <w:vMerge w:val="continue"/>
            <w:tcBorders>
              <w:left w:val="single" w:color="auto" w:sz="4" w:space="0"/>
              <w:right w:val="single" w:color="auto" w:sz="4" w:space="0"/>
            </w:tcBorders>
            <w:noWrap w:val="0"/>
            <w:vAlign w:val="center"/>
          </w:tcPr>
          <w:p w14:paraId="722CB731">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shd w:val="clear"/>
            <w:noWrap w:val="0"/>
            <w:vAlign w:val="center"/>
          </w:tcPr>
          <w:p w14:paraId="02547F90">
            <w:pPr>
              <w:pStyle w:val="11"/>
              <w:spacing w:line="360" w:lineRule="auto"/>
              <w:ind w:left="0" w:leftChars="0" w:firstLine="0" w:firstLineChars="0"/>
              <w:rPr>
                <w:rFonts w:hint="eastAsia" w:ascii="宋体" w:hAnsi="宋体" w:cs="宋体"/>
                <w:sz w:val="24"/>
              </w:rPr>
            </w:pP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004D94A3">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生成文书内容支持一键复制</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C3AF4B8">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11ED6A7">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B58656">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54F6B58E">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6F55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71F2B939">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shd w:val="clear"/>
            <w:noWrap w:val="0"/>
            <w:vAlign w:val="center"/>
          </w:tcPr>
          <w:p w14:paraId="1503A251">
            <w:pPr>
              <w:pStyle w:val="11"/>
              <w:spacing w:line="360" w:lineRule="auto"/>
              <w:ind w:left="0" w:leftChars="0" w:firstLine="0" w:firstLineChars="0"/>
              <w:rPr>
                <w:rFonts w:hint="eastAsia" w:ascii="宋体" w:hAnsi="宋体" w:cs="宋体"/>
                <w:sz w:val="24"/>
              </w:rPr>
            </w:pPr>
            <w:r>
              <w:rPr>
                <w:rFonts w:hint="eastAsia" w:ascii="仿宋" w:hAnsi="仿宋" w:eastAsia="仿宋" w:cs="Times New Roman"/>
                <w:bCs/>
                <w:color w:val="0000FF"/>
                <w:kern w:val="2"/>
                <w:sz w:val="21"/>
                <w:szCs w:val="21"/>
                <w:lang w:val="en-US" w:eastAsia="zh-CN" w:bidi="ar-SA"/>
              </w:rPr>
              <w:t>智</w:t>
            </w:r>
            <w:r>
              <w:rPr>
                <w:rFonts w:hint="eastAsia" w:ascii="仿宋" w:hAnsi="仿宋" w:eastAsia="仿宋" w:cs="Times New Roman"/>
                <w:bCs/>
                <w:color w:val="0000FF"/>
                <w:kern w:val="2"/>
                <w:sz w:val="21"/>
                <w:szCs w:val="21"/>
                <w:lang w:val="en-US" w:eastAsia="zh-CN" w:bidi="ar-SA"/>
              </w:rPr>
              <w:t>能生成术前小结</w:t>
            </w: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4206DCF9">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智能生成术前小结，一键生成目标文书（支持生成指定日期目标文书）生成的文书自动引用相关的检查检验结果、医嘱信息、病理报告及查房记录等信息，自动进行分析。引用的信息提供明确出处，可一键点击查看。</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9D1D543">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40FB2A1">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7E564AC">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7DC3F51D">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7CE0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201DD5FF">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shd w:val="clear"/>
            <w:noWrap w:val="0"/>
            <w:vAlign w:val="center"/>
          </w:tcPr>
          <w:p w14:paraId="2B74AB82">
            <w:pPr>
              <w:pStyle w:val="11"/>
              <w:spacing w:line="360" w:lineRule="auto"/>
              <w:ind w:left="0" w:leftChars="0" w:firstLine="0" w:firstLineChars="0"/>
              <w:rPr>
                <w:rFonts w:hint="eastAsia" w:ascii="宋体" w:hAnsi="宋体" w:cs="宋体"/>
                <w:sz w:val="24"/>
              </w:rPr>
            </w:pP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5FD0ED74">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可通过快捷编辑按钮修改文书生成要求，文书生成过程中可提前中止，可对生成内容进行反馈。</w:t>
            </w:r>
          </w:p>
        </w:tc>
        <w:tc>
          <w:tcPr>
            <w:tcW w:w="752" w:type="dxa"/>
            <w:tcBorders>
              <w:top w:val="single" w:color="auto" w:sz="4" w:space="0"/>
              <w:left w:val="single" w:color="auto" w:sz="4" w:space="0"/>
              <w:bottom w:val="single" w:color="auto" w:sz="4" w:space="0"/>
              <w:right w:val="single" w:color="auto" w:sz="4" w:space="0"/>
            </w:tcBorders>
            <w:noWrap w:val="0"/>
            <w:vAlign w:val="top"/>
          </w:tcPr>
          <w:p w14:paraId="64E3701E">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7D769E8">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244E18E">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01258636">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0620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74" w:type="dxa"/>
            <w:vMerge w:val="continue"/>
            <w:tcBorders>
              <w:left w:val="single" w:color="auto" w:sz="4" w:space="0"/>
              <w:right w:val="single" w:color="auto" w:sz="4" w:space="0"/>
            </w:tcBorders>
            <w:noWrap w:val="0"/>
            <w:vAlign w:val="center"/>
          </w:tcPr>
          <w:p w14:paraId="3EFAED12">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shd w:val="clear"/>
            <w:noWrap w:val="0"/>
            <w:vAlign w:val="center"/>
          </w:tcPr>
          <w:p w14:paraId="278C991D">
            <w:pPr>
              <w:pStyle w:val="11"/>
              <w:spacing w:line="360" w:lineRule="auto"/>
              <w:ind w:left="0" w:leftChars="0" w:firstLine="0" w:firstLineChars="0"/>
              <w:rPr>
                <w:rFonts w:hint="eastAsia" w:ascii="宋体" w:hAnsi="宋体" w:cs="宋体"/>
                <w:sz w:val="24"/>
              </w:rPr>
            </w:pP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45EB9333">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生成文书内容支持一键复制</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B271D2A">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370C43C">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A7A4A07">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7887EC10">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2174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73100D1E">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shd w:val="clear"/>
            <w:noWrap w:val="0"/>
            <w:vAlign w:val="center"/>
          </w:tcPr>
          <w:p w14:paraId="1E1416AA">
            <w:pPr>
              <w:pStyle w:val="11"/>
              <w:spacing w:line="360" w:lineRule="auto"/>
              <w:ind w:left="0" w:leftChars="0" w:firstLine="0" w:firstLineChars="0"/>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智能生成术前讨论</w:t>
            </w: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6054D153">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智能生成术前讨论，一键生成目标文书（支持生成指定日期目标文书）生成的文书自动引用相关的检查检验结果、医嘱信息、病理报告及查房记录等信息，自动进行分析。引用的信息提供明确出处，可一键点击查看。</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A46BF53">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525AF39">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D8BAB94">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782BB9BF">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4087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28F640C2">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shd w:val="clear"/>
            <w:noWrap w:val="0"/>
            <w:vAlign w:val="center"/>
          </w:tcPr>
          <w:p w14:paraId="0B80AA0C">
            <w:pPr>
              <w:pStyle w:val="11"/>
              <w:spacing w:line="360" w:lineRule="auto"/>
              <w:ind w:left="0" w:leftChars="0" w:firstLine="0" w:firstLineChars="0"/>
              <w:rPr>
                <w:rFonts w:hint="eastAsia" w:ascii="仿宋" w:hAnsi="仿宋" w:eastAsia="仿宋" w:cs="Times New Roman"/>
                <w:bCs/>
                <w:color w:val="0000FF"/>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60D63EAA">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可通过快捷编辑按钮修改文书生成要求，文书生成过程中可提前中止，可对生成内容进行反馈。</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6D72BCB">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0C5DC01">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FB8ADB5">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4A36CCC5">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751F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28469CEE">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shd w:val="clear"/>
            <w:noWrap w:val="0"/>
            <w:vAlign w:val="center"/>
          </w:tcPr>
          <w:p w14:paraId="00A64AB7">
            <w:pPr>
              <w:pStyle w:val="11"/>
              <w:spacing w:line="360" w:lineRule="auto"/>
              <w:ind w:left="0" w:leftChars="0" w:firstLine="0" w:firstLineChars="0"/>
              <w:rPr>
                <w:rFonts w:hint="eastAsia" w:ascii="仿宋" w:hAnsi="仿宋" w:eastAsia="仿宋" w:cs="Times New Roman"/>
                <w:bCs/>
                <w:color w:val="0000FF"/>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4797827A">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生成文书内容支持一键复制</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D32387F">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B03391C">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FC56BD5">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3AC75BF3">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3796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6052B72C">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shd w:val="clear"/>
            <w:noWrap w:val="0"/>
            <w:vAlign w:val="center"/>
          </w:tcPr>
          <w:p w14:paraId="2CF69F49">
            <w:pPr>
              <w:pStyle w:val="11"/>
              <w:spacing w:line="360" w:lineRule="auto"/>
              <w:ind w:left="0" w:leftChars="0" w:firstLine="0" w:firstLineChars="0"/>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智能生成出院记录</w:t>
            </w: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22A5214A">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智能生成出院记录，一键生成目标文书（支持生成指定日期目标文书）生成的文书自动引用相关的检查检验结果、医嘱信息、病理报告及查房记录等信息，自动进行分析。引用的信息提供明确出处，可一键点击查看。</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311EFB2">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9DA1B5F">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B270A99">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65F24EAC">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4217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2F990D5F">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shd w:val="clear"/>
            <w:noWrap w:val="0"/>
            <w:vAlign w:val="center"/>
          </w:tcPr>
          <w:p w14:paraId="5FCFB512">
            <w:pPr>
              <w:pStyle w:val="11"/>
              <w:spacing w:line="360" w:lineRule="auto"/>
              <w:ind w:left="0" w:leftChars="0" w:firstLine="0" w:firstLineChars="0"/>
              <w:rPr>
                <w:rFonts w:hint="eastAsia" w:ascii="宋体" w:hAnsi="宋体" w:cs="宋体"/>
                <w:sz w:val="24"/>
              </w:rPr>
            </w:pP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7B58449C">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可通过快捷编辑按钮修改文书生成要求，文书生成过程中可提前中止，可对生成内容进行反馈。</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87CC0AA">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A43F565">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E8AEABC">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38712D5B">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539E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74" w:type="dxa"/>
            <w:vMerge w:val="continue"/>
            <w:tcBorders>
              <w:left w:val="single" w:color="auto" w:sz="4" w:space="0"/>
              <w:right w:val="single" w:color="auto" w:sz="4" w:space="0"/>
            </w:tcBorders>
            <w:noWrap w:val="0"/>
            <w:vAlign w:val="center"/>
          </w:tcPr>
          <w:p w14:paraId="4CA7298D">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shd w:val="clear"/>
            <w:noWrap w:val="0"/>
            <w:vAlign w:val="center"/>
          </w:tcPr>
          <w:p w14:paraId="01AF6AE3">
            <w:pPr>
              <w:pStyle w:val="11"/>
              <w:spacing w:line="360" w:lineRule="auto"/>
              <w:ind w:left="0" w:leftChars="0" w:firstLine="0" w:firstLineChars="0"/>
              <w:rPr>
                <w:rFonts w:hint="eastAsia" w:ascii="宋体" w:hAnsi="宋体" w:cs="宋体"/>
                <w:sz w:val="24"/>
              </w:rPr>
            </w:pPr>
          </w:p>
        </w:tc>
        <w:tc>
          <w:tcPr>
            <w:tcW w:w="4400" w:type="dxa"/>
            <w:tcBorders>
              <w:top w:val="single" w:color="auto" w:sz="4" w:space="0"/>
              <w:left w:val="single" w:color="auto" w:sz="4" w:space="0"/>
              <w:bottom w:val="single" w:color="auto" w:sz="4" w:space="0"/>
              <w:right w:val="single" w:color="auto" w:sz="4" w:space="0"/>
            </w:tcBorders>
            <w:shd w:val="clear"/>
            <w:noWrap w:val="0"/>
            <w:vAlign w:val="top"/>
          </w:tcPr>
          <w:p w14:paraId="22A47113">
            <w:pPr>
              <w:pStyle w:val="21"/>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生成文书内容支持一键复制</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8E7E617">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7106CA5">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51AAEE">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5280DFA9">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7BD9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6AFFF19D">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shd w:val="clear"/>
            <w:noWrap w:val="0"/>
            <w:vAlign w:val="center"/>
          </w:tcPr>
          <w:p w14:paraId="55687099">
            <w:pPr>
              <w:spacing w:line="36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鉴别诊断</w:t>
            </w:r>
          </w:p>
        </w:tc>
        <w:tc>
          <w:tcPr>
            <w:tcW w:w="4400" w:type="dxa"/>
            <w:tcBorders>
              <w:top w:val="single" w:color="auto" w:sz="4" w:space="0"/>
              <w:left w:val="single" w:color="auto" w:sz="4" w:space="0"/>
              <w:bottom w:val="single" w:color="auto" w:sz="4" w:space="0"/>
              <w:right w:val="single" w:color="auto" w:sz="4" w:space="0"/>
            </w:tcBorders>
            <w:shd w:val="clear"/>
            <w:noWrap w:val="0"/>
            <w:vAlign w:val="center"/>
          </w:tcPr>
          <w:p w14:paraId="5E0CFC5E">
            <w:pPr>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支持自动调用大模型，综合分析患者入院时的临床信息，包括症状描述、实验室检查结果、影像学报告等，生成全面的诊断参考，按可能性对潜在疾病进行排序，并提供详细的依据说明。</w:t>
            </w:r>
          </w:p>
        </w:tc>
        <w:tc>
          <w:tcPr>
            <w:tcW w:w="752" w:type="dxa"/>
            <w:tcBorders>
              <w:top w:val="single" w:color="auto" w:sz="4" w:space="0"/>
              <w:left w:val="single" w:color="auto" w:sz="4" w:space="0"/>
              <w:bottom w:val="single" w:color="auto" w:sz="4" w:space="0"/>
              <w:right w:val="single" w:color="auto" w:sz="4" w:space="0"/>
            </w:tcBorders>
            <w:noWrap w:val="0"/>
            <w:vAlign w:val="top"/>
          </w:tcPr>
          <w:p w14:paraId="1B8FBC23">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05B7D80">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0425659">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4A451A1B">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4638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218D4AE7">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shd w:val="clear"/>
            <w:noWrap w:val="0"/>
            <w:vAlign w:val="center"/>
          </w:tcPr>
          <w:p w14:paraId="5C37463F">
            <w:pPr>
              <w:spacing w:line="36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智能分析病情</w:t>
            </w:r>
          </w:p>
        </w:tc>
        <w:tc>
          <w:tcPr>
            <w:tcW w:w="4400" w:type="dxa"/>
            <w:tcBorders>
              <w:top w:val="single" w:color="auto" w:sz="4" w:space="0"/>
              <w:left w:val="single" w:color="auto" w:sz="4" w:space="0"/>
              <w:bottom w:val="single" w:color="auto" w:sz="4" w:space="0"/>
              <w:right w:val="single" w:color="auto" w:sz="4" w:space="0"/>
            </w:tcBorders>
            <w:shd w:val="clear"/>
            <w:noWrap w:val="0"/>
            <w:vAlign w:val="center"/>
          </w:tcPr>
          <w:p w14:paraId="1B9C6866">
            <w:pPr>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支持一键调用患者的病历、检验检查结果、医嘱等信息，结合医学知识库和临床指南，快速生成病情分析报告，并提供诊疗处置建议。支持参考来源展示，一键溯源病历数据。</w:t>
            </w:r>
          </w:p>
        </w:tc>
        <w:tc>
          <w:tcPr>
            <w:tcW w:w="752" w:type="dxa"/>
            <w:tcBorders>
              <w:top w:val="single" w:color="auto" w:sz="4" w:space="0"/>
              <w:left w:val="single" w:color="auto" w:sz="4" w:space="0"/>
              <w:bottom w:val="single" w:color="auto" w:sz="4" w:space="0"/>
              <w:right w:val="single" w:color="auto" w:sz="4" w:space="0"/>
            </w:tcBorders>
            <w:noWrap w:val="0"/>
            <w:vAlign w:val="top"/>
          </w:tcPr>
          <w:p w14:paraId="077306EC">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FABB50">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D4A5E8D">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091C9774">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17C6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45A5BE0E">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shd w:val="clear"/>
            <w:noWrap w:val="0"/>
            <w:vAlign w:val="center"/>
          </w:tcPr>
          <w:p w14:paraId="6322E551">
            <w:pPr>
              <w:spacing w:line="360" w:lineRule="auto"/>
              <w:rPr>
                <w:rFonts w:hint="eastAsia" w:ascii="仿宋" w:hAnsi="仿宋" w:eastAsia="仿宋" w:cs="Times New Roman"/>
                <w:bCs/>
                <w:color w:val="0000FF"/>
                <w:kern w:val="2"/>
                <w:sz w:val="21"/>
                <w:szCs w:val="21"/>
                <w:lang w:val="en-US" w:eastAsia="zh-Hans" w:bidi="ar-SA"/>
              </w:rPr>
            </w:pPr>
            <w:r>
              <w:rPr>
                <w:rFonts w:hint="eastAsia" w:ascii="仿宋" w:hAnsi="仿宋" w:eastAsia="仿宋" w:cs="Times New Roman"/>
                <w:bCs/>
                <w:color w:val="0000FF"/>
                <w:kern w:val="2"/>
                <w:sz w:val="21"/>
                <w:szCs w:val="21"/>
                <w:lang w:val="en-US" w:eastAsia="zh-Hans" w:bidi="ar-SA"/>
              </w:rPr>
              <w:t>模拟</w:t>
            </w:r>
            <w:r>
              <w:rPr>
                <w:rFonts w:hint="eastAsia" w:ascii="仿宋" w:hAnsi="仿宋" w:eastAsia="仿宋" w:cs="Times New Roman"/>
                <w:bCs/>
                <w:color w:val="0000FF"/>
                <w:kern w:val="2"/>
                <w:sz w:val="21"/>
                <w:szCs w:val="21"/>
                <w:lang w:val="en-US" w:eastAsia="zh-CN" w:bidi="ar-SA"/>
              </w:rPr>
              <w:t>MDT</w:t>
            </w:r>
          </w:p>
        </w:tc>
        <w:tc>
          <w:tcPr>
            <w:tcW w:w="4400" w:type="dxa"/>
            <w:tcBorders>
              <w:top w:val="single" w:color="auto" w:sz="4" w:space="0"/>
              <w:left w:val="single" w:color="auto" w:sz="4" w:space="0"/>
              <w:bottom w:val="single" w:color="auto" w:sz="4" w:space="0"/>
              <w:right w:val="single" w:color="auto" w:sz="4" w:space="0"/>
            </w:tcBorders>
            <w:shd w:val="clear"/>
            <w:noWrap w:val="0"/>
            <w:vAlign w:val="center"/>
          </w:tcPr>
          <w:p w14:paraId="37C99004">
            <w:pPr>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可一键调用患者全部病历、检验检查结果、医嘱等信息，基于患者病情自动形成多学科讨论。各学科专家提供的建议有明确的指南依据。</w:t>
            </w:r>
          </w:p>
        </w:tc>
        <w:tc>
          <w:tcPr>
            <w:tcW w:w="752" w:type="dxa"/>
            <w:tcBorders>
              <w:top w:val="single" w:color="auto" w:sz="4" w:space="0"/>
              <w:left w:val="single" w:color="auto" w:sz="4" w:space="0"/>
              <w:bottom w:val="single" w:color="auto" w:sz="4" w:space="0"/>
              <w:right w:val="single" w:color="auto" w:sz="4" w:space="0"/>
            </w:tcBorders>
            <w:noWrap w:val="0"/>
            <w:vAlign w:val="top"/>
          </w:tcPr>
          <w:p w14:paraId="7DD85F43">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77CE671">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E55834D">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5F1264A1">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6C1D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3035CFAC">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shd w:val="clear"/>
            <w:noWrap w:val="0"/>
            <w:vAlign w:val="center"/>
          </w:tcPr>
          <w:p w14:paraId="6E90A76A">
            <w:pPr>
              <w:spacing w:line="36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检验报告解读</w:t>
            </w:r>
          </w:p>
        </w:tc>
        <w:tc>
          <w:tcPr>
            <w:tcW w:w="4400" w:type="dxa"/>
            <w:tcBorders>
              <w:top w:val="single" w:color="auto" w:sz="4" w:space="0"/>
              <w:left w:val="single" w:color="auto" w:sz="4" w:space="0"/>
              <w:bottom w:val="single" w:color="auto" w:sz="4" w:space="0"/>
              <w:right w:val="single" w:color="auto" w:sz="4" w:space="0"/>
            </w:tcBorders>
            <w:shd w:val="clear"/>
            <w:noWrap w:val="0"/>
            <w:vAlign w:val="center"/>
          </w:tcPr>
          <w:p w14:paraId="2584306B">
            <w:pPr>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提供检验报告解读智能体，支持大模型一键调用患者诊疗数据，对检验报告智能解读，提供以下功能：</w:t>
            </w:r>
          </w:p>
          <w:p w14:paraId="0202B173">
            <w:pPr>
              <w:numPr>
                <w:ilvl w:val="0"/>
                <w:numId w:val="0"/>
              </w:numPr>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1、异常结果逐项解读：对检验报告中的异常结果进行逐一分析，以表格形式展示解读结果，包括异常结果、异常方向、临床意义。</w:t>
            </w:r>
          </w:p>
          <w:p w14:paraId="7D040707">
            <w:pPr>
              <w:numPr>
                <w:ilvl w:val="0"/>
                <w:numId w:val="0"/>
              </w:numPr>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2、重点问题提示：识别异常结果中需要特别关注的问题，集中展示，包括问题类型、具体表现、潜在风险与临床意义。</w:t>
            </w:r>
          </w:p>
          <w:p w14:paraId="435BAF91">
            <w:pPr>
              <w:numPr>
                <w:ilvl w:val="0"/>
                <w:numId w:val="0"/>
              </w:numPr>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3、个性化诊疗建议：根据患者的病情特点、既往病史和当前检验结果，生成针对性的治疗建议，以表格形式输出，包括建议类别、具体措施、依据/目标。</w:t>
            </w:r>
          </w:p>
        </w:tc>
        <w:tc>
          <w:tcPr>
            <w:tcW w:w="752" w:type="dxa"/>
            <w:tcBorders>
              <w:top w:val="single" w:color="auto" w:sz="4" w:space="0"/>
              <w:left w:val="single" w:color="auto" w:sz="4" w:space="0"/>
              <w:bottom w:val="single" w:color="auto" w:sz="4" w:space="0"/>
              <w:right w:val="single" w:color="auto" w:sz="4" w:space="0"/>
            </w:tcBorders>
            <w:noWrap w:val="0"/>
            <w:vAlign w:val="top"/>
          </w:tcPr>
          <w:p w14:paraId="4466E22B">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0F87676">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9D876AE">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28CCEE20">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0439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5EE917A8">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shd w:val="clear"/>
            <w:noWrap w:val="0"/>
            <w:vAlign w:val="center"/>
          </w:tcPr>
          <w:p w14:paraId="357609FD">
            <w:pPr>
              <w:numPr>
                <w:ilvl w:val="0"/>
                <w:numId w:val="0"/>
              </w:numPr>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手术风险评估</w:t>
            </w:r>
          </w:p>
        </w:tc>
        <w:tc>
          <w:tcPr>
            <w:tcW w:w="4400" w:type="dxa"/>
            <w:tcBorders>
              <w:top w:val="single" w:color="auto" w:sz="4" w:space="0"/>
              <w:left w:val="single" w:color="auto" w:sz="4" w:space="0"/>
              <w:bottom w:val="single" w:color="auto" w:sz="4" w:space="0"/>
              <w:right w:val="single" w:color="auto" w:sz="4" w:space="0"/>
            </w:tcBorders>
            <w:shd w:val="clear"/>
            <w:noWrap w:val="0"/>
            <w:vAlign w:val="center"/>
          </w:tcPr>
          <w:p w14:paraId="789FA955">
            <w:pPr>
              <w:numPr>
                <w:ilvl w:val="0"/>
                <w:numId w:val="0"/>
              </w:numPr>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手术风险评估智能体，支持以下功能：</w:t>
            </w:r>
          </w:p>
          <w:p w14:paraId="42B262A3">
            <w:pPr>
              <w:numPr>
                <w:ilvl w:val="0"/>
                <w:numId w:val="5"/>
              </w:numPr>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患者基础信息分析：基于诊疗数据准确识别患者的疾病类型、亚型。</w:t>
            </w:r>
          </w:p>
          <w:p w14:paraId="6FA656DC">
            <w:pPr>
              <w:numPr>
                <w:numId w:val="0"/>
              </w:numPr>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2、手术适应症匹配：根据患者的具体病情，判断拟进行手术的适应性，列出手术适应症和手术指征依据。</w:t>
            </w:r>
          </w:p>
          <w:p w14:paraId="3CF6F943">
            <w:pPr>
              <w:numPr>
                <w:ilvl w:val="0"/>
                <w:numId w:val="0"/>
              </w:numPr>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3、手术风险等级评估：基于多维度数据分析，患者判断手术风险分级，并提供理由。</w:t>
            </w:r>
          </w:p>
          <w:p w14:paraId="12FFE164">
            <w:pPr>
              <w:numPr>
                <w:ilvl w:val="0"/>
                <w:numId w:val="0"/>
              </w:numPr>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4、风险处理建议：针对不同风险等级，提供详细的应对策略和优化建议，包括术前准备、术中注意事项等。</w:t>
            </w:r>
          </w:p>
        </w:tc>
        <w:tc>
          <w:tcPr>
            <w:tcW w:w="752" w:type="dxa"/>
            <w:tcBorders>
              <w:top w:val="single" w:color="auto" w:sz="4" w:space="0"/>
              <w:left w:val="single" w:color="auto" w:sz="4" w:space="0"/>
              <w:bottom w:val="single" w:color="auto" w:sz="4" w:space="0"/>
              <w:right w:val="single" w:color="auto" w:sz="4" w:space="0"/>
            </w:tcBorders>
            <w:noWrap w:val="0"/>
            <w:vAlign w:val="top"/>
          </w:tcPr>
          <w:p w14:paraId="3BB63F5A">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4657B74">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356DCED">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101B9099">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bl>
    <w:p w14:paraId="571F04D4">
      <w:pPr>
        <w:spacing w:line="320" w:lineRule="exact"/>
        <w:rPr>
          <w:rFonts w:hint="eastAsia" w:ascii="仿宋" w:hAnsi="仿宋" w:eastAsia="仿宋"/>
          <w:b/>
          <w:szCs w:val="21"/>
        </w:rPr>
      </w:pPr>
    </w:p>
    <w:p w14:paraId="7FA994CD">
      <w:pPr>
        <w:spacing w:line="320" w:lineRule="exact"/>
        <w:rPr>
          <w:rFonts w:hint="eastAsia" w:ascii="仿宋" w:hAnsi="仿宋" w:eastAsia="仿宋"/>
          <w:b/>
          <w:szCs w:val="21"/>
        </w:rPr>
      </w:pPr>
    </w:p>
    <w:p w14:paraId="6EC882D9">
      <w:pPr>
        <w:spacing w:line="320" w:lineRule="exact"/>
        <w:rPr>
          <w:rFonts w:hint="eastAsia" w:ascii="仿宋" w:hAnsi="仿宋" w:eastAsia="仿宋"/>
          <w:b/>
          <w:szCs w:val="21"/>
        </w:rPr>
      </w:pPr>
    </w:p>
    <w:p w14:paraId="3EFCBB8A">
      <w:pPr>
        <w:spacing w:line="280" w:lineRule="exact"/>
        <w:rPr>
          <w:rFonts w:hint="default" w:ascii="仿宋" w:hAnsi="仿宋" w:eastAsia="仿宋"/>
          <w:b/>
          <w:bCs/>
          <w:szCs w:val="21"/>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C6F6E"/>
    <w:multiLevelType w:val="singleLevel"/>
    <w:tmpl w:val="F5BC6F6E"/>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ACDE15D"/>
    <w:multiLevelType w:val="singleLevel"/>
    <w:tmpl w:val="0ACDE15D"/>
    <w:lvl w:ilvl="0" w:tentative="0">
      <w:start w:val="1"/>
      <w:numFmt w:val="decimal"/>
      <w:suff w:val="nothing"/>
      <w:lvlText w:val="%1、"/>
      <w:lvlJc w:val="left"/>
    </w:lvl>
  </w:abstractNum>
  <w:abstractNum w:abstractNumId="3">
    <w:nsid w:val="46B87FFD"/>
    <w:multiLevelType w:val="singleLevel"/>
    <w:tmpl w:val="46B87FFD"/>
    <w:lvl w:ilvl="0" w:tentative="0">
      <w:start w:val="1"/>
      <w:numFmt w:val="decimal"/>
      <w:suff w:val="nothing"/>
      <w:lvlText w:val="%1、"/>
      <w:lvlJc w:val="left"/>
    </w:lvl>
  </w:abstractNum>
  <w:abstractNum w:abstractNumId="4">
    <w:nsid w:val="543CD5FA"/>
    <w:multiLevelType w:val="singleLevel"/>
    <w:tmpl w:val="543CD5FA"/>
    <w:lvl w:ilvl="0" w:tentative="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0F167F"/>
    <w:rsid w:val="279A1481"/>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A11D04"/>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7CE5D81"/>
    <w:rsid w:val="480F1E94"/>
    <w:rsid w:val="482F7F71"/>
    <w:rsid w:val="48AA70D7"/>
    <w:rsid w:val="48C0669E"/>
    <w:rsid w:val="48D611CF"/>
    <w:rsid w:val="48D85FE9"/>
    <w:rsid w:val="48DB6BC0"/>
    <w:rsid w:val="48E94455"/>
    <w:rsid w:val="49330904"/>
    <w:rsid w:val="49551A36"/>
    <w:rsid w:val="49793828"/>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8B00E1"/>
    <w:rsid w:val="6431737D"/>
    <w:rsid w:val="64491E06"/>
    <w:rsid w:val="64D301C4"/>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7C24AE"/>
    <w:rsid w:val="6BA52303"/>
    <w:rsid w:val="6BD25C42"/>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595A97"/>
    <w:rsid w:val="7BDD0B1E"/>
    <w:rsid w:val="7C366122"/>
    <w:rsid w:val="7C693CA2"/>
    <w:rsid w:val="7C7062B2"/>
    <w:rsid w:val="7CF51919"/>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3"/>
    <w:basedOn w:val="1"/>
    <w:unhideWhenUsed/>
    <w:qFormat/>
    <w:uiPriority w:val="99"/>
    <w:pPr>
      <w:spacing w:after="120"/>
    </w:pPr>
    <w:rPr>
      <w:rFonts w:ascii="Calibri" w:hAnsi="Calibri"/>
      <w:sz w:val="16"/>
      <w:szCs w:val="16"/>
      <w:lang w:val="zh-CN"/>
    </w:rPr>
  </w:style>
  <w:style w:type="paragraph" w:styleId="5">
    <w:name w:val="Body Text"/>
    <w:basedOn w:val="1"/>
    <w:next w:val="1"/>
    <w:autoRedefine/>
    <w:qFormat/>
    <w:uiPriority w:val="0"/>
    <w:pPr>
      <w:spacing w:after="120"/>
    </w:pPr>
  </w:style>
  <w:style w:type="paragraph" w:styleId="6">
    <w:name w:val="Body Text Indent"/>
    <w:basedOn w:val="1"/>
    <w:semiHidden/>
    <w:unhideWhenUsed/>
    <w:qFormat/>
    <w:uiPriority w:val="99"/>
    <w:pPr>
      <w:spacing w:after="120"/>
      <w:ind w:left="420" w:leftChars="200"/>
    </w:p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w:basedOn w:val="5"/>
    <w:autoRedefine/>
    <w:unhideWhenUsed/>
    <w:qFormat/>
    <w:uiPriority w:val="99"/>
    <w:pPr>
      <w:ind w:firstLine="420" w:firstLineChars="100"/>
    </w:pPr>
    <w:rPr>
      <w:rFonts w:ascii="Times New Roman" w:hAnsi="Times New Roman"/>
      <w:kern w:val="0"/>
      <w:sz w:val="20"/>
      <w:szCs w:val="20"/>
    </w:rPr>
  </w:style>
  <w:style w:type="paragraph" w:styleId="11">
    <w:name w:val="Body Text First Indent 2"/>
    <w:basedOn w:val="6"/>
    <w:qFormat/>
    <w:uiPriority w:val="0"/>
    <w:pPr>
      <w:ind w:firstLine="420" w:firstLineChars="200"/>
    </w:p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5">
    <w:name w:val="style4"/>
    <w:basedOn w:val="1"/>
    <w:next w:val="16"/>
    <w:autoRedefine/>
    <w:qFormat/>
    <w:uiPriority w:val="0"/>
    <w:pPr>
      <w:widowControl/>
      <w:spacing w:before="280" w:after="280"/>
    </w:pPr>
    <w:rPr>
      <w:rFonts w:ascii="宋体" w:hAnsi="Times New Roman" w:eastAsia="宋体" w:cs="Times New Roman"/>
      <w:sz w:val="18"/>
    </w:rPr>
  </w:style>
  <w:style w:type="paragraph" w:customStyle="1" w:styleId="16">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7">
    <w:name w:val="页眉 Char"/>
    <w:basedOn w:val="14"/>
    <w:link w:val="8"/>
    <w:autoRedefine/>
    <w:semiHidden/>
    <w:qFormat/>
    <w:uiPriority w:val="99"/>
    <w:rPr>
      <w:sz w:val="18"/>
      <w:szCs w:val="18"/>
    </w:rPr>
  </w:style>
  <w:style w:type="character" w:customStyle="1" w:styleId="18">
    <w:name w:val="页脚 Char"/>
    <w:basedOn w:val="14"/>
    <w:link w:val="7"/>
    <w:autoRedefine/>
    <w:qFormat/>
    <w:uiPriority w:val="99"/>
    <w:rPr>
      <w:sz w:val="18"/>
      <w:szCs w:val="18"/>
    </w:rPr>
  </w:style>
  <w:style w:type="paragraph" w:customStyle="1" w:styleId="19">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0">
    <w:name w:val="NormalCharacter"/>
    <w:autoRedefine/>
    <w:qFormat/>
    <w:uiPriority w:val="0"/>
  </w:style>
  <w:style w:type="paragraph" w:customStyle="1" w:styleId="21">
    <w:name w:val="Table Paragraph"/>
    <w:basedOn w:val="1"/>
    <w:autoRedefine/>
    <w:qFormat/>
    <w:uiPriority w:val="1"/>
    <w:rPr>
      <w:rFonts w:ascii="Times New Roman" w:hAnsi="Times New Roman" w:eastAsia="宋体" w:cs="Times New Roman"/>
      <w:sz w:val="24"/>
      <w:szCs w:val="20"/>
    </w:rPr>
  </w:style>
  <w:style w:type="paragraph" w:customStyle="1" w:styleId="22">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3">
    <w:name w:val="List Paragraph"/>
    <w:basedOn w:val="1"/>
    <w:autoRedefine/>
    <w:qFormat/>
    <w:uiPriority w:val="34"/>
    <w:pPr>
      <w:ind w:firstLine="420" w:firstLineChars="200"/>
    </w:pPr>
  </w:style>
  <w:style w:type="character" w:customStyle="1" w:styleId="24">
    <w:name w:val="font11"/>
    <w:basedOn w:val="14"/>
    <w:qFormat/>
    <w:uiPriority w:val="0"/>
    <w:rPr>
      <w:rFonts w:hint="eastAsia" w:ascii="宋体" w:hAnsi="宋体" w:eastAsia="宋体" w:cs="宋体"/>
      <w:color w:val="000000"/>
      <w:sz w:val="21"/>
      <w:szCs w:val="21"/>
      <w:u w:val="none"/>
    </w:rPr>
  </w:style>
  <w:style w:type="character" w:customStyle="1" w:styleId="25">
    <w:name w:val="font21"/>
    <w:basedOn w:val="14"/>
    <w:qFormat/>
    <w:uiPriority w:val="0"/>
    <w:rPr>
      <w:rFonts w:hint="eastAsia" w:ascii="宋体" w:hAnsi="宋体" w:eastAsia="宋体" w:cs="宋体"/>
      <w:strike/>
      <w:color w:val="000000"/>
      <w:sz w:val="21"/>
      <w:szCs w:val="21"/>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 w:type="paragraph" w:customStyle="1" w:styleId="2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1997</Words>
  <Characters>2086</Characters>
  <Lines>6</Lines>
  <Paragraphs>1</Paragraphs>
  <TotalTime>1</TotalTime>
  <ScaleCrop>false</ScaleCrop>
  <LinksUpToDate>false</LinksUpToDate>
  <CharactersWithSpaces>2184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2026-01-22T01:29:26Z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