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659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六安市中医院无线互联网覆盖建设服务项目</w:t>
      </w:r>
      <w:r>
        <w:rPr>
          <w:rFonts w:hint="eastAsia" w:asciiTheme="majorEastAsia" w:hAnsiTheme="majorEastAsia" w:eastAsiaTheme="majorEastAsia"/>
          <w:b/>
          <w:sz w:val="32"/>
          <w:szCs w:val="32"/>
        </w:rPr>
        <w:t>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55BED61E">
      <w:pPr>
        <w:spacing w:line="320" w:lineRule="exact"/>
        <w:rPr>
          <w:rFonts w:ascii="仿宋" w:hAnsi="仿宋" w:eastAsia="仿宋"/>
          <w:sz w:val="24"/>
          <w:szCs w:val="24"/>
        </w:rPr>
      </w:pPr>
    </w:p>
    <w:p w14:paraId="5EE61A5D">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7BE16C7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A30D0DD">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3415F8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F7C1CE">
      <w:pPr>
        <w:numPr>
          <w:ilvl w:val="0"/>
          <w:numId w:val="0"/>
        </w:numPr>
        <w:ind w:left="0" w:leftChars="0" w:firstLine="0" w:firstLineChars="0"/>
        <w:rPr>
          <w:rFonts w:hint="eastAsia" w:ascii="仿宋" w:hAnsi="仿宋" w:eastAsia="仿宋"/>
          <w:b/>
          <w:szCs w:val="21"/>
          <w:u w:val="single"/>
        </w:rPr>
      </w:pPr>
      <w:r>
        <w:rPr>
          <w:rFonts w:hint="eastAsia" w:ascii="仿宋" w:hAnsi="仿宋" w:eastAsia="仿宋" w:cstheme="minorBidi"/>
          <w:b/>
          <w:kern w:val="2"/>
          <w:sz w:val="21"/>
          <w:szCs w:val="21"/>
          <w:lang w:val="en-US" w:eastAsia="zh-CN" w:bidi="ar-SA"/>
        </w:rPr>
        <w:t>7.</w:t>
      </w: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8"/>
          <w:rFonts w:hint="eastAsia" w:ascii="仿宋" w:hAnsi="仿宋" w:eastAsia="仿宋" w:cs="仿宋"/>
          <w:b w:val="0"/>
          <w:bCs/>
          <w:color w:val="auto"/>
          <w:sz w:val="21"/>
          <w:szCs w:val="21"/>
          <w:lang w:eastAsia="zh-CN"/>
        </w:rPr>
        <w:t>具备</w:t>
      </w:r>
      <w:r>
        <w:rPr>
          <w:rStyle w:val="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7539B53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F98159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F22B9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048E596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8"/>
          <w:rFonts w:hint="eastAsia" w:ascii="仿宋" w:hAnsi="仿宋" w:eastAsia="仿宋" w:cs="仿宋"/>
          <w:b/>
          <w:bCs w:val="0"/>
          <w:color w:val="auto"/>
          <w:sz w:val="21"/>
          <w:szCs w:val="21"/>
          <w:lang w:eastAsia="zh-CN"/>
        </w:rPr>
        <w:t>或具备</w:t>
      </w:r>
      <w:r>
        <w:rPr>
          <w:rStyle w:val="8"/>
          <w:rFonts w:hint="eastAsia" w:ascii="仿宋" w:hAnsi="仿宋" w:eastAsia="仿宋" w:cs="仿宋"/>
          <w:b/>
          <w:bCs w:val="0"/>
          <w:color w:val="auto"/>
          <w:sz w:val="21"/>
          <w:szCs w:val="21"/>
          <w:lang w:val="en-US" w:eastAsia="zh-CN"/>
        </w:rPr>
        <w:t>CMA【或CNAS】资质检测机构）</w:t>
      </w:r>
      <w:r>
        <w:rPr>
          <w:rStyle w:val="8"/>
          <w:rFonts w:hint="eastAsia" w:ascii="仿宋" w:hAnsi="仿宋" w:eastAsia="仿宋" w:cs="仿宋"/>
          <w:b w:val="0"/>
          <w:bCs/>
          <w:color w:val="auto"/>
          <w:sz w:val="21"/>
          <w:szCs w:val="21"/>
          <w:lang w:val="en-US" w:eastAsia="zh-CN"/>
        </w:rPr>
        <w:t>出具的</w:t>
      </w:r>
      <w:r>
        <w:rPr>
          <w:rStyle w:val="8"/>
          <w:rFonts w:hint="eastAsia" w:ascii="仿宋" w:hAnsi="仿宋" w:eastAsia="仿宋" w:cs="仿宋"/>
          <w:b w:val="0"/>
          <w:bCs/>
          <w:color w:val="auto"/>
          <w:sz w:val="21"/>
          <w:szCs w:val="21"/>
        </w:rPr>
        <w:t>质检报告原件扫描件</w:t>
      </w:r>
      <w:r>
        <w:rPr>
          <w:rStyle w:val="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8"/>
          <w:rFonts w:hint="eastAsia" w:ascii="仿宋" w:hAnsi="仿宋" w:eastAsia="仿宋" w:cs="仿宋"/>
          <w:b w:val="0"/>
          <w:bCs/>
          <w:color w:val="auto"/>
          <w:sz w:val="21"/>
          <w:szCs w:val="21"/>
        </w:rPr>
        <w:t>食药监局</w:t>
      </w:r>
      <w:r>
        <w:rPr>
          <w:rStyle w:val="8"/>
          <w:rFonts w:hint="eastAsia" w:ascii="仿宋" w:hAnsi="仿宋" w:eastAsia="仿宋" w:cs="仿宋"/>
          <w:b w:val="0"/>
          <w:bCs/>
          <w:color w:val="auto"/>
          <w:sz w:val="21"/>
          <w:szCs w:val="21"/>
          <w:lang w:eastAsia="zh-CN"/>
        </w:rPr>
        <w:t>或</w:t>
      </w:r>
      <w:r>
        <w:rPr>
          <w:rStyle w:val="8"/>
          <w:rFonts w:hint="eastAsia" w:ascii="仿宋" w:hAnsi="仿宋" w:eastAsia="仿宋" w:cs="仿宋"/>
          <w:b w:val="0"/>
          <w:bCs/>
          <w:color w:val="auto"/>
          <w:sz w:val="21"/>
          <w:szCs w:val="21"/>
        </w:rPr>
        <w:t>其下属单位</w:t>
      </w:r>
      <w:r>
        <w:rPr>
          <w:rStyle w:val="8"/>
          <w:rFonts w:hint="eastAsia" w:ascii="仿宋" w:hAnsi="仿宋" w:eastAsia="仿宋" w:cs="仿宋"/>
          <w:b w:val="0"/>
          <w:bCs/>
          <w:color w:val="auto"/>
          <w:sz w:val="21"/>
          <w:szCs w:val="21"/>
          <w:lang w:eastAsia="zh-CN"/>
        </w:rPr>
        <w:t>或省级医疗器械检验机构或省级食品药品检验机构等）。</w:t>
      </w:r>
    </w:p>
    <w:p w14:paraId="7778009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3BD79210">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5"/>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5437"/>
        <w:gridCol w:w="1066"/>
        <w:gridCol w:w="645"/>
        <w:gridCol w:w="870"/>
        <w:gridCol w:w="1215"/>
      </w:tblGrid>
      <w:tr w14:paraId="6672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65" w:type="dxa"/>
            <w:gridSpan w:val="4"/>
            <w:tcBorders>
              <w:top w:val="single" w:color="000000" w:sz="4" w:space="0"/>
              <w:left w:val="single" w:color="000000" w:sz="4" w:space="0"/>
              <w:bottom w:val="single" w:color="000000" w:sz="4" w:space="0"/>
              <w:right w:val="single" w:color="000000" w:sz="4" w:space="0"/>
            </w:tcBorders>
            <w:noWrap w:val="0"/>
            <w:vAlign w:val="center"/>
          </w:tcPr>
          <w:p w14:paraId="7DACAB7A">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4F3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CBD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53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14:paraId="5854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auto" w:sz="4" w:space="0"/>
              <w:right w:val="single" w:color="000000" w:sz="4" w:space="0"/>
            </w:tcBorders>
            <w:noWrap w:val="0"/>
            <w:vAlign w:val="center"/>
          </w:tcPr>
          <w:p w14:paraId="1586DF3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项目名称</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59AD44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5437" w:type="dxa"/>
            <w:tcBorders>
              <w:top w:val="single" w:color="000000" w:sz="4" w:space="0"/>
              <w:left w:val="single" w:color="000000" w:sz="4" w:space="0"/>
              <w:bottom w:val="single" w:color="auto" w:sz="4" w:space="0"/>
              <w:right w:val="single" w:color="000000" w:sz="4" w:space="0"/>
            </w:tcBorders>
            <w:noWrap w:val="0"/>
            <w:vAlign w:val="center"/>
          </w:tcPr>
          <w:p w14:paraId="5BFF9F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730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50126">
            <w:pPr>
              <w:jc w:val="center"/>
              <w:rPr>
                <w:rFonts w:hint="eastAsia" w:ascii="仿宋" w:hAnsi="仿宋" w:eastAsia="仿宋" w:cs="仿宋"/>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7D7FD">
            <w:pPr>
              <w:jc w:val="center"/>
              <w:rPr>
                <w:rFonts w:hint="eastAsia" w:ascii="仿宋" w:hAnsi="仿宋" w:eastAsia="仿宋" w:cs="仿宋"/>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CB5F6">
            <w:pPr>
              <w:jc w:val="center"/>
              <w:rPr>
                <w:rFonts w:hint="eastAsia" w:ascii="仿宋" w:hAnsi="仿宋" w:eastAsia="仿宋" w:cs="仿宋"/>
                <w:i w:val="0"/>
                <w:iCs w:val="0"/>
                <w:color w:val="000000"/>
                <w:sz w:val="21"/>
                <w:szCs w:val="21"/>
                <w:u w:val="none"/>
              </w:rPr>
            </w:pPr>
          </w:p>
        </w:tc>
      </w:tr>
      <w:tr w14:paraId="49B8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8" w:hRule="atLeast"/>
        </w:trPr>
        <w:tc>
          <w:tcPr>
            <w:tcW w:w="682" w:type="dxa"/>
            <w:vMerge w:val="restart"/>
            <w:tcBorders>
              <w:top w:val="single" w:color="auto" w:sz="4" w:space="0"/>
              <w:left w:val="single" w:color="auto" w:sz="4" w:space="0"/>
              <w:right w:val="single" w:color="auto" w:sz="4" w:space="0"/>
            </w:tcBorders>
            <w:noWrap w:val="0"/>
            <w:vAlign w:val="center"/>
          </w:tcPr>
          <w:p w14:paraId="0F8ACA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0"/>
                <w:szCs w:val="20"/>
                <w:u w:val="none"/>
              </w:rPr>
            </w:pPr>
            <w:r>
              <w:rPr>
                <w:rFonts w:hint="eastAsia"/>
                <w:b/>
                <w:bCs/>
                <w:sz w:val="20"/>
                <w:szCs w:val="21"/>
              </w:rPr>
              <w:t>六安市中医院无线互联网覆盖建设服务项目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452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i w:val="0"/>
                <w:iCs w:val="0"/>
                <w:color w:val="000000"/>
                <w:sz w:val="20"/>
                <w:szCs w:val="20"/>
                <w:u w:val="none"/>
                <w:lang w:val="en-US" w:eastAsia="zh-CN"/>
              </w:rPr>
            </w:pPr>
            <w:r>
              <w:rPr>
                <w:rFonts w:hint="eastAsia"/>
                <w:sz w:val="20"/>
                <w:szCs w:val="21"/>
                <w:lang w:val="en-US" w:eastAsia="zh-CN"/>
              </w:rPr>
              <w:t>基本</w:t>
            </w:r>
            <w:r>
              <w:rPr>
                <w:rFonts w:hint="eastAsia"/>
                <w:sz w:val="20"/>
                <w:szCs w:val="21"/>
              </w:rPr>
              <w:t>服</w:t>
            </w:r>
            <w:bookmarkStart w:id="0" w:name="_GoBack"/>
            <w:bookmarkEnd w:id="0"/>
            <w:r>
              <w:rPr>
                <w:rFonts w:hint="eastAsia"/>
                <w:sz w:val="20"/>
                <w:szCs w:val="21"/>
              </w:rPr>
              <w:t>务</w:t>
            </w:r>
          </w:p>
        </w:tc>
        <w:tc>
          <w:tcPr>
            <w:tcW w:w="5437" w:type="dxa"/>
            <w:tcBorders>
              <w:top w:val="single" w:color="auto" w:sz="4" w:space="0"/>
              <w:left w:val="single" w:color="auto" w:sz="4" w:space="0"/>
              <w:bottom w:val="single" w:color="auto" w:sz="4" w:space="0"/>
              <w:right w:val="single" w:color="auto" w:sz="4" w:space="0"/>
            </w:tcBorders>
            <w:noWrap w:val="0"/>
            <w:vAlign w:val="center"/>
          </w:tcPr>
          <w:p w14:paraId="766B1ACF">
            <w:pPr>
              <w:pStyle w:val="9"/>
              <w:numPr>
                <w:ilvl w:val="0"/>
                <w:numId w:val="0"/>
              </w:numPr>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w:t>
            </w:r>
            <w:r>
              <w:rPr>
                <w:rFonts w:hint="eastAsia" w:asciiTheme="minorEastAsia" w:hAnsiTheme="minorEastAsia" w:eastAsiaTheme="minorEastAsia" w:cstheme="minorEastAsia"/>
                <w:kern w:val="2"/>
                <w:sz w:val="22"/>
                <w:szCs w:val="22"/>
                <w:lang w:val="en-US" w:eastAsia="zh-CN" w:bidi="ar-SA"/>
              </w:rPr>
              <w:t>传输技术：支持FTTH 全光网络，端到端光缆连接，光纤联入房间；</w:t>
            </w:r>
          </w:p>
          <w:p w14:paraId="2E2CB760">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2.</w:t>
            </w:r>
            <w:r>
              <w:rPr>
                <w:rFonts w:hint="eastAsia" w:asciiTheme="minorEastAsia" w:hAnsiTheme="minorEastAsia" w:eastAsiaTheme="minorEastAsia" w:cstheme="minorEastAsia"/>
                <w:kern w:val="2"/>
                <w:sz w:val="22"/>
                <w:szCs w:val="22"/>
                <w:lang w:val="en-US" w:eastAsia="zh-CN" w:bidi="ar-SA"/>
              </w:rPr>
              <w:t>稳定性：单次故障中断时间≤2小时，年故障中断时间≤12小时；</w:t>
            </w:r>
          </w:p>
          <w:p w14:paraId="7C3C4D16">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3.</w:t>
            </w:r>
            <w:r>
              <w:rPr>
                <w:rFonts w:hint="eastAsia" w:asciiTheme="minorEastAsia" w:hAnsiTheme="minorEastAsia" w:eastAsiaTheme="minorEastAsia" w:cstheme="minorEastAsia"/>
                <w:kern w:val="2"/>
                <w:sz w:val="22"/>
                <w:szCs w:val="22"/>
                <w:lang w:val="en-US" w:eastAsia="zh-CN" w:bidi="ar-SA"/>
              </w:rPr>
              <w:t>速率标准：每间病房配备包括100Mbps及以上的速率宽带接入产品。宽带产品速率要满足行业标准YD/T 2400-2012《宽带速率测试方法固定宽带接入》要求；</w:t>
            </w:r>
          </w:p>
          <w:p w14:paraId="63327708">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4.</w:t>
            </w:r>
            <w:r>
              <w:rPr>
                <w:rFonts w:hint="default" w:asciiTheme="minorEastAsia" w:hAnsiTheme="minorEastAsia" w:eastAsiaTheme="minorEastAsia" w:cstheme="minorEastAsia"/>
                <w:kern w:val="2"/>
                <w:sz w:val="22"/>
                <w:szCs w:val="22"/>
                <w:lang w:val="en-US" w:eastAsia="zh-CN" w:bidi="ar-SA"/>
              </w:rPr>
              <w:t>综合布线：</w:t>
            </w:r>
            <w:r>
              <w:rPr>
                <w:rFonts w:hint="eastAsia" w:asciiTheme="minorEastAsia" w:hAnsiTheme="minorEastAsia" w:eastAsiaTheme="minorEastAsia" w:cstheme="minorEastAsia"/>
                <w:kern w:val="2"/>
                <w:sz w:val="22"/>
                <w:szCs w:val="22"/>
                <w:lang w:val="en-US" w:eastAsia="zh-CN" w:bidi="ar-SA"/>
              </w:rPr>
              <w:t>提供光纤进入医院大楼中心汇聚点，在每个楼层管道井放光缆并加分光器，再布放皮纤进房间，完成医院从楼道交换机到房间的光纤敷设，每个房间内接入信息点不少于1个；</w:t>
            </w:r>
          </w:p>
          <w:p w14:paraId="2B143EEB">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5.</w:t>
            </w:r>
            <w:r>
              <w:rPr>
                <w:rFonts w:hint="eastAsia" w:asciiTheme="minorEastAsia" w:hAnsiTheme="minorEastAsia" w:eastAsiaTheme="minorEastAsia" w:cstheme="minorEastAsia"/>
                <w:kern w:val="2"/>
                <w:sz w:val="22"/>
                <w:szCs w:val="22"/>
                <w:lang w:val="en-US" w:eastAsia="zh-CN" w:bidi="ar-SA"/>
              </w:rPr>
              <w:t>协议标准：支持 WiFi5 及以上协议，双频并发速率≥1167Mbps；</w:t>
            </w:r>
          </w:p>
          <w:p w14:paraId="6A8CB728">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6.</w:t>
            </w:r>
            <w:r>
              <w:rPr>
                <w:rFonts w:hint="eastAsia" w:asciiTheme="minorEastAsia" w:hAnsiTheme="minorEastAsia" w:eastAsiaTheme="minorEastAsia" w:cstheme="minorEastAsia"/>
                <w:kern w:val="2"/>
                <w:sz w:val="22"/>
                <w:szCs w:val="22"/>
                <w:lang w:val="en-US" w:eastAsia="zh-CN" w:bidi="ar-SA"/>
              </w:rPr>
              <w:t>网关设备硬件配置：≥双核 1GHz 及以上 CPU，≥256MB SPI FLASH，≥512MB 内存；</w:t>
            </w:r>
          </w:p>
          <w:p w14:paraId="67668549">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7.</w:t>
            </w:r>
            <w:r>
              <w:rPr>
                <w:rFonts w:hint="eastAsia" w:asciiTheme="minorEastAsia" w:hAnsiTheme="minorEastAsia" w:eastAsiaTheme="minorEastAsia" w:cstheme="minorEastAsia"/>
                <w:kern w:val="2"/>
                <w:sz w:val="22"/>
                <w:szCs w:val="22"/>
                <w:lang w:val="en-US" w:eastAsia="zh-CN" w:bidi="ar-SA"/>
              </w:rPr>
              <w:t>网关设备接口配置：≥2 个 GE 以太网接口、1 个 POTS 接口、2 个 USB2.0 接口、1 个 HDMI 接口；</w:t>
            </w:r>
          </w:p>
          <w:p w14:paraId="514F4FB4">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8.</w:t>
            </w:r>
            <w:r>
              <w:rPr>
                <w:rFonts w:hint="eastAsia" w:asciiTheme="minorEastAsia" w:hAnsiTheme="minorEastAsia" w:eastAsiaTheme="minorEastAsia" w:cstheme="minorEastAsia"/>
                <w:kern w:val="2"/>
                <w:sz w:val="22"/>
                <w:szCs w:val="22"/>
                <w:lang w:val="en-US" w:eastAsia="zh-CN" w:bidi="ar-SA"/>
              </w:rPr>
              <w:t>覆盖范围：每个病房部署网关设备，确保全院不少于800 间病房区域无盲区，信号强度≥-75dBm；</w:t>
            </w:r>
          </w:p>
          <w:p w14:paraId="7173049D">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9.</w:t>
            </w:r>
            <w:r>
              <w:rPr>
                <w:rFonts w:hint="eastAsia" w:asciiTheme="minorEastAsia" w:hAnsiTheme="minorEastAsia" w:eastAsiaTheme="minorEastAsia" w:cstheme="minorEastAsia"/>
                <w:kern w:val="2"/>
                <w:sz w:val="22"/>
                <w:szCs w:val="22"/>
                <w:lang w:val="en-US" w:eastAsia="zh-CN" w:bidi="ar-SA"/>
              </w:rPr>
              <w:t>接入能力：支持全院≥ 2500台终端同时接入，支持单病房≥10台终端并发；</w:t>
            </w:r>
          </w:p>
          <w:p w14:paraId="390DCE2E">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10.</w:t>
            </w:r>
            <w:r>
              <w:rPr>
                <w:rFonts w:hint="eastAsia" w:asciiTheme="minorEastAsia" w:hAnsiTheme="minorEastAsia" w:eastAsiaTheme="minorEastAsia" w:cstheme="minorEastAsia"/>
                <w:kern w:val="2"/>
                <w:sz w:val="22"/>
                <w:szCs w:val="22"/>
                <w:lang w:val="en-US" w:eastAsia="zh-CN" w:bidi="ar-SA"/>
              </w:rPr>
              <w:t>传输质量：时延≤50ms，丢包率≤1%，高清视频播放、视频通话无卡顿；</w:t>
            </w:r>
          </w:p>
          <w:p w14:paraId="2973CE80">
            <w:pPr>
              <w:pStyle w:val="9"/>
              <w:numPr>
                <w:ilvl w:val="0"/>
                <w:numId w:val="0"/>
              </w:numPr>
              <w:ind w:left="425" w:leftChars="0" w:hanging="425" w:firstLineChars="0"/>
              <w:rPr>
                <w:rFonts w:hint="eastAsia" w:asciiTheme="minorEastAsia" w:hAnsiTheme="minorEastAsia" w:eastAsiaTheme="minorEastAsia" w:cstheme="minorEastAsia"/>
                <w:sz w:val="22"/>
                <w:szCs w:val="22"/>
              </w:rPr>
            </w:pPr>
            <w:r>
              <w:rPr>
                <w:rFonts w:hint="default" w:asciiTheme="minorEastAsia" w:hAnsiTheme="minorEastAsia" w:eastAsiaTheme="minorEastAsia" w:cstheme="minorEastAsia"/>
                <w:sz w:val="22"/>
                <w:szCs w:val="22"/>
              </w:rPr>
              <w:t>11.</w:t>
            </w:r>
            <w:r>
              <w:rPr>
                <w:rFonts w:hint="eastAsia" w:asciiTheme="minorEastAsia" w:hAnsiTheme="minorEastAsia" w:eastAsiaTheme="minorEastAsia" w:cstheme="minorEastAsia"/>
                <w:kern w:val="2"/>
                <w:sz w:val="22"/>
                <w:szCs w:val="22"/>
                <w:lang w:val="en-US" w:eastAsia="zh-CN" w:bidi="ar-SA"/>
              </w:rPr>
              <w:t>穿墙性能：支持多穿一堵墙速率衰减≤10%；</w:t>
            </w:r>
          </w:p>
        </w:tc>
        <w:tc>
          <w:tcPr>
            <w:tcW w:w="1066" w:type="dxa"/>
            <w:tcBorders>
              <w:top w:val="single" w:color="000000" w:sz="4" w:space="0"/>
              <w:left w:val="single" w:color="auto" w:sz="4" w:space="0"/>
              <w:bottom w:val="single" w:color="000000" w:sz="4" w:space="0"/>
              <w:right w:val="single" w:color="000000" w:sz="4" w:space="0"/>
            </w:tcBorders>
            <w:noWrap w:val="0"/>
            <w:vAlign w:val="center"/>
          </w:tcPr>
          <w:p w14:paraId="24AE7207">
            <w:pPr>
              <w:jc w:val="center"/>
              <w:rPr>
                <w:rFonts w:hint="eastAsia" w:ascii="仿宋" w:hAnsi="仿宋" w:eastAsia="仿宋" w:cs="仿宋"/>
                <w:i w:val="0"/>
                <w:iCs w:val="0"/>
                <w:color w:val="000000"/>
                <w:sz w:val="20"/>
                <w:szCs w:val="20"/>
                <w:u w:val="none"/>
                <w:lang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8EB0A7">
            <w:pPr>
              <w:jc w:val="center"/>
              <w:rPr>
                <w:rFonts w:hint="eastAsia" w:ascii="仿宋" w:hAnsi="仿宋" w:eastAsia="仿宋" w:cs="仿宋"/>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088F6C">
            <w:pPr>
              <w:jc w:val="both"/>
              <w:rPr>
                <w:rFonts w:hint="eastAsia" w:ascii="仿宋" w:hAnsi="仿宋" w:eastAsia="仿宋" w:cs="仿宋"/>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BEBE830">
            <w:pPr>
              <w:jc w:val="center"/>
              <w:rPr>
                <w:rFonts w:hint="eastAsia" w:ascii="仿宋" w:hAnsi="仿宋" w:eastAsia="仿宋" w:cs="仿宋"/>
                <w:i w:val="0"/>
                <w:iCs w:val="0"/>
                <w:color w:val="000000"/>
                <w:sz w:val="20"/>
                <w:szCs w:val="20"/>
                <w:u w:val="none"/>
              </w:rPr>
            </w:pPr>
          </w:p>
        </w:tc>
      </w:tr>
      <w:tr w14:paraId="2853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left w:val="single" w:color="auto" w:sz="4" w:space="0"/>
              <w:right w:val="single" w:color="auto" w:sz="4" w:space="0"/>
            </w:tcBorders>
            <w:noWrap w:val="0"/>
            <w:vAlign w:val="center"/>
          </w:tcPr>
          <w:p w14:paraId="5B0917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C507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Arial" w:hAnsi="Arial" w:cs="Arial" w:eastAsiaTheme="minorEastAsia"/>
                <w:sz w:val="20"/>
                <w:szCs w:val="21"/>
                <w:lang w:val="en-US" w:eastAsia="zh-CN"/>
              </w:rPr>
            </w:pPr>
            <w:r>
              <w:rPr>
                <w:rFonts w:hint="eastAsia" w:ascii="Arial" w:hAnsi="Arial" w:cs="Arial"/>
                <w:sz w:val="20"/>
                <w:szCs w:val="21"/>
                <w:lang w:val="en-US" w:eastAsia="zh-CN"/>
              </w:rPr>
              <w:t>安全服务要求</w:t>
            </w:r>
          </w:p>
        </w:tc>
        <w:tc>
          <w:tcPr>
            <w:tcW w:w="5437" w:type="dxa"/>
            <w:tcBorders>
              <w:top w:val="single" w:color="auto" w:sz="4" w:space="0"/>
              <w:left w:val="single" w:color="auto" w:sz="4" w:space="0"/>
              <w:bottom w:val="single" w:color="auto" w:sz="4" w:space="0"/>
              <w:right w:val="single" w:color="auto" w:sz="4" w:space="0"/>
            </w:tcBorders>
            <w:noWrap w:val="0"/>
            <w:vAlign w:val="center"/>
          </w:tcPr>
          <w:p w14:paraId="19DBC4BB">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12.</w:t>
            </w:r>
            <w:r>
              <w:rPr>
                <w:rFonts w:hint="eastAsia" w:asciiTheme="minorEastAsia" w:hAnsiTheme="minorEastAsia" w:eastAsiaTheme="minorEastAsia" w:cstheme="minorEastAsia"/>
                <w:kern w:val="2"/>
                <w:sz w:val="22"/>
                <w:szCs w:val="22"/>
                <w:lang w:val="en-US" w:eastAsia="zh-CN" w:bidi="ar-SA"/>
              </w:rPr>
              <w:t>网络安全：支持防破解、防刷机，WPA2防护升级、防Wi-Fi入侵；</w:t>
            </w:r>
          </w:p>
          <w:p w14:paraId="506E2D90">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13.</w:t>
            </w:r>
            <w:r>
              <w:rPr>
                <w:rFonts w:hint="eastAsia" w:asciiTheme="minorEastAsia" w:hAnsiTheme="minorEastAsia" w:eastAsiaTheme="minorEastAsia" w:cstheme="minorEastAsia"/>
                <w:kern w:val="2"/>
                <w:sz w:val="22"/>
                <w:szCs w:val="22"/>
                <w:lang w:val="en-US" w:eastAsia="zh-CN" w:bidi="ar-SA"/>
              </w:rPr>
              <w:t>身份认证：配备准入系统，支持接入公共WiFi网络的用户需要通过真实身份（如：手机号）认证之后访问互联网，未进行真实身份认证的用户无法访问互联网；</w:t>
            </w:r>
          </w:p>
          <w:p w14:paraId="36F969B5">
            <w:pPr>
              <w:pStyle w:val="9"/>
              <w:numPr>
                <w:ilvl w:val="0"/>
                <w:numId w:val="0"/>
              </w:numPr>
              <w:ind w:left="425" w:leftChars="0" w:hanging="425" w:firstLineChars="0"/>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14.</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行为及日志记录：本地或云端部署上网行为管理系统，</w:t>
            </w:r>
            <w:r>
              <w:rPr>
                <w:rFonts w:hint="default"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支持</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用户</w:t>
            </w:r>
            <w:r>
              <w:rPr>
                <w:rFonts w:hint="default"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上网行为审计功能，支持应用类审计、恶意URL过滤、模糊匹配、阻断和审计，支持SSL加密审计、加密过滤</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支持流量控制、基于P2P应用和时间的流量控制、支持在线用户信息统计功能</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；支持记录WiFi网络用户的上网行为信息，包括上下线时间、各类论坛用户名称等内容；</w:t>
            </w:r>
          </w:p>
          <w:p w14:paraId="5D69F709">
            <w:pPr>
              <w:pStyle w:val="9"/>
              <w:numPr>
                <w:ilvl w:val="0"/>
                <w:numId w:val="0"/>
              </w:numPr>
              <w:ind w:left="425" w:leftChars="0" w:hanging="425" w:firstLineChars="0"/>
              <w:rPr>
                <w:rFonts w:hint="eastAsia" w:ascii="宋体" w:hAnsi="宋体" w:eastAsia="宋体" w:cs="Times New Roman"/>
                <w:kern w:val="2"/>
                <w:sz w:val="16"/>
                <w:szCs w:val="16"/>
                <w:lang w:val="en-US" w:eastAsia="zh-CN" w:bidi="ar-SA"/>
              </w:rPr>
            </w:pPr>
            <w:r>
              <w:rPr>
                <w:rFonts w:hint="default" w:ascii="宋体" w:hAnsi="宋体" w:eastAsia="宋体" w:cs="Times New Roman"/>
                <w:kern w:val="2"/>
                <w:sz w:val="16"/>
                <w:szCs w:val="16"/>
                <w:lang w:val="en-US" w:eastAsia="zh-CN" w:bidi="ar-SA"/>
              </w:rPr>
              <w:t>15.</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数据解析上报：符合</w:t>
            </w:r>
            <w:r>
              <w:rPr>
                <w:rFonts w:hint="eastAsia" w:ascii="宋体" w:hAnsi="宋体" w:eastAsia="宋体" w:cs="宋体"/>
                <w:i w:val="0"/>
                <w:iCs w:val="0"/>
                <w:caps w:val="0"/>
                <w:color w:val="000000" w:themeColor="text1"/>
                <w:spacing w:val="0"/>
                <w:sz w:val="22"/>
                <w:szCs w:val="22"/>
                <w:shd w:val="clear" w:fill="FFFFFF"/>
                <w14:textFill>
                  <w14:solidFill>
                    <w14:schemeClr w14:val="tx1"/>
                  </w14:solidFill>
                </w14:textFill>
              </w:rPr>
              <w:t>《互联网安全保护技术措施规定》</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和《中华人民共和国网络安全法》等法律法规对公共场所网络安全方面的要求。支持将用户的认证、上网行为信息等数据进行解析上传至公安部门的相关后台备案。</w:t>
            </w:r>
          </w:p>
        </w:tc>
        <w:tc>
          <w:tcPr>
            <w:tcW w:w="1066" w:type="dxa"/>
            <w:tcBorders>
              <w:top w:val="single" w:color="000000" w:sz="4" w:space="0"/>
              <w:left w:val="single" w:color="auto" w:sz="4" w:space="0"/>
              <w:bottom w:val="single" w:color="000000" w:sz="4" w:space="0"/>
              <w:right w:val="single" w:color="000000" w:sz="4" w:space="0"/>
            </w:tcBorders>
            <w:noWrap w:val="0"/>
            <w:vAlign w:val="center"/>
          </w:tcPr>
          <w:p w14:paraId="47F548BD">
            <w:pPr>
              <w:jc w:val="center"/>
              <w:rPr>
                <w:rFonts w:hint="eastAsia" w:ascii="仿宋" w:hAnsi="仿宋" w:eastAsia="仿宋" w:cs="仿宋"/>
                <w:i w:val="0"/>
                <w:iCs w:val="0"/>
                <w:color w:val="000000"/>
                <w:sz w:val="20"/>
                <w:szCs w:val="20"/>
                <w:u w:val="none"/>
                <w:lang w:eastAsia="zh-CN"/>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F01743C">
            <w:pPr>
              <w:jc w:val="center"/>
              <w:rPr>
                <w:rFonts w:hint="eastAsia" w:ascii="仿宋" w:hAnsi="仿宋" w:eastAsia="仿宋" w:cs="仿宋"/>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80B7F0">
            <w:pPr>
              <w:jc w:val="both"/>
              <w:rPr>
                <w:rFonts w:hint="eastAsia" w:ascii="仿宋" w:hAnsi="仿宋" w:eastAsia="仿宋" w:cs="仿宋"/>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B7E3362">
            <w:pPr>
              <w:jc w:val="center"/>
              <w:rPr>
                <w:rFonts w:hint="eastAsia" w:ascii="仿宋" w:hAnsi="仿宋" w:eastAsia="仿宋" w:cs="仿宋"/>
                <w:i w:val="0"/>
                <w:iCs w:val="0"/>
                <w:color w:val="000000"/>
                <w:sz w:val="20"/>
                <w:szCs w:val="20"/>
                <w:u w:val="none"/>
              </w:rPr>
            </w:pPr>
          </w:p>
        </w:tc>
      </w:tr>
      <w:tr w14:paraId="7930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67517D7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250EA5">
            <w:pPr>
              <w:pStyle w:val="2"/>
              <w:bidi w:val="0"/>
              <w:rPr>
                <w:rFonts w:hint="default" w:ascii="Arial" w:hAnsi="Arial" w:cs="Arial" w:eastAsiaTheme="minorEastAsia"/>
                <w:b w:val="0"/>
                <w:bCs w:val="0"/>
                <w:kern w:val="2"/>
                <w:sz w:val="20"/>
                <w:szCs w:val="21"/>
                <w:lang w:val="en-US" w:eastAsia="zh-CN" w:bidi="ar-SA"/>
              </w:rPr>
            </w:pPr>
            <w:r>
              <w:rPr>
                <w:rFonts w:hint="eastAsia" w:ascii="Arial" w:hAnsi="Arial" w:cs="Arial" w:eastAsiaTheme="minorEastAsia"/>
                <w:b w:val="0"/>
                <w:bCs w:val="0"/>
                <w:kern w:val="2"/>
                <w:sz w:val="20"/>
                <w:szCs w:val="21"/>
                <w:lang w:val="en-US" w:eastAsia="zh-CN" w:bidi="ar-SA"/>
              </w:rPr>
              <w:t>运维保障服务</w:t>
            </w:r>
            <w:r>
              <w:rPr>
                <w:rFonts w:hint="eastAsia" w:cs="Arial" w:eastAsiaTheme="minorEastAsia"/>
                <w:b w:val="0"/>
                <w:bCs w:val="0"/>
                <w:kern w:val="2"/>
                <w:sz w:val="20"/>
                <w:szCs w:val="21"/>
                <w:lang w:val="en-US" w:eastAsia="zh-CN" w:bidi="ar-SA"/>
              </w:rPr>
              <w:t>要求</w:t>
            </w:r>
          </w:p>
          <w:p w14:paraId="1831B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宋体" w:cs="Times New Roman"/>
                <w:b/>
                <w:bCs w:val="0"/>
                <w:sz w:val="20"/>
                <w:szCs w:val="20"/>
                <w:lang w:val="en-US" w:eastAsia="zh-CN"/>
              </w:rPr>
            </w:pPr>
          </w:p>
        </w:tc>
        <w:tc>
          <w:tcPr>
            <w:tcW w:w="5437" w:type="dxa"/>
            <w:tcBorders>
              <w:top w:val="single" w:color="auto" w:sz="4" w:space="0"/>
              <w:left w:val="single" w:color="auto" w:sz="4" w:space="0"/>
              <w:bottom w:val="single" w:color="auto" w:sz="4" w:space="0"/>
              <w:right w:val="single" w:color="auto" w:sz="4" w:space="0"/>
            </w:tcBorders>
            <w:noWrap w:val="0"/>
            <w:vAlign w:val="center"/>
          </w:tcPr>
          <w:p w14:paraId="3B100E28">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16.</w:t>
            </w:r>
            <w:r>
              <w:rPr>
                <w:rFonts w:hint="eastAsia" w:asciiTheme="minorEastAsia" w:hAnsiTheme="minorEastAsia" w:eastAsiaTheme="minorEastAsia" w:cstheme="minorEastAsia"/>
                <w:kern w:val="2"/>
                <w:sz w:val="22"/>
                <w:szCs w:val="22"/>
                <w:lang w:val="en-US" w:eastAsia="zh-CN" w:bidi="ar-SA"/>
              </w:rPr>
              <w:t>响应机制：7×24 小时专属服务热线，故障 15 分钟内响应，60 分钟内抵达现场；</w:t>
            </w:r>
          </w:p>
          <w:p w14:paraId="2B2DEF15">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17.</w:t>
            </w:r>
            <w:r>
              <w:rPr>
                <w:rFonts w:hint="eastAsia" w:asciiTheme="minorEastAsia" w:hAnsiTheme="minorEastAsia" w:eastAsiaTheme="minorEastAsia" w:cstheme="minorEastAsia"/>
                <w:kern w:val="2"/>
                <w:sz w:val="22"/>
                <w:szCs w:val="22"/>
                <w:lang w:val="en-US" w:eastAsia="zh-CN" w:bidi="ar-SA"/>
              </w:rPr>
              <w:t>修复时限：一般性故障≤4 小时解决，重大故障（主干光缆等）≤8 小时解决；</w:t>
            </w:r>
          </w:p>
          <w:p w14:paraId="3BC1AF8F">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18.</w:t>
            </w:r>
            <w:r>
              <w:rPr>
                <w:rFonts w:hint="eastAsia" w:asciiTheme="minorEastAsia" w:hAnsiTheme="minorEastAsia" w:eastAsiaTheme="minorEastAsia" w:cstheme="minorEastAsia"/>
                <w:kern w:val="2"/>
                <w:sz w:val="22"/>
                <w:szCs w:val="22"/>
                <w:lang w:val="en-US" w:eastAsia="zh-CN" w:bidi="ar-SA"/>
              </w:rPr>
              <w:t>巡检维护：每季度开展 1 次网络优化与设备巡检，提供巡检报告；</w:t>
            </w:r>
          </w:p>
          <w:p w14:paraId="48526277">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19.</w:t>
            </w:r>
            <w:r>
              <w:rPr>
                <w:rFonts w:hint="eastAsia" w:asciiTheme="minorEastAsia" w:hAnsiTheme="minorEastAsia" w:eastAsiaTheme="minorEastAsia" w:cstheme="minorEastAsia"/>
                <w:kern w:val="2"/>
                <w:sz w:val="22"/>
                <w:szCs w:val="22"/>
                <w:lang w:val="en-US" w:eastAsia="zh-CN" w:bidi="ar-SA"/>
              </w:rPr>
              <w:t>备品备件：按 1% 标准配置备用网关及应急光纤，确保突发故障 2 小时内恢复；</w:t>
            </w:r>
          </w:p>
          <w:p w14:paraId="5B004B74">
            <w:pPr>
              <w:pStyle w:val="9"/>
              <w:numPr>
                <w:ilvl w:val="0"/>
                <w:numId w:val="0"/>
              </w:numPr>
              <w:ind w:left="425" w:leftChars="0" w:hanging="425" w:firstLineChars="0"/>
              <w:rPr>
                <w:rFonts w:hint="eastAsia"/>
                <w:sz w:val="21"/>
                <w:szCs w:val="21"/>
                <w:lang w:val="en-US" w:eastAsia="zh-CN"/>
              </w:rPr>
            </w:pPr>
            <w:r>
              <w:rPr>
                <w:rFonts w:hint="default" w:ascii="Arial" w:hAnsi="Arial" w:eastAsia="等线" w:cs="Arial"/>
                <w:sz w:val="21"/>
                <w:szCs w:val="21"/>
                <w:lang w:val="en-US" w:eastAsia="zh-CN"/>
              </w:rPr>
              <w:t>20.</w:t>
            </w:r>
            <w:r>
              <w:rPr>
                <w:rFonts w:hint="eastAsia" w:asciiTheme="minorEastAsia" w:hAnsiTheme="minorEastAsia" w:eastAsiaTheme="minorEastAsia" w:cstheme="minorEastAsia"/>
                <w:kern w:val="2"/>
                <w:sz w:val="22"/>
                <w:szCs w:val="22"/>
                <w:lang w:val="en-US" w:eastAsia="zh-CN" w:bidi="ar-SA"/>
              </w:rPr>
              <w:t>保障服务：免费安装维护、安装调试。免费提供设备软件补丁更新、安全升级，适配终端接入量增长；</w:t>
            </w:r>
          </w:p>
        </w:tc>
        <w:tc>
          <w:tcPr>
            <w:tcW w:w="1066" w:type="dxa"/>
            <w:tcBorders>
              <w:top w:val="single" w:color="000000" w:sz="4" w:space="0"/>
              <w:left w:val="single" w:color="auto" w:sz="4" w:space="0"/>
              <w:bottom w:val="single" w:color="000000" w:sz="4" w:space="0"/>
              <w:right w:val="single" w:color="000000" w:sz="4" w:space="0"/>
            </w:tcBorders>
            <w:noWrap w:val="0"/>
            <w:vAlign w:val="center"/>
          </w:tcPr>
          <w:p w14:paraId="12FE5007">
            <w:pPr>
              <w:jc w:val="center"/>
              <w:rPr>
                <w:rFonts w:hint="eastAsia" w:ascii="仿宋" w:hAnsi="仿宋" w:eastAsia="仿宋" w:cs="仿宋"/>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EA4AFD6">
            <w:pPr>
              <w:jc w:val="center"/>
              <w:rPr>
                <w:rFonts w:hint="eastAsia" w:ascii="仿宋" w:hAnsi="仿宋" w:eastAsia="仿宋" w:cs="仿宋"/>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156F99">
            <w:pPr>
              <w:jc w:val="center"/>
              <w:rPr>
                <w:rFonts w:hint="eastAsia" w:ascii="仿宋" w:hAnsi="仿宋" w:eastAsia="仿宋" w:cs="仿宋"/>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DE4CAE0">
            <w:pPr>
              <w:jc w:val="center"/>
              <w:rPr>
                <w:rFonts w:hint="eastAsia" w:ascii="仿宋" w:hAnsi="仿宋" w:eastAsia="仿宋" w:cs="仿宋"/>
                <w:i w:val="0"/>
                <w:iCs w:val="0"/>
                <w:color w:val="000000"/>
                <w:sz w:val="20"/>
                <w:szCs w:val="20"/>
                <w:u w:val="none"/>
              </w:rPr>
            </w:pPr>
          </w:p>
        </w:tc>
      </w:tr>
      <w:tr w14:paraId="00DF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682" w:type="dxa"/>
            <w:tcBorders>
              <w:top w:val="single" w:color="auto" w:sz="4" w:space="0"/>
              <w:left w:val="single" w:color="auto" w:sz="4" w:space="0"/>
              <w:bottom w:val="single" w:color="auto" w:sz="4" w:space="0"/>
              <w:right w:val="single" w:color="auto" w:sz="4" w:space="0"/>
            </w:tcBorders>
            <w:noWrap w:val="0"/>
            <w:vAlign w:val="center"/>
          </w:tcPr>
          <w:p w14:paraId="1ABD72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 w:val="2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E27A1">
            <w:pPr>
              <w:pStyle w:val="9"/>
              <w:numPr>
                <w:ilvl w:val="0"/>
                <w:numId w:val="0"/>
              </w:numPr>
              <w:ind w:leftChars="0"/>
              <w:rPr>
                <w:rFonts w:hint="eastAsia" w:asciiTheme="minorHAnsi" w:hAnsiTheme="minorHAnsi" w:eastAsiaTheme="minorEastAsia" w:cstheme="minorBidi"/>
                <w:kern w:val="2"/>
                <w:sz w:val="20"/>
                <w:szCs w:val="21"/>
                <w:lang w:val="en-US" w:eastAsia="zh-CN" w:bidi="ar-SA"/>
              </w:rPr>
            </w:pPr>
            <w:r>
              <w:rPr>
                <w:rFonts w:hint="eastAsia" w:asciiTheme="minorHAnsi" w:hAnsiTheme="minorHAnsi" w:eastAsiaTheme="minorEastAsia" w:cstheme="minorBidi"/>
                <w:kern w:val="2"/>
                <w:sz w:val="20"/>
                <w:szCs w:val="21"/>
                <w:lang w:val="en-US" w:eastAsia="zh-CN" w:bidi="ar-SA"/>
              </w:rPr>
              <w:t>其他</w:t>
            </w:r>
          </w:p>
          <w:p w14:paraId="284F50AE">
            <w:pPr>
              <w:pStyle w:val="9"/>
              <w:numPr>
                <w:ilvl w:val="0"/>
                <w:numId w:val="0"/>
              </w:numPr>
              <w:ind w:left="0" w:leftChars="0" w:firstLine="0" w:firstLineChars="0"/>
              <w:rPr>
                <w:rFonts w:hint="eastAsia" w:asciiTheme="minorHAnsi" w:hAnsiTheme="minorHAnsi" w:eastAsiaTheme="minorEastAsia" w:cstheme="minorBidi"/>
                <w:kern w:val="2"/>
                <w:sz w:val="20"/>
                <w:szCs w:val="21"/>
                <w:lang w:val="en-US" w:eastAsia="zh-CN" w:bidi="ar-SA"/>
              </w:rPr>
            </w:pPr>
            <w:r>
              <w:rPr>
                <w:rFonts w:hint="eastAsia" w:asciiTheme="minorHAnsi" w:hAnsiTheme="minorHAnsi" w:eastAsiaTheme="minorEastAsia" w:cstheme="minorBidi"/>
                <w:kern w:val="2"/>
                <w:sz w:val="20"/>
                <w:szCs w:val="21"/>
                <w:lang w:val="en-US" w:eastAsia="zh-CN" w:bidi="ar-SA"/>
              </w:rPr>
              <w:t>要求</w:t>
            </w:r>
          </w:p>
        </w:tc>
        <w:tc>
          <w:tcPr>
            <w:tcW w:w="54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9D1DC">
            <w:pPr>
              <w:pStyle w:val="9"/>
              <w:numPr>
                <w:ilvl w:val="0"/>
                <w:numId w:val="0"/>
              </w:numPr>
              <w:ind w:left="425" w:leftChars="0" w:hanging="425" w:firstLineChars="0"/>
              <w:rPr>
                <w:rFonts w:hint="eastAsia" w:asciiTheme="minorEastAsia" w:hAnsiTheme="minorEastAsia" w:eastAsiaTheme="minorEastAsia" w:cstheme="minorEastAsia"/>
                <w:kern w:val="2"/>
                <w:sz w:val="22"/>
                <w:szCs w:val="22"/>
                <w:highlight w:val="yellow"/>
                <w:lang w:val="en-US" w:eastAsia="zh-CN" w:bidi="ar-SA"/>
              </w:rPr>
            </w:pPr>
            <w:r>
              <w:rPr>
                <w:rFonts w:hint="default" w:asciiTheme="minorEastAsia" w:hAnsiTheme="minorEastAsia" w:eastAsiaTheme="minorEastAsia" w:cstheme="minorEastAsia"/>
                <w:kern w:val="2"/>
                <w:sz w:val="22"/>
                <w:szCs w:val="22"/>
                <w:lang w:val="en-US" w:eastAsia="zh-CN" w:bidi="ar-SA"/>
              </w:rPr>
              <w:t>21.</w:t>
            </w:r>
            <w:r>
              <w:rPr>
                <w:rFonts w:hint="eastAsia" w:asciiTheme="minorEastAsia" w:hAnsiTheme="minorEastAsia" w:eastAsiaTheme="minorEastAsia" w:cstheme="minorEastAsia"/>
                <w:kern w:val="2"/>
                <w:sz w:val="22"/>
                <w:szCs w:val="22"/>
                <w:highlight w:val="yellow"/>
                <w:lang w:val="en-US" w:eastAsia="zh-CN" w:bidi="ar-SA"/>
              </w:rPr>
              <w:t>配套服务：在上述接入服务外，需在院区3号楼11层-15层提供并部署56间病房的入户网线（六类网线）至</w:t>
            </w:r>
            <w:r>
              <w:rPr>
                <w:rFonts w:hint="default" w:asciiTheme="minorEastAsia" w:hAnsiTheme="minorEastAsia" w:eastAsiaTheme="minorEastAsia" w:cstheme="minorEastAsia"/>
                <w:kern w:val="2"/>
                <w:sz w:val="22"/>
                <w:szCs w:val="22"/>
                <w:highlight w:val="yellow"/>
                <w:lang w:eastAsia="zh-CN" w:bidi="ar-SA"/>
              </w:rPr>
              <w:t>本</w:t>
            </w:r>
            <w:r>
              <w:rPr>
                <w:rFonts w:hint="eastAsia" w:asciiTheme="minorEastAsia" w:hAnsiTheme="minorEastAsia" w:eastAsiaTheme="minorEastAsia" w:cstheme="minorEastAsia"/>
                <w:kern w:val="2"/>
                <w:sz w:val="22"/>
                <w:szCs w:val="22"/>
                <w:highlight w:val="yellow"/>
                <w:lang w:val="en-US" w:eastAsia="zh-CN" w:bidi="ar-SA"/>
              </w:rPr>
              <w:t>楼层</w:t>
            </w:r>
            <w:r>
              <w:rPr>
                <w:rFonts w:hint="default" w:asciiTheme="minorEastAsia" w:hAnsiTheme="minorEastAsia" w:eastAsiaTheme="minorEastAsia" w:cstheme="minorEastAsia"/>
                <w:kern w:val="2"/>
                <w:sz w:val="22"/>
                <w:szCs w:val="22"/>
                <w:highlight w:val="yellow"/>
                <w:lang w:eastAsia="zh-CN" w:bidi="ar-SA"/>
              </w:rPr>
              <w:t>网络</w:t>
            </w:r>
            <w:r>
              <w:rPr>
                <w:rFonts w:hint="eastAsia" w:asciiTheme="minorEastAsia" w:hAnsiTheme="minorEastAsia" w:eastAsiaTheme="minorEastAsia" w:cstheme="minorEastAsia"/>
                <w:kern w:val="2"/>
                <w:sz w:val="22"/>
                <w:szCs w:val="22"/>
                <w:highlight w:val="yellow"/>
                <w:lang w:val="en-US" w:eastAsia="zh-CN" w:bidi="ar-SA"/>
              </w:rPr>
              <w:t>交换机的部署服务；</w:t>
            </w:r>
          </w:p>
          <w:p w14:paraId="019C7500">
            <w:pPr>
              <w:pStyle w:val="9"/>
              <w:numPr>
                <w:ilvl w:val="0"/>
                <w:numId w:val="0"/>
              </w:numPr>
              <w:ind w:left="425" w:leftChars="0" w:hanging="425" w:firstLineChars="0"/>
              <w:rPr>
                <w:rFonts w:hint="eastAsia" w:asciiTheme="minorEastAsia" w:hAnsiTheme="minorEastAsia" w:eastAsiaTheme="minorEastAsia" w:cstheme="minorEastAsia"/>
                <w:kern w:val="2"/>
                <w:sz w:val="22"/>
                <w:szCs w:val="22"/>
                <w:highlight w:val="yellow"/>
                <w:lang w:val="en-US" w:eastAsia="zh-CN" w:bidi="ar-SA"/>
              </w:rPr>
            </w:pPr>
            <w:r>
              <w:rPr>
                <w:rFonts w:hint="default" w:asciiTheme="minorEastAsia" w:hAnsiTheme="minorEastAsia" w:eastAsiaTheme="minorEastAsia" w:cstheme="minorEastAsia"/>
                <w:kern w:val="2"/>
                <w:sz w:val="22"/>
                <w:szCs w:val="22"/>
                <w:lang w:val="en-US" w:eastAsia="zh-CN" w:bidi="ar-SA"/>
              </w:rPr>
              <w:t>22.</w:t>
            </w:r>
            <w:r>
              <w:rPr>
                <w:rFonts w:hint="eastAsia" w:asciiTheme="minorEastAsia" w:hAnsiTheme="minorEastAsia" w:eastAsiaTheme="minorEastAsia" w:cstheme="minorEastAsia"/>
                <w:kern w:val="2"/>
                <w:sz w:val="22"/>
                <w:szCs w:val="22"/>
                <w:highlight w:val="yellow"/>
                <w:lang w:val="en-US" w:eastAsia="zh-CN" w:bidi="ar-SA"/>
              </w:rPr>
              <w:t>点位增补：根据实际地勘，通过安装多台零漫游主机，双轨馈线、美化天线和POE交换机，进行无线网络配置，对院区内2号楼1层急诊区域及6层ICU区域进行全区域无线内网的点位增补和建设，确保建设区域的无线内网全覆盖，实现无线零漫游，信号强度应不低于-65dBm，漫游切换延迟≤50ms，丢包率≤1%，需优先保障带宽≥200Mbps；</w:t>
            </w:r>
          </w:p>
          <w:p w14:paraId="404F9C80">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23.</w:t>
            </w:r>
            <w:r>
              <w:rPr>
                <w:rFonts w:hint="eastAsia" w:asciiTheme="minorEastAsia" w:hAnsiTheme="minorEastAsia" w:eastAsiaTheme="minorEastAsia" w:cstheme="minorEastAsia"/>
                <w:kern w:val="2"/>
                <w:sz w:val="22"/>
                <w:szCs w:val="22"/>
                <w:lang w:val="en-US" w:eastAsia="zh-CN" w:bidi="ar-SA"/>
              </w:rPr>
              <w:t>本次建设区域的点位要求根据实际地勘，需施工周期：合同签订后 60 个工作日内完成全部安装、调试及试运行；</w:t>
            </w:r>
          </w:p>
          <w:p w14:paraId="59485E38">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24.</w:t>
            </w:r>
            <w:r>
              <w:rPr>
                <w:rFonts w:hint="eastAsia" w:asciiTheme="minorEastAsia" w:hAnsiTheme="minorEastAsia" w:eastAsiaTheme="minorEastAsia" w:cstheme="minorEastAsia"/>
                <w:kern w:val="2"/>
                <w:sz w:val="22"/>
                <w:szCs w:val="22"/>
                <w:lang w:val="en-US" w:eastAsia="zh-CN" w:bidi="ar-SA"/>
              </w:rPr>
              <w:t>施工要求：避开诊疗高峰时段作业，设备安装隐蔽化（网关设备放置电视机后方或设备带或支架和线槽固定安装），不影响病房环境等；</w:t>
            </w:r>
          </w:p>
          <w:p w14:paraId="1305181C">
            <w:pPr>
              <w:pStyle w:val="9"/>
              <w:numPr>
                <w:ilvl w:val="0"/>
                <w:numId w:val="0"/>
              </w:numPr>
              <w:ind w:left="425" w:leftChars="0" w:hanging="425" w:firstLineChars="0"/>
              <w:rPr>
                <w:rFonts w:hint="eastAsia" w:asciiTheme="minorEastAsia" w:hAnsiTheme="minorEastAsia" w:eastAsiaTheme="minorEastAsia" w:cstheme="minorEastAsia"/>
                <w:kern w:val="2"/>
                <w:sz w:val="22"/>
                <w:szCs w:val="22"/>
                <w:lang w:val="en-US" w:eastAsia="zh-CN" w:bidi="ar-SA"/>
              </w:rPr>
            </w:pPr>
            <w:r>
              <w:rPr>
                <w:rFonts w:hint="default" w:asciiTheme="minorEastAsia" w:hAnsiTheme="minorEastAsia" w:eastAsiaTheme="minorEastAsia" w:cstheme="minorEastAsia"/>
                <w:kern w:val="2"/>
                <w:sz w:val="22"/>
                <w:szCs w:val="22"/>
                <w:lang w:val="en-US" w:eastAsia="zh-CN" w:bidi="ar-SA"/>
              </w:rPr>
              <w:t>25.</w:t>
            </w:r>
            <w:r>
              <w:rPr>
                <w:rFonts w:hint="eastAsia" w:asciiTheme="minorEastAsia" w:hAnsiTheme="minorEastAsia" w:eastAsiaTheme="minorEastAsia" w:cstheme="minorEastAsia"/>
                <w:kern w:val="2"/>
                <w:sz w:val="22"/>
                <w:szCs w:val="22"/>
                <w:lang w:val="en-US" w:eastAsia="zh-CN" w:bidi="ar-SA"/>
              </w:rPr>
              <w:t>交付资料：提供施工图纸、服务设备清单、网络检测报告、运维手册、验收报告等完整技术资料。</w:t>
            </w:r>
          </w:p>
        </w:tc>
        <w:tc>
          <w:tcPr>
            <w:tcW w:w="1066"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C3CE2">
            <w:pPr>
              <w:jc w:val="center"/>
              <w:rPr>
                <w:rFonts w:hint="eastAsia" w:ascii="仿宋" w:hAnsi="仿宋" w:eastAsia="仿宋" w:cs="仿宋"/>
                <w:i w:val="0"/>
                <w:iCs w:val="0"/>
                <w:color w:val="000000"/>
                <w:kern w:val="2"/>
                <w:sz w:val="20"/>
                <w:szCs w:val="20"/>
                <w:u w:val="none"/>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4F776">
            <w:pPr>
              <w:jc w:val="center"/>
              <w:rPr>
                <w:rFonts w:hint="eastAsia" w:ascii="仿宋" w:hAnsi="仿宋" w:eastAsia="仿宋" w:cs="仿宋"/>
                <w:i w:val="0"/>
                <w:iCs w:val="0"/>
                <w:color w:val="000000"/>
                <w:kern w:val="2"/>
                <w:sz w:val="20"/>
                <w:szCs w:val="20"/>
                <w:u w:val="none"/>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1BC14">
            <w:pPr>
              <w:jc w:val="center"/>
              <w:rPr>
                <w:rFonts w:hint="eastAsia" w:ascii="仿宋" w:hAnsi="仿宋" w:eastAsia="仿宋" w:cs="仿宋"/>
                <w:i w:val="0"/>
                <w:iCs w:val="0"/>
                <w:color w:val="000000"/>
                <w:kern w:val="2"/>
                <w:sz w:val="20"/>
                <w:szCs w:val="20"/>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D3827">
            <w:pPr>
              <w:jc w:val="center"/>
              <w:rPr>
                <w:rFonts w:hint="eastAsia" w:ascii="仿宋" w:hAnsi="仿宋" w:eastAsia="仿宋" w:cs="仿宋"/>
                <w:i w:val="0"/>
                <w:iCs w:val="0"/>
                <w:color w:val="000000"/>
                <w:kern w:val="2"/>
                <w:sz w:val="20"/>
                <w:szCs w:val="20"/>
                <w:u w:val="none"/>
                <w:lang w:val="en-US" w:eastAsia="zh-CN" w:bidi="ar-SA"/>
              </w:rPr>
            </w:pPr>
          </w:p>
        </w:tc>
      </w:tr>
    </w:tbl>
    <w:p w14:paraId="585E36C1">
      <w:pPr>
        <w:numPr>
          <w:ilvl w:val="0"/>
          <w:numId w:val="0"/>
        </w:numPr>
        <w:ind w:leftChars="0"/>
        <w:rPr>
          <w:rFonts w:ascii="仿宋" w:hAnsi="仿宋" w:eastAsia="仿宋"/>
          <w:sz w:val="20"/>
          <w:szCs w:val="20"/>
        </w:rPr>
      </w:pPr>
    </w:p>
    <w:p w14:paraId="445711AF"/>
    <w:p w14:paraId="2E37228C"/>
    <w:p w14:paraId="7C5CFD42"/>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1044E29">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AEF009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321A5"/>
    <w:rsid w:val="1D952165"/>
    <w:rsid w:val="226B61C1"/>
    <w:rsid w:val="26C40D95"/>
    <w:rsid w:val="2F5321A5"/>
    <w:rsid w:val="3D2E0863"/>
    <w:rsid w:val="41E07BC5"/>
    <w:rsid w:val="443466F6"/>
    <w:rsid w:val="466F101E"/>
    <w:rsid w:val="4DC0511E"/>
    <w:rsid w:val="4F2E4049"/>
    <w:rsid w:val="52144974"/>
    <w:rsid w:val="530B38E5"/>
    <w:rsid w:val="5586181B"/>
    <w:rsid w:val="55A61710"/>
    <w:rsid w:val="585D7735"/>
    <w:rsid w:val="626C1FD5"/>
    <w:rsid w:val="735D7770"/>
    <w:rsid w:val="775009B1"/>
    <w:rsid w:val="7950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NormalCharacter"/>
    <w:qFormat/>
    <w:uiPriority w:val="0"/>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
    <w:name w:val="QB正文"/>
    <w:qFormat/>
    <w:uiPriority w:val="0"/>
    <w:pPr>
      <w:adjustRightInd w:val="0"/>
      <w:ind w:firstLine="420" w:firstLineChars="200"/>
    </w:pPr>
    <w:rPr>
      <w:rFonts w:ascii="宋体" w:hAnsi="Times New Roman" w:eastAsia="宋体" w:cs="Times New Roman"/>
      <w:sz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2253</Words>
  <Characters>2430</Characters>
  <Lines>0</Lines>
  <Paragraphs>0</Paragraphs>
  <TotalTime>6</TotalTime>
  <ScaleCrop>false</ScaleCrop>
  <LinksUpToDate>false</LinksUpToDate>
  <CharactersWithSpaces>2557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2025-12-02T02:25:00Z</dcterms:created>
  <dc:creator>徐鹏</dc:creator>
  <cp:lastModifiedBy>罗昊</cp:lastModifiedBy>
  <dcterms:modified xsi:type="dcterms:W3CDTF">2026-01-16T03:36:02Z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92D59239C2A94191949DE19E5A643F06_13</vt:lpwstr>
  </property>
  <property fmtid="{D5CDD505-2E9C-101B-9397-08002B2CF9AE}" pid="4" name="KSOTemplateDocerSaveRecord">
    <vt:lpwstr>eyJoZGlkIjoiODMwZWE0MjdkNmUyYzJlNjJmNTM0ODJjOTJiNjk2Y2IiLCJ1c2VySWQiOiIxNDc3MjMzOTE5In0=</vt:lpwstr>
  </property>
</Properties>
</file>