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rPr>
        <w:t>六安市中医院无线互联网覆盖建设服务项目</w:t>
      </w: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69E44DF1">
      <w:pPr>
        <w:pStyle w:val="4"/>
        <w:ind w:firstLine="420" w:firstLineChars="200"/>
        <w:rPr>
          <w:rFonts w:hint="eastAsia" w:ascii="仿宋" w:hAnsi="仿宋" w:eastAsia="仿宋"/>
          <w:b/>
          <w:szCs w:val="21"/>
          <w:lang w:val="en-US" w:eastAsia="zh-CN"/>
        </w:rPr>
      </w:pPr>
      <w:r>
        <w:rPr>
          <w:rFonts w:hint="eastAsia" w:ascii="仿宋" w:hAnsi="仿宋" w:eastAsia="仿宋" w:cstheme="minorBidi"/>
          <w:kern w:val="2"/>
          <w:sz w:val="21"/>
          <w:szCs w:val="21"/>
          <w:lang w:val="en-US" w:eastAsia="zh-CN" w:bidi="ar-SA"/>
        </w:rPr>
        <w:t>为进一步提升医疗服务品质，改善患者就医体验，推进智慧医院建设进程，我院计划对现有3栋楼宇的病区进行无线互联网覆盖，现面向社会公开征集无线互联网覆盖建设方案，邀请各潜在供应商对建设方案进行现场介绍。要求：医院无线外网建设需与院内在用无线内网互不干扰，并具备一定的网络安全防护能力，支持认证访问，入侵检测和防御、上网行为管理等功能，确保医院内网数据安全及用户上网合规。</w:t>
      </w: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179"/>
        <w:gridCol w:w="4278"/>
        <w:gridCol w:w="785"/>
        <w:gridCol w:w="861"/>
        <w:gridCol w:w="1034"/>
        <w:gridCol w:w="1031"/>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6"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861" w:type="dxa"/>
            <w:vMerge w:val="restart"/>
            <w:tcBorders>
              <w:top w:val="single" w:color="auto" w:sz="4" w:space="0"/>
              <w:left w:val="single" w:color="auto" w:sz="4" w:space="0"/>
              <w:right w:val="single" w:color="auto" w:sz="4" w:space="0"/>
            </w:tcBorders>
            <w:noWrap w:val="0"/>
            <w:vAlign w:val="center"/>
          </w:tcPr>
          <w:p w14:paraId="4CC69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1034" w:type="dxa"/>
            <w:vMerge w:val="restart"/>
            <w:tcBorders>
              <w:top w:val="single" w:color="auto" w:sz="4" w:space="0"/>
              <w:left w:val="single" w:color="auto" w:sz="4" w:space="0"/>
              <w:right w:val="single" w:color="auto" w:sz="4" w:space="0"/>
            </w:tcBorders>
            <w:noWrap w:val="0"/>
            <w:vAlign w:val="center"/>
          </w:tcPr>
          <w:p w14:paraId="000FE7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031" w:type="dxa"/>
            <w:vMerge w:val="restart"/>
            <w:tcBorders>
              <w:top w:val="single" w:color="auto" w:sz="4" w:space="0"/>
              <w:left w:val="single" w:color="auto" w:sz="4" w:space="0"/>
              <w:right w:val="single" w:color="auto" w:sz="4" w:space="0"/>
            </w:tcBorders>
            <w:noWrap w:val="0"/>
            <w:vAlign w:val="top"/>
          </w:tcPr>
          <w:p w14:paraId="26C2F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843AE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B36F68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6939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E2CD8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861" w:type="dxa"/>
            <w:vMerge w:val="continue"/>
            <w:tcBorders>
              <w:left w:val="single" w:color="auto" w:sz="4" w:space="0"/>
              <w:right w:val="single" w:color="auto" w:sz="4" w:space="0"/>
            </w:tcBorders>
            <w:noWrap w:val="0"/>
            <w:vAlign w:val="center"/>
          </w:tcPr>
          <w:p w14:paraId="36A596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vMerge w:val="continue"/>
            <w:tcBorders>
              <w:left w:val="single" w:color="auto" w:sz="4" w:space="0"/>
              <w:right w:val="single" w:color="auto" w:sz="4" w:space="0"/>
            </w:tcBorders>
            <w:noWrap w:val="0"/>
            <w:vAlign w:val="center"/>
          </w:tcPr>
          <w:p w14:paraId="4E66F3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vMerge w:val="continue"/>
            <w:tcBorders>
              <w:left w:val="single" w:color="auto" w:sz="4" w:space="0"/>
              <w:right w:val="single" w:color="auto" w:sz="4" w:space="0"/>
            </w:tcBorders>
            <w:noWrap w:val="0"/>
            <w:vAlign w:val="top"/>
          </w:tcPr>
          <w:p w14:paraId="079D1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41F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vMerge w:val="restart"/>
            <w:tcBorders>
              <w:top w:val="single" w:color="auto" w:sz="4" w:space="0"/>
              <w:left w:val="single" w:color="auto" w:sz="4" w:space="0"/>
              <w:right w:val="single" w:color="auto" w:sz="4" w:space="0"/>
            </w:tcBorders>
            <w:noWrap w:val="0"/>
            <w:vAlign w:val="center"/>
          </w:tcPr>
          <w:p w14:paraId="14A6BF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六安市中医院无线互联网覆盖建设服务项目</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78B54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基本服务</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FBAF640">
            <w:pPr>
              <w:pStyle w:val="2"/>
              <w:bidi w:val="0"/>
              <w:rPr>
                <w:rFonts w:hint="eastAsia" w:ascii="仿宋" w:hAnsi="仿宋" w:eastAsia="仿宋" w:cstheme="minorBidi"/>
                <w:bCs/>
                <w:kern w:val="2"/>
                <w:sz w:val="21"/>
                <w:szCs w:val="21"/>
                <w:lang w:val="en-US" w:eastAsia="zh-CN" w:bidi="ar-SA"/>
              </w:rPr>
            </w:pPr>
          </w:p>
          <w:p w14:paraId="67A08423">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传输技术：支持FTTH 全光网络，端到端光缆连接，光纤联入房间；</w:t>
            </w:r>
          </w:p>
          <w:p w14:paraId="0C8433D5">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稳定性：单次故障中断时间≤2小时，年故障中断时间≤12小时；</w:t>
            </w:r>
          </w:p>
          <w:p w14:paraId="6351B7EB">
            <w:pPr>
              <w:numPr>
                <w:ilvl w:val="0"/>
                <w:numId w:val="2"/>
              </w:numPr>
              <w:spacing w:line="360" w:lineRule="auto"/>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速率标准：每间病房配备包括100Mbps及以上的速率宽带接入产品。宽带产品速率要满足行业标准YD/T 2400-2012《宽带速率测试方法固定宽带接入》要求。</w:t>
            </w:r>
          </w:p>
          <w:p w14:paraId="4C972FA1">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default" w:ascii="仿宋" w:hAnsi="仿宋" w:eastAsia="仿宋" w:cstheme="minorBidi"/>
                <w:bCs/>
                <w:kern w:val="2"/>
                <w:sz w:val="21"/>
                <w:szCs w:val="21"/>
                <w:lang w:val="en-US" w:eastAsia="zh-CN" w:bidi="ar-SA"/>
              </w:rPr>
              <w:t>综合布线：</w:t>
            </w:r>
            <w:r>
              <w:rPr>
                <w:rFonts w:hint="eastAsia" w:ascii="仿宋" w:hAnsi="仿宋" w:eastAsia="仿宋" w:cstheme="minorBidi"/>
                <w:bCs/>
                <w:kern w:val="2"/>
                <w:sz w:val="21"/>
                <w:szCs w:val="21"/>
                <w:lang w:val="en-US" w:eastAsia="zh-CN" w:bidi="ar-SA"/>
              </w:rPr>
              <w:t>提供光纤进入医院大楼中心汇聚点，在每个楼层管道井放光缆并加分光器，再布放皮纤进房间，完成医院从楼道交换机到房间的光纤敷设，每个房间内接入信息点不少于1个。</w:t>
            </w:r>
          </w:p>
          <w:p w14:paraId="432C2E86">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协议标准：支持 WiFi5 及以上协议，双频并发速率≥1167Mbps；</w:t>
            </w:r>
          </w:p>
          <w:p w14:paraId="75E17256">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网关设备硬件配置：双核 1GHz 及以上 CPU，256MB SPI FLASH，512MB DDR4 内存；</w:t>
            </w:r>
          </w:p>
          <w:p w14:paraId="22466957">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网关设备接口配置：≥2 个 GE 以太网接口、1 个 POTS 接口、2 个 USB2.0 接口、1 个 HDMI 接口；</w:t>
            </w:r>
          </w:p>
          <w:p w14:paraId="6AAC686B">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覆盖范围：每个病房部署网关设备，确保全院不少于800 间病房区域无盲区，信号强度≥-75dBm；</w:t>
            </w:r>
          </w:p>
          <w:p w14:paraId="3B8B9EBB">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接入能力：支持全院≥ 2500台终端同时接入，支持单病房≥10台终端并发；</w:t>
            </w:r>
          </w:p>
          <w:p w14:paraId="51A75007">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传输质量：时延≤50ms，丢包率≤1%，高清视频播放、视频通话无卡顿；</w:t>
            </w:r>
          </w:p>
          <w:p w14:paraId="772E7560">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穿墙性能：支持多穿一堵墙速率衰减≤10%</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DC3BC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FEE646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3ADAA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E85276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809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vMerge w:val="continue"/>
            <w:tcBorders>
              <w:left w:val="single" w:color="auto" w:sz="4" w:space="0"/>
              <w:right w:val="single" w:color="auto" w:sz="4" w:space="0"/>
            </w:tcBorders>
            <w:noWrap w:val="0"/>
            <w:vAlign w:val="center"/>
          </w:tcPr>
          <w:p w14:paraId="41B7A2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theme="minorBidi"/>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BCA48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安全服务要求</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8629D28">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网络安全：支持防破解、防刷机，WPA2防护升级、防Wi-Fi入侵；</w:t>
            </w:r>
          </w:p>
          <w:p w14:paraId="35A2D787">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身份认证：配备准入系统，支持接入公共WiFi网络的用户需要通过真实身份（如：手机号）认证之后访问互联网，未进行真实身份认证的用户无法访问互联网；</w:t>
            </w:r>
          </w:p>
          <w:p w14:paraId="1FDF8DE7">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行为及日志记录：本地或云端部署上网行为管理系统，</w:t>
            </w:r>
            <w:r>
              <w:rPr>
                <w:rFonts w:hint="default" w:ascii="仿宋" w:hAnsi="仿宋" w:eastAsia="仿宋" w:cstheme="minorBidi"/>
                <w:bCs/>
                <w:kern w:val="2"/>
                <w:sz w:val="21"/>
                <w:szCs w:val="21"/>
                <w:lang w:val="en-US" w:eastAsia="zh-CN" w:bidi="ar-SA"/>
              </w:rPr>
              <w:t>支持</w:t>
            </w:r>
            <w:r>
              <w:rPr>
                <w:rFonts w:hint="eastAsia" w:ascii="仿宋" w:hAnsi="仿宋" w:eastAsia="仿宋" w:cstheme="minorBidi"/>
                <w:bCs/>
                <w:kern w:val="2"/>
                <w:sz w:val="21"/>
                <w:szCs w:val="21"/>
                <w:lang w:val="en-US" w:eastAsia="zh-CN" w:bidi="ar-SA"/>
              </w:rPr>
              <w:t>用户</w:t>
            </w:r>
            <w:r>
              <w:rPr>
                <w:rFonts w:hint="default" w:ascii="仿宋" w:hAnsi="仿宋" w:eastAsia="仿宋" w:cstheme="minorBidi"/>
                <w:bCs/>
                <w:kern w:val="2"/>
                <w:sz w:val="21"/>
                <w:szCs w:val="21"/>
                <w:lang w:val="en-US" w:eastAsia="zh-CN" w:bidi="ar-SA"/>
              </w:rPr>
              <w:t>上网行为审计功能，支持应用类审计、恶意URL过滤、模糊匹配、阻断和审计，支持SSL加密审计、加密过滤</w:t>
            </w:r>
            <w:r>
              <w:rPr>
                <w:rFonts w:hint="eastAsia" w:ascii="仿宋" w:hAnsi="仿宋" w:eastAsia="仿宋" w:cstheme="minorBidi"/>
                <w:bCs/>
                <w:kern w:val="2"/>
                <w:sz w:val="21"/>
                <w:szCs w:val="21"/>
                <w:lang w:val="en-US" w:eastAsia="zh-CN" w:bidi="ar-SA"/>
              </w:rPr>
              <w:t>；</w:t>
            </w:r>
            <w:r>
              <w:rPr>
                <w:rFonts w:hint="default" w:ascii="仿宋" w:hAnsi="仿宋" w:eastAsia="仿宋" w:cstheme="minorBidi"/>
                <w:bCs/>
                <w:kern w:val="2"/>
                <w:sz w:val="21"/>
                <w:szCs w:val="21"/>
                <w:lang w:val="en-US" w:eastAsia="zh-CN" w:bidi="ar-SA"/>
              </w:rPr>
              <w:t>支持流量控制、基于P2P应用和时间的流量控制、支持在线用户信息统计功能</w:t>
            </w:r>
            <w:r>
              <w:rPr>
                <w:rFonts w:hint="eastAsia" w:ascii="仿宋" w:hAnsi="仿宋" w:eastAsia="仿宋" w:cstheme="minorBidi"/>
                <w:bCs/>
                <w:kern w:val="2"/>
                <w:sz w:val="21"/>
                <w:szCs w:val="21"/>
                <w:lang w:val="en-US" w:eastAsia="zh-CN" w:bidi="ar-SA"/>
              </w:rPr>
              <w:t>；支持记录WiFi网络用户的上网行为信息，包括上下线时间、各类论坛用户名称等内容；</w:t>
            </w:r>
          </w:p>
          <w:p w14:paraId="35DC5F7A">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数据解析上报：符合《互联网安全保护技术措施规定》和《中华人民共和国网络安全法》等法律法规对公共场所网络安全方面的要求。支持将用户的认证、上网行为信息等数据进行解析上传至公安部门的相关后台备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EC842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4268A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BF1F84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F804A3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2F7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84" w:type="dxa"/>
            <w:vMerge w:val="continue"/>
            <w:tcBorders>
              <w:left w:val="single" w:color="auto" w:sz="4" w:space="0"/>
              <w:right w:val="single" w:color="auto" w:sz="4" w:space="0"/>
            </w:tcBorders>
            <w:noWrap w:val="0"/>
            <w:vAlign w:val="center"/>
          </w:tcPr>
          <w:p w14:paraId="1E6974C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theme="minorBidi"/>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1B8F92E">
            <w:pPr>
              <w:pStyle w:val="2"/>
              <w:bidi w:val="0"/>
              <w:rPr>
                <w:rFonts w:hint="default"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运维保障服务要求</w:t>
            </w:r>
          </w:p>
          <w:p w14:paraId="3972A5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heme="minorBidi"/>
                <w:b w:val="0"/>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8B013E">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响应机制：7×24 小时专属服务热线，故障 15 分钟内响应，60 分钟内抵达现场；</w:t>
            </w:r>
          </w:p>
          <w:p w14:paraId="7A66ABA1">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修复时限：一般性故障≤4 小时解决，重大故障（主干光缆等）≤8 小时解决；</w:t>
            </w:r>
          </w:p>
          <w:p w14:paraId="2A6818FD">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巡检维护：每季度开展 1 次网络优化与设备巡检，提供巡检报告；</w:t>
            </w:r>
          </w:p>
          <w:p w14:paraId="63B9C0FE">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备品备件：按 1% 标准配置备用网关及应急光纤，确保突发故障 2 小时内恢复；</w:t>
            </w:r>
          </w:p>
          <w:p w14:paraId="7A76D156">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保障服务：免费安装维护、安装调试。免费提供设备软件补丁更新、安全升级，适配终端接入量增长；</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19B16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4C4E8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F125A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7ED92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5C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vMerge w:val="continue"/>
            <w:tcBorders>
              <w:left w:val="single" w:color="auto" w:sz="4" w:space="0"/>
              <w:bottom w:val="single" w:color="auto" w:sz="4" w:space="0"/>
              <w:right w:val="single" w:color="auto" w:sz="4" w:space="0"/>
            </w:tcBorders>
            <w:noWrap w:val="0"/>
            <w:vAlign w:val="center"/>
          </w:tcPr>
          <w:p w14:paraId="0B24E0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theme="minorBidi"/>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435285A">
            <w:pPr>
              <w:pStyle w:val="23"/>
              <w:numPr>
                <w:ilvl w:val="0"/>
                <w:numId w:val="0"/>
              </w:numPr>
              <w:ind w:leftChars="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其他</w:t>
            </w:r>
          </w:p>
          <w:p w14:paraId="3C9073F5">
            <w:pPr>
              <w:pStyle w:val="23"/>
              <w:numPr>
                <w:ilvl w:val="0"/>
                <w:numId w:val="0"/>
              </w:numPr>
              <w:ind w:left="0" w:leftChars="0" w:firstLine="0" w:firstLineChars="0"/>
              <w:rPr>
                <w:rFonts w:hint="eastAsia"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要求</w:t>
            </w:r>
            <w:bookmarkStart w:id="0" w:name="_GoBack"/>
            <w:bookmarkEnd w:id="0"/>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84A1FD">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配套服务：在上述接入服务外，需在院区3号楼11层-15层提供并部署56间病房的入户网线（六类网线）至</w:t>
            </w:r>
            <w:r>
              <w:rPr>
                <w:rFonts w:hint="default" w:ascii="仿宋" w:hAnsi="仿宋" w:eastAsia="仿宋" w:cstheme="minorBidi"/>
                <w:bCs/>
                <w:kern w:val="2"/>
                <w:sz w:val="21"/>
                <w:szCs w:val="21"/>
                <w:lang w:val="en-US" w:eastAsia="zh-CN" w:bidi="ar-SA"/>
              </w:rPr>
              <w:t>本</w:t>
            </w:r>
            <w:r>
              <w:rPr>
                <w:rFonts w:hint="eastAsia" w:ascii="仿宋" w:hAnsi="仿宋" w:eastAsia="仿宋" w:cstheme="minorBidi"/>
                <w:bCs/>
                <w:kern w:val="2"/>
                <w:sz w:val="21"/>
                <w:szCs w:val="21"/>
                <w:lang w:val="en-US" w:eastAsia="zh-CN" w:bidi="ar-SA"/>
              </w:rPr>
              <w:t>楼层</w:t>
            </w:r>
            <w:r>
              <w:rPr>
                <w:rFonts w:hint="default" w:ascii="仿宋" w:hAnsi="仿宋" w:eastAsia="仿宋" w:cstheme="minorBidi"/>
                <w:bCs/>
                <w:kern w:val="2"/>
                <w:sz w:val="21"/>
                <w:szCs w:val="21"/>
                <w:lang w:val="en-US" w:eastAsia="zh-CN" w:bidi="ar-SA"/>
              </w:rPr>
              <w:t>网络</w:t>
            </w:r>
            <w:r>
              <w:rPr>
                <w:rFonts w:hint="eastAsia" w:ascii="仿宋" w:hAnsi="仿宋" w:eastAsia="仿宋" w:cstheme="minorBidi"/>
                <w:bCs/>
                <w:kern w:val="2"/>
                <w:sz w:val="21"/>
                <w:szCs w:val="21"/>
                <w:lang w:val="en-US" w:eastAsia="zh-CN" w:bidi="ar-SA"/>
              </w:rPr>
              <w:t>交换机的部署服务；</w:t>
            </w:r>
          </w:p>
          <w:p w14:paraId="39F455FF">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施工周期：合同签订后 60 个工作日内完成全部安装、调试及试运行；</w:t>
            </w:r>
          </w:p>
          <w:p w14:paraId="29BE3FA2">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施工要求：避开诊疗高峰时段作业，设备安装隐蔽化（网关设备放置电视机后方或设备带或支架和线槽固定安装），不影响病房环境等；</w:t>
            </w:r>
          </w:p>
          <w:p w14:paraId="5D0FEB16">
            <w:pPr>
              <w:pStyle w:val="23"/>
              <w:numPr>
                <w:ilvl w:val="0"/>
                <w:numId w:val="2"/>
              </w:numPr>
              <w:ind w:left="425" w:leftChars="0" w:hanging="425"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交付资料：提供施工图纸、服务设备清单、网络检测报告、运维手册、验收报告等完整技术资料。</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8D285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E7F24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40677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21BCF7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EFCBB8A">
      <w:pPr>
        <w:spacing w:line="280" w:lineRule="exact"/>
        <w:rPr>
          <w:rFonts w:hint="default" w:ascii="仿宋" w:hAnsi="仿宋" w:eastAsia="仿宋"/>
          <w:b/>
          <w:bCs/>
          <w:szCs w:val="21"/>
          <w:lang w:val="en-US" w:eastAsia="zh-CN"/>
        </w:rPr>
      </w:pPr>
      <w:r>
        <w:rPr>
          <w:rFonts w:hint="eastAsia" w:ascii="仿宋" w:hAnsi="仿宋" w:eastAsia="仿宋"/>
          <w:b/>
          <w:bCs/>
          <w:szCs w:val="21"/>
          <w:lang w:val="en-US" w:eastAsia="zh-CN"/>
        </w:rPr>
        <w:t>注：报价包括总价及分项报价表</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DC7F3A8"/>
    <w:multiLevelType w:val="singleLevel"/>
    <w:tmpl w:val="4DC7F3A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595A97"/>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autoRedefine/>
    <w:qFormat/>
    <w:uiPriority w:val="0"/>
    <w:pPr>
      <w:spacing w:after="120"/>
    </w:p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strike/>
      <w:color w:val="000000"/>
      <w:sz w:val="21"/>
      <w:szCs w:val="21"/>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1384</Words>
  <Characters>1455</Characters>
  <Lines>6</Lines>
  <Paragraphs>1</Paragraphs>
  <TotalTime>2</TotalTime>
  <ScaleCrop>false</ScaleCrop>
  <LinksUpToDate>false</LinksUpToDate>
  <CharactersWithSpaces>1554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2025-12-25T01:53:32Z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