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六安市中医院穿戴式排痰机（第二次）采购项目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LASZYY-SBGCB2025158-2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10</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穿戴式排痰机（第二次）</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穿戴式排痰机（第二次）</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LASZYY-SBGCB2025158-2</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两台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4.9</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六安市中医院穿戴式排痰机（第二次）采购项目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LASZYY-SBGCB2025158-2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10</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24</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六安市中医院穿戴式排痰机（第二次）技术参数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两台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D73559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结构及组成/主要组成成分满足以下条件之一：①由主机、血氧探头（选配）、充气气囊（排痰背心）、导气软管组成。主机由（电路板、风机、屏幕电源模块）组成。②由主机、充气背心和或胸带、输送系统和雾化装置（选配）组成。③由主机、手控器、导气软管、充气背心和（或）压缩空气式雾化器组成。其中压缩空气式雾化器仅由压缩泵组成。</w:t>
      </w:r>
      <w:r>
        <w:rPr>
          <w:rFonts w:hint="eastAsia" w:ascii="仿宋" w:hAnsi="仿宋" w:eastAsia="仿宋" w:cs="仿宋"/>
          <w:b/>
          <w:bCs/>
          <w:sz w:val="24"/>
          <w:szCs w:val="24"/>
          <w:lang w:val="en-US" w:eastAsia="zh-CN"/>
        </w:rPr>
        <w:t>（以供应商所投产品的注册证为评审依据）</w:t>
      </w:r>
    </w:p>
    <w:p w14:paraId="6BF3A1F0">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范围/预期用途满足以下条件之一：①适用于通过振动叩击改善患者肺部血液循环状况，协助排除呼吸道分泌物。②适用于多种原因引起的呼吸道分泌物增多、排出不畅的患者，促进患者痰液的排出。③适用于肺部分泌物排出困难或由粘液阻塞肺部引起的肺膨胀不全患者，起到促进气道清除排痰或改善支气管引流的作用。</w:t>
      </w:r>
      <w:r>
        <w:rPr>
          <w:rFonts w:hint="eastAsia" w:ascii="仿宋" w:hAnsi="仿宋" w:eastAsia="仿宋" w:cs="仿宋"/>
          <w:b/>
          <w:bCs/>
          <w:sz w:val="24"/>
          <w:szCs w:val="24"/>
          <w:lang w:val="en-US" w:eastAsia="zh-CN"/>
        </w:rPr>
        <w:t>（以供应商所投产品的注册证为评审依据）</w:t>
      </w:r>
    </w:p>
    <w:p w14:paraId="52E870AB">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压力：≥0.5-3.2kPa，连续可调。</w:t>
      </w:r>
    </w:p>
    <w:p w14:paraId="4C87DF75">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频率：≥5-20Hz连续可调，步进1Hz。</w:t>
      </w:r>
    </w:p>
    <w:p w14:paraId="1746D062">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定时范围：≥1-99min连续可调，步进1min。</w:t>
      </w:r>
    </w:p>
    <w:p w14:paraId="5160B2DF">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工作模式：自动模式、手动模式等。</w:t>
      </w:r>
    </w:p>
    <w:p w14:paraId="5EEDEEFD">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显示方式：液晶显示屏中文显示。</w:t>
      </w:r>
    </w:p>
    <w:p w14:paraId="16DE50B7">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导气软管与主机及气囊背心之间连接牢固。</w:t>
      </w:r>
    </w:p>
    <w:p w14:paraId="6B5B1661">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全胸式充气背心可拆卸。</w:t>
      </w:r>
    </w:p>
    <w:p w14:paraId="121251B0">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配置清单：主机、导气软管、移动式台车、背心式气囊背心至少提供三套（根据采购方要求提供型号）等。</w:t>
      </w:r>
    </w:p>
    <w:p w14:paraId="29696FA6">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整机质保不低于三年。</w:t>
      </w:r>
    </w:p>
    <w:p w14:paraId="7C9FB0EE">
      <w:pPr>
        <w:numPr>
          <w:ilvl w:val="0"/>
          <w:numId w:val="0"/>
        </w:numPr>
        <w:rPr>
          <w:rFonts w:hint="eastAsia" w:ascii="仿宋" w:hAnsi="仿宋" w:eastAsia="仿宋" w:cs="仿宋"/>
          <w:sz w:val="24"/>
          <w:szCs w:val="24"/>
          <w:lang w:val="en-US" w:eastAsia="zh-CN"/>
        </w:rPr>
      </w:pPr>
    </w:p>
    <w:p w14:paraId="5F2E877F">
      <w:pPr>
        <w:rPr>
          <w:rFonts w:hint="eastAsia" w:ascii="仿宋" w:hAnsi="仿宋" w:eastAsia="仿宋" w:cs="仿宋"/>
          <w:b/>
          <w:bCs/>
          <w:sz w:val="24"/>
          <w:szCs w:val="24"/>
        </w:rPr>
      </w:pPr>
      <w:r>
        <w:rPr>
          <w:rFonts w:hint="eastAsia" w:ascii="仿宋" w:hAnsi="仿宋" w:eastAsia="仿宋" w:cs="仿宋"/>
          <w:b/>
          <w:bCs/>
          <w:sz w:val="24"/>
          <w:szCs w:val="24"/>
        </w:rPr>
        <w:t>注：投标供应商须在响应文件中提供所投产品对应的且有效的医疗器械注册证或相关备案凭证。</w:t>
      </w:r>
    </w:p>
    <w:p w14:paraId="5F507FAE">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53D1369E">
      <w:pPr>
        <w:jc w:val="both"/>
        <w:rPr>
          <w:rFonts w:hint="eastAsia" w:ascii="宋体" w:hAnsi="宋体" w:cs="宋体"/>
          <w:b/>
          <w:bCs/>
          <w:sz w:val="28"/>
          <w:szCs w:val="28"/>
          <w:lang w:eastAsia="zh-CN"/>
        </w:rPr>
      </w:pPr>
    </w:p>
    <w:p w14:paraId="20DAFEB7">
      <w:pPr>
        <w:jc w:val="both"/>
        <w:rPr>
          <w:rFonts w:hint="eastAsia" w:ascii="宋体" w:hAnsi="宋体" w:cs="宋体"/>
          <w:b/>
          <w:bCs/>
          <w:sz w:val="28"/>
          <w:szCs w:val="28"/>
          <w:lang w:eastAsia="zh-CN"/>
        </w:rPr>
      </w:pPr>
    </w:p>
    <w:p w14:paraId="5BA2491C">
      <w:pPr>
        <w:jc w:val="both"/>
        <w:rPr>
          <w:rFonts w:hint="eastAsia" w:ascii="宋体" w:hAnsi="宋体" w:cs="宋体"/>
          <w:b/>
          <w:bCs/>
          <w:sz w:val="28"/>
          <w:szCs w:val="28"/>
          <w:lang w:eastAsia="zh-CN"/>
        </w:rPr>
      </w:pPr>
    </w:p>
    <w:p w14:paraId="337F92C0">
      <w:pPr>
        <w:jc w:val="both"/>
        <w:rPr>
          <w:rFonts w:hint="eastAsia" w:ascii="宋体" w:hAnsi="宋体" w:cs="宋体"/>
          <w:b/>
          <w:bCs/>
          <w:sz w:val="28"/>
          <w:szCs w:val="28"/>
          <w:lang w:eastAsia="zh-CN"/>
        </w:rPr>
      </w:pPr>
      <w:bookmarkStart w:id="51" w:name="_GoBack"/>
      <w:bookmarkEnd w:id="51"/>
    </w:p>
    <w:p w14:paraId="3C2D30F8">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A6CFDA0"/>
    <w:multiLevelType w:val="singleLevel"/>
    <w:tmpl w:val="0A6CFDA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3093</Words>
  <Characters>3213</Characters>
  <Lines>127</Lines>
  <Paragraphs>35</Paragraphs>
  <TotalTime>0</TotalTime>
  <ScaleCrop>false</ScaleCrop>
  <LinksUpToDate>false</LinksUpToDate>
  <CharactersWithSpaces>3252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2025-10-21T01:58:22Z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