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4"/>
        <w:ind w:firstLine="560" w:firstLineChars="200"/>
        <w:rPr>
          <w:rFonts w:ascii="仿宋_GB2312" w:eastAsia="仿宋_GB2312"/>
          <w:sz w:val="28"/>
          <w:szCs w:val="28"/>
        </w:rPr>
      </w:pPr>
    </w:p>
    <w:p w14:paraId="5F348A96">
      <w:pPr>
        <w:pStyle w:val="3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4"/>
        <w:ind w:left="0" w:leftChars="0" w:firstLine="0" w:firstLineChars="0"/>
        <w:rPr>
          <w:rFonts w:hint="eastAsia" w:ascii="Arial Black" w:hAnsi="Arial Black" w:eastAsia="华文彩云"/>
          <w:sz w:val="44"/>
        </w:rPr>
      </w:pPr>
    </w:p>
    <w:p w14:paraId="40B5F735">
      <w:pPr>
        <w:pStyle w:val="34"/>
        <w:rPr>
          <w:rFonts w:hint="eastAsia" w:ascii="Arial Black" w:hAnsi="Arial Black" w:eastAsia="华文彩云"/>
          <w:sz w:val="44"/>
        </w:rPr>
      </w:pPr>
    </w:p>
    <w:p w14:paraId="4DBA08AB">
      <w:pPr>
        <w:pStyle w:val="34"/>
        <w:rPr>
          <w:rFonts w:hint="eastAsia" w:ascii="Arial Black" w:hAnsi="Arial Black" w:eastAsia="华文彩云"/>
          <w:sz w:val="44"/>
        </w:rPr>
      </w:pPr>
    </w:p>
    <w:p w14:paraId="12FFADE8">
      <w:pPr>
        <w:pStyle w:val="3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六安市中医院数字式多通道心电图机采购项目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28"/>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5"/>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28"/>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数字式多通道心电图机</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LASZYY-SBGCB2025144</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数字式多通道心电图机</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4.9</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六安市中医院数字式多通道心电图机采购项目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1"/>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5"/>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6"/>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4"/>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六安市中医院数字式多通道心电图机技术参数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4.9万元</w:t>
      </w:r>
    </w:p>
    <w:p w14:paraId="44D124C1">
      <w:pPr>
        <w:numPr>
          <w:ilvl w:val="0"/>
          <w:numId w:val="0"/>
        </w:numPr>
        <w:rPr>
          <w:rFonts w:hint="eastAsia" w:ascii="仿宋" w:hAnsi="仿宋" w:eastAsia="仿宋" w:cs="仿宋"/>
          <w:kern w:val="2"/>
          <w:sz w:val="28"/>
          <w:szCs w:val="28"/>
          <w:lang w:val="en-US" w:eastAsia="zh-CN" w:bidi="ar-SA"/>
        </w:rPr>
      </w:pPr>
    </w:p>
    <w:p w14:paraId="244868AD">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w:t>
      </w:r>
      <w:r>
        <w:rPr>
          <w:rFonts w:hint="eastAsia" w:ascii="仿宋" w:hAnsi="仿宋" w:eastAsia="仿宋" w:cs="仿宋"/>
          <w:color w:val="000000"/>
          <w:kern w:val="0"/>
          <w:sz w:val="24"/>
          <w:szCs w:val="24"/>
          <w:lang w:val="en-US" w:eastAsia="zh-CN" w:bidi="ar"/>
        </w:rPr>
        <w:t>由主机及电池组成；</w:t>
      </w:r>
      <w:r>
        <w:rPr>
          <w:rFonts w:hint="eastAsia" w:ascii="仿宋" w:hAnsi="仿宋" w:eastAsia="仿宋" w:cs="仿宋"/>
          <w:sz w:val="24"/>
          <w:szCs w:val="24"/>
          <w:lang w:val="en-US" w:eastAsia="zh-CN"/>
        </w:rPr>
        <w:t>②由心电图机、国标电源线、电源适配器、心电导联线、四肢电极夹、胸电极连接球、心电图热敏记录纸、锂电池组成；③由主机（信号输入部分，放大回路、控制电路、显示部分、记录部分和电源部分）、患者电缆、电极及软件组成。</w:t>
      </w:r>
    </w:p>
    <w:p w14:paraId="02DD64C3">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适用范围/预期用途满足以下条件之一：①供医疗部门用于提取人体的心电信号进行形态和节律分析，供临床诊断和研究</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lang w:val="en-US" w:eastAsia="zh-CN"/>
        </w:rPr>
        <w:t>②供医疗部门用于提取人体的心电波群进行形态和节律分析，供临床诊断和分析。提供大于18周岁人群12导推算18导的可选功能（该功能推算出的波形不与实际波形完全一致，如需要检查实际波形，请在对应部位安装电极并实际测量，且该功能仅供临床参考用，不作为诊断依据）；③用于测量、采集、显示、记录患者心电信号，供临床诊断。</w:t>
      </w:r>
    </w:p>
    <w:p w14:paraId="023DA80F">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rPr>
        <w:t>标准12导联心电信号同步采集</w:t>
      </w:r>
      <w:r>
        <w:rPr>
          <w:rFonts w:hint="eastAsia" w:ascii="仿宋" w:hAnsi="仿宋" w:eastAsia="仿宋" w:cs="仿宋"/>
          <w:sz w:val="24"/>
          <w:szCs w:val="24"/>
          <w:lang w:eastAsia="zh-CN"/>
        </w:rPr>
        <w:t>。</w:t>
      </w:r>
    </w:p>
    <w:p w14:paraId="4025BD60">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kern w:val="0"/>
          <w:sz w:val="24"/>
          <w:szCs w:val="24"/>
        </w:rPr>
        <w:t>交直流两用，自动转换</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内置可充电锂离子电池</w:t>
      </w:r>
      <w:r>
        <w:rPr>
          <w:rFonts w:hint="eastAsia" w:ascii="仿宋" w:hAnsi="仿宋" w:eastAsia="仿宋" w:cs="仿宋"/>
          <w:kern w:val="0"/>
          <w:sz w:val="24"/>
          <w:szCs w:val="24"/>
          <w:lang w:eastAsia="zh-CN"/>
        </w:rPr>
        <w:t>。</w:t>
      </w:r>
    </w:p>
    <w:p w14:paraId="625EC1FB">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bCs/>
          <w:color w:val="000000"/>
          <w:sz w:val="24"/>
          <w:szCs w:val="24"/>
        </w:rPr>
        <w:t>≥8英寸彩色触摸屏</w:t>
      </w:r>
      <w:r>
        <w:rPr>
          <w:rFonts w:hint="eastAsia" w:ascii="仿宋" w:hAnsi="仿宋" w:eastAsia="仿宋" w:cs="仿宋"/>
          <w:bCs/>
          <w:color w:val="000000"/>
          <w:sz w:val="24"/>
          <w:szCs w:val="24"/>
          <w:lang w:eastAsia="zh-CN"/>
        </w:rPr>
        <w:t>。</w:t>
      </w:r>
    </w:p>
    <w:p w14:paraId="132229DE">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内置热敏点阵打印机，并支持通过有线/无线方式外接激光打印机打印A4报告。</w:t>
      </w:r>
    </w:p>
    <w:p w14:paraId="7DDFBB6C">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rPr>
        <w:t>支持通过有线、无线、移动网络的方式进行联网，内置WIFI 模块，可支持2.4GHz/5GHz双频带传输</w:t>
      </w:r>
      <w:r>
        <w:rPr>
          <w:rFonts w:hint="eastAsia" w:ascii="仿宋" w:hAnsi="仿宋" w:eastAsia="仿宋" w:cs="仿宋"/>
          <w:sz w:val="24"/>
          <w:szCs w:val="24"/>
          <w:lang w:eastAsia="zh-CN"/>
        </w:rPr>
        <w:t>。</w:t>
      </w:r>
    </w:p>
    <w:p w14:paraId="39CBF44C">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输入阻抗：≥100MΩ。</w:t>
      </w:r>
    </w:p>
    <w:p w14:paraId="70D7D0D6">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采样率：≥60kHz。</w:t>
      </w:r>
    </w:p>
    <w:p w14:paraId="74C13989">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频率响应：0.01Hz</w:t>
      </w:r>
      <w:r>
        <w:rPr>
          <w:rFonts w:hint="eastAsia" w:ascii="仿宋" w:hAnsi="仿宋" w:eastAsia="仿宋" w:cs="仿宋"/>
          <w:color w:val="auto"/>
          <w:sz w:val="24"/>
          <w:szCs w:val="24"/>
        </w:rPr>
        <w:t>~</w:t>
      </w:r>
      <w:r>
        <w:rPr>
          <w:rFonts w:hint="eastAsia" w:ascii="仿宋" w:hAnsi="仿宋" w:eastAsia="仿宋" w:cs="仿宋"/>
          <w:sz w:val="24"/>
          <w:szCs w:val="24"/>
          <w:lang w:val="en-US" w:eastAsia="zh-CN"/>
        </w:rPr>
        <w:t>500Hz。</w:t>
      </w:r>
    </w:p>
    <w:p w14:paraId="561A568A">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耐极化电压：≥±900mV。</w:t>
      </w:r>
    </w:p>
    <w:p w14:paraId="777C1862">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共模抑制比： ≥140dB。</w:t>
      </w:r>
    </w:p>
    <w:p w14:paraId="2A9B006C">
      <w:pPr>
        <w:keepNext w:val="0"/>
        <w:keepLines w:val="0"/>
        <w:widowControl/>
        <w:numPr>
          <w:ilvl w:val="0"/>
          <w:numId w:val="2"/>
        </w:numPr>
        <w:suppressLineNumbers w:val="0"/>
        <w:jc w:val="left"/>
        <w:rPr>
          <w:rFonts w:hint="eastAsia" w:ascii="仿宋" w:hAnsi="仿宋" w:eastAsia="仿宋" w:cs="仿宋"/>
          <w:sz w:val="24"/>
          <w:szCs w:val="24"/>
        </w:rPr>
      </w:pPr>
      <w:r>
        <w:rPr>
          <w:rFonts w:hint="eastAsia" w:ascii="仿宋" w:hAnsi="仿宋" w:eastAsia="仿宋" w:cs="仿宋"/>
          <w:sz w:val="24"/>
          <w:szCs w:val="24"/>
          <w:lang w:val="en-US" w:eastAsia="zh-CN"/>
        </w:rPr>
        <w:t>内置存储器，支持外接U盘扩展存储空间。</w:t>
      </w:r>
    </w:p>
    <w:p w14:paraId="3BF63D76">
      <w:pPr>
        <w:keepNext w:val="0"/>
        <w:keepLines w:val="0"/>
        <w:widowControl/>
        <w:numPr>
          <w:ilvl w:val="0"/>
          <w:numId w:val="2"/>
        </w:numPr>
        <w:suppressLineNumbers w:val="0"/>
        <w:jc w:val="left"/>
        <w:rPr>
          <w:rFonts w:hint="eastAsia" w:ascii="仿宋" w:hAnsi="仿宋" w:eastAsia="仿宋" w:cs="仿宋"/>
          <w:sz w:val="24"/>
          <w:szCs w:val="24"/>
        </w:rPr>
      </w:pPr>
      <w:r>
        <w:rPr>
          <w:rFonts w:hint="eastAsia" w:ascii="仿宋" w:hAnsi="仿宋" w:eastAsia="仿宋" w:cs="仿宋"/>
          <w:kern w:val="0"/>
          <w:sz w:val="24"/>
          <w:szCs w:val="24"/>
        </w:rPr>
        <w:t>抗干扰滤波：具有交流滤波、肌电滤波、基线漂移滤波、低通滤波功能</w:t>
      </w:r>
      <w:r>
        <w:rPr>
          <w:rFonts w:hint="eastAsia" w:ascii="仿宋" w:hAnsi="仿宋" w:eastAsia="仿宋" w:cs="仿宋"/>
          <w:kern w:val="0"/>
          <w:sz w:val="24"/>
          <w:szCs w:val="24"/>
          <w:lang w:eastAsia="zh-CN"/>
        </w:rPr>
        <w:t>。</w:t>
      </w:r>
    </w:p>
    <w:p w14:paraId="4710A46F">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具有病历管理功能，可进行病历查询、预览、修改、传输、打印等。</w:t>
      </w:r>
    </w:p>
    <w:p w14:paraId="79C1BAC5">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w:t>
      </w:r>
      <w:r>
        <w:rPr>
          <w:rFonts w:hint="eastAsia" w:ascii="仿宋" w:hAnsi="仿宋" w:eastAsia="仿宋" w:cs="仿宋"/>
          <w:color w:val="000000" w:themeColor="text1"/>
          <w:sz w:val="24"/>
          <w:szCs w:val="24"/>
          <w14:textFill>
            <w14:solidFill>
              <w14:schemeClr w14:val="tx1"/>
            </w14:solidFill>
          </w14:textFill>
        </w:rPr>
        <w:t>导联信号质量检测功能</w:t>
      </w:r>
      <w:r>
        <w:rPr>
          <w:rFonts w:hint="eastAsia" w:ascii="仿宋" w:hAnsi="仿宋" w:eastAsia="仿宋" w:cs="仿宋"/>
          <w:color w:val="000000" w:themeColor="text1"/>
          <w:sz w:val="24"/>
          <w:szCs w:val="24"/>
          <w:lang w:eastAsia="zh-CN"/>
          <w14:textFill>
            <w14:solidFill>
              <w14:schemeClr w14:val="tx1"/>
            </w14:solidFill>
          </w14:textFill>
        </w:rPr>
        <w:t>等。</w:t>
      </w:r>
    </w:p>
    <w:p w14:paraId="244E2EFD">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整机质保不低于三年。</w:t>
      </w:r>
    </w:p>
    <w:p w14:paraId="12EAE9B3">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8BD46D6">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1"/>
        <w:rPr>
          <w:rFonts w:hint="eastAsia"/>
          <w:lang w:val="en-US" w:eastAsia="zh-CN"/>
        </w:rPr>
      </w:pPr>
    </w:p>
    <w:p w14:paraId="2D792462">
      <w:pPr>
        <w:pStyle w:val="21"/>
        <w:rPr>
          <w:rFonts w:hint="eastAsia"/>
          <w:lang w:val="en-US" w:eastAsia="zh-CN"/>
        </w:rPr>
      </w:pPr>
    </w:p>
    <w:p w14:paraId="5B499679">
      <w:pPr>
        <w:pStyle w:val="21"/>
        <w:rPr>
          <w:rFonts w:hint="eastAsia"/>
          <w:lang w:val="en-US" w:eastAsia="zh-CN"/>
        </w:rPr>
      </w:pPr>
    </w:p>
    <w:p w14:paraId="5B7A224A">
      <w:pPr>
        <w:pStyle w:val="21"/>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1"/>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4"/>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1"/>
        <w:rPr>
          <w:rFonts w:ascii="宋体" w:hAnsi="宋体" w:eastAsia="宋体" w:cs="宋体"/>
          <w:sz w:val="24"/>
          <w:szCs w:val="24"/>
        </w:rPr>
      </w:pPr>
    </w:p>
    <w:p w14:paraId="20389C4E">
      <w:pPr>
        <w:pStyle w:val="21"/>
        <w:rPr>
          <w:rFonts w:ascii="宋体" w:hAnsi="宋体" w:eastAsia="宋体" w:cs="宋体"/>
          <w:sz w:val="24"/>
          <w:szCs w:val="24"/>
        </w:rPr>
      </w:pPr>
    </w:p>
    <w:p w14:paraId="57ACFF93">
      <w:pPr>
        <w:pStyle w:val="21"/>
        <w:rPr>
          <w:rFonts w:ascii="宋体" w:hAnsi="宋体" w:eastAsia="宋体" w:cs="宋体"/>
          <w:sz w:val="24"/>
          <w:szCs w:val="24"/>
        </w:rPr>
      </w:pPr>
    </w:p>
    <w:p w14:paraId="2AFCF006">
      <w:pPr>
        <w:pStyle w:val="21"/>
        <w:rPr>
          <w:rFonts w:ascii="宋体" w:hAnsi="宋体" w:eastAsia="宋体" w:cs="宋体"/>
          <w:sz w:val="24"/>
          <w:szCs w:val="24"/>
        </w:rPr>
      </w:pPr>
    </w:p>
    <w:p w14:paraId="12C53073">
      <w:pPr>
        <w:pStyle w:val="21"/>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5"/>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5"/>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5"/>
        <w:ind w:left="0" w:leftChars="0" w:firstLine="0" w:firstLineChars="0"/>
      </w:pPr>
    </w:p>
    <w:p w14:paraId="63BED203">
      <w:pPr>
        <w:pStyle w:val="35"/>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六安市中医院数字式多通道心电图机采购项目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六安市中医院数字式多通道心电图机采购项目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1"/>
        <w:keepNext w:val="0"/>
        <w:keepLines w:val="0"/>
        <w:widowControl w:val="0"/>
        <w:suppressLineNumbers w:val="0"/>
        <w:spacing w:before="0" w:beforeAutospacing="0" w:after="120" w:afterAutospacing="0"/>
        <w:ind w:left="0" w:right="0" w:firstLine="240" w:firstLineChars="100"/>
        <w:jc w:val="both"/>
        <w:rPr>
          <w:lang w:val="en-US"/>
        </w:rPr>
      </w:pPr>
    </w:p>
    <w:tbl>
      <w:tblPr>
        <w:tblStyle w:val="3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六安市中医院数字式多通道心电图机采购项目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9</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日</w:t>
      </w:r>
    </w:p>
    <w:p w14:paraId="450730F6">
      <w:pPr>
        <w:pStyle w:val="31"/>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bookmarkStart w:id="51" w:name="_GoBack"/>
      <w:bookmarkEnd w:id="51"/>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w:t>
    </w:r>
    <w:r>
      <w:rPr>
        <w:rStyle w:val="40"/>
      </w:rPr>
      <w:fldChar w:fldCharType="end"/>
    </w:r>
  </w:p>
  <w:p w14:paraId="044A931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3E5BA"/>
    <w:multiLevelType w:val="singleLevel"/>
    <w:tmpl w:val="B523E5BA"/>
    <w:lvl w:ilvl="0" w:tentative="0">
      <w:start w:val="1"/>
      <w:numFmt w:val="decimal"/>
      <w:suff w:val="nothing"/>
      <w:lvlText w:val="%1、"/>
      <w:lvlJc w:val="left"/>
      <w:rPr>
        <w:rFonts w:hint="default"/>
        <w:sz w:val="21"/>
        <w:szCs w:val="21"/>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EE40EB6"/>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9F01AB"/>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link w:val="64"/>
    <w:autoRedefine/>
    <w:qFormat/>
    <w:uiPriority w:val="0"/>
    <w:pPr>
      <w:spacing w:after="120"/>
    </w:pPr>
    <w:rPr>
      <w:szCs w:val="24"/>
    </w:rPr>
  </w:style>
  <w:style w:type="paragraph" w:styleId="13">
    <w:name w:val="Body Text Indent"/>
    <w:basedOn w:val="1"/>
    <w:link w:val="53"/>
    <w:autoRedefine/>
    <w:qFormat/>
    <w:uiPriority w:val="0"/>
    <w:pPr>
      <w:ind w:firstLine="540"/>
    </w:pPr>
    <w:rPr>
      <w:rFonts w:eastAsia="仿宋_GB2312"/>
      <w:sz w:val="28"/>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72"/>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52"/>
    <w:autoRedefine/>
    <w:qFormat/>
    <w:uiPriority w:val="0"/>
    <w:rPr>
      <w:rFonts w:ascii="Arial" w:hAnsi="Arial" w:eastAsia="楷体_GB2312"/>
      <w:sz w:val="28"/>
    </w:rPr>
  </w:style>
  <w:style w:type="paragraph" w:styleId="19">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66"/>
    <w:autoRedefine/>
    <w:qFormat/>
    <w:uiPriority w:val="0"/>
    <w:rPr>
      <w:sz w:val="18"/>
      <w:szCs w:val="18"/>
    </w:rPr>
  </w:style>
  <w:style w:type="paragraph" w:styleId="21">
    <w:name w:val="footer"/>
    <w:basedOn w:val="1"/>
    <w:link w:val="47"/>
    <w:autoRedefine/>
    <w:unhideWhenUsed/>
    <w:qFormat/>
    <w:uiPriority w:val="0"/>
    <w:pPr>
      <w:tabs>
        <w:tab w:val="center" w:pos="4153"/>
        <w:tab w:val="right" w:pos="8306"/>
      </w:tabs>
      <w:snapToGrid w:val="0"/>
      <w:jc w:val="left"/>
    </w:pPr>
    <w:rPr>
      <w:sz w:val="18"/>
      <w:szCs w:val="18"/>
    </w:rPr>
  </w:style>
  <w:style w:type="paragraph" w:styleId="22">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6">
    <w:name w:val="toc 6"/>
    <w:basedOn w:val="1"/>
    <w:next w:val="1"/>
    <w:autoRedefine/>
    <w:qFormat/>
    <w:uiPriority w:val="0"/>
    <w:pPr>
      <w:ind w:left="2100" w:leftChars="1000"/>
    </w:pPr>
  </w:style>
  <w:style w:type="paragraph" w:styleId="27">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0"/>
    <w:next w:val="10"/>
    <w:link w:val="70"/>
    <w:autoRedefine/>
    <w:semiHidden/>
    <w:qFormat/>
    <w:uiPriority w:val="99"/>
    <w:rPr>
      <w:b/>
      <w:bCs/>
    </w:rPr>
  </w:style>
  <w:style w:type="paragraph" w:styleId="34">
    <w:name w:val="Body Text First Indent"/>
    <w:basedOn w:val="12"/>
    <w:link w:val="100"/>
    <w:autoRedefine/>
    <w:semiHidden/>
    <w:unhideWhenUsed/>
    <w:qFormat/>
    <w:uiPriority w:val="99"/>
    <w:pPr>
      <w:spacing w:line="400" w:lineRule="atLeast"/>
      <w:ind w:firstLine="426"/>
    </w:pPr>
    <w:rPr>
      <w:sz w:val="24"/>
      <w:szCs w:val="20"/>
    </w:rPr>
  </w:style>
  <w:style w:type="paragraph" w:styleId="35">
    <w:name w:val="Body Text First Indent 2"/>
    <w:basedOn w:val="13"/>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yperlink"/>
    <w:autoRedefine/>
    <w:qFormat/>
    <w:uiPriority w:val="99"/>
    <w:rPr>
      <w:color w:val="0000FF"/>
      <w:u w:val="single"/>
    </w:rPr>
  </w:style>
  <w:style w:type="character" w:styleId="43">
    <w:name w:val="annotation reference"/>
    <w:autoRedefine/>
    <w:semiHidden/>
    <w:qFormat/>
    <w:uiPriority w:val="99"/>
    <w:rPr>
      <w:sz w:val="21"/>
      <w:szCs w:val="21"/>
    </w:rPr>
  </w:style>
  <w:style w:type="paragraph" w:customStyle="1" w:styleId="44">
    <w:name w:val="style4"/>
    <w:basedOn w:val="1"/>
    <w:next w:val="45"/>
    <w:autoRedefine/>
    <w:qFormat/>
    <w:uiPriority w:val="0"/>
    <w:pPr>
      <w:widowControl/>
      <w:spacing w:before="280" w:after="280"/>
    </w:pPr>
    <w:rPr>
      <w:rFonts w:ascii="宋体" w:eastAsia="宋体"/>
      <w:sz w:val="18"/>
    </w:rPr>
  </w:style>
  <w:style w:type="paragraph" w:customStyle="1" w:styleId="4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46">
    <w:name w:val="页眉 Char"/>
    <w:basedOn w:val="38"/>
    <w:link w:val="22"/>
    <w:autoRedefine/>
    <w:qFormat/>
    <w:uiPriority w:val="0"/>
    <w:rPr>
      <w:sz w:val="18"/>
      <w:szCs w:val="18"/>
    </w:rPr>
  </w:style>
  <w:style w:type="character" w:customStyle="1" w:styleId="47">
    <w:name w:val="页脚 Char"/>
    <w:basedOn w:val="38"/>
    <w:link w:val="21"/>
    <w:autoRedefine/>
    <w:qFormat/>
    <w:uiPriority w:val="0"/>
    <w:rPr>
      <w:sz w:val="18"/>
      <w:szCs w:val="18"/>
    </w:rPr>
  </w:style>
  <w:style w:type="character" w:customStyle="1" w:styleId="48">
    <w:name w:val="标题 1 Char"/>
    <w:basedOn w:val="38"/>
    <w:link w:val="2"/>
    <w:autoRedefine/>
    <w:qFormat/>
    <w:uiPriority w:val="0"/>
    <w:rPr>
      <w:rFonts w:ascii="Times New Roman" w:hAnsi="Times New Roman" w:eastAsia="宋体" w:cs="Times New Roman"/>
      <w:sz w:val="28"/>
      <w:szCs w:val="24"/>
    </w:rPr>
  </w:style>
  <w:style w:type="character" w:customStyle="1" w:styleId="49">
    <w:name w:val="标题 2 Char"/>
    <w:basedOn w:val="38"/>
    <w:link w:val="3"/>
    <w:autoRedefine/>
    <w:qFormat/>
    <w:uiPriority w:val="0"/>
    <w:rPr>
      <w:rFonts w:ascii="Arial" w:hAnsi="Arial" w:eastAsia="黑体" w:cs="Times New Roman"/>
      <w:b/>
      <w:kern w:val="0"/>
      <w:sz w:val="32"/>
      <w:szCs w:val="20"/>
    </w:rPr>
  </w:style>
  <w:style w:type="character" w:customStyle="1" w:styleId="50">
    <w:name w:val="标题 3 Char"/>
    <w:basedOn w:val="38"/>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autoRedefine/>
    <w:qFormat/>
    <w:uiPriority w:val="0"/>
    <w:rPr>
      <w:rFonts w:ascii="Arial" w:hAnsi="Arial" w:eastAsia="黑体" w:cs="Times New Roman"/>
      <w:b/>
      <w:kern w:val="0"/>
      <w:sz w:val="28"/>
      <w:szCs w:val="20"/>
    </w:rPr>
  </w:style>
  <w:style w:type="character" w:customStyle="1" w:styleId="52">
    <w:name w:val="日期 Char"/>
    <w:basedOn w:val="38"/>
    <w:link w:val="18"/>
    <w:autoRedefine/>
    <w:qFormat/>
    <w:uiPriority w:val="0"/>
    <w:rPr>
      <w:rFonts w:ascii="Arial" w:hAnsi="Arial" w:eastAsia="楷体_GB2312" w:cs="Times New Roman"/>
      <w:sz w:val="28"/>
      <w:szCs w:val="20"/>
    </w:rPr>
  </w:style>
  <w:style w:type="character" w:customStyle="1" w:styleId="53">
    <w:name w:val="正文文本缩进 Char"/>
    <w:basedOn w:val="38"/>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19"/>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8"/>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8"/>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8"/>
    <w:link w:val="20"/>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8"/>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6"/>
    <w:autoRedefine/>
    <w:qFormat/>
    <w:uiPriority w:val="0"/>
    <w:rPr>
      <w:rFonts w:ascii="宋体" w:hAnsi="Courier New" w:eastAsia="宋体"/>
    </w:rPr>
  </w:style>
  <w:style w:type="character" w:customStyle="1" w:styleId="73">
    <w:name w:val="纯文本 Char1"/>
    <w:basedOn w:val="38"/>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8"/>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38"/>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38"/>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4"/>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5968</Words>
  <Characters>6219</Characters>
  <Lines>127</Lines>
  <Paragraphs>35</Paragraphs>
  <TotalTime>1</TotalTime>
  <ScaleCrop>false</ScaleCrop>
  <LinksUpToDate>false</LinksUpToDate>
  <CharactersWithSpaces>6322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2025-09-02T00:57:35Z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