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六安市中医院隐疤痕无充气甲状腺手术器械包采购项目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LASZYY-SBGCB2025105</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隐疤痕无充气甲状腺手术器械包</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LASZYY-SBGCB2025105</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隐疤痕无充气甲状腺手术器械包</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六安市中医院隐疤痕无充气甲状腺手术器械包采购项目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LASZYY-SBGCB2025105</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六安市中医院隐疤痕无充气甲状腺手术器械包技术参数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1套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630BBF27">
      <w:pPr>
        <w:numPr>
          <w:ilvl w:val="0"/>
          <w:numId w:val="0"/>
        </w:numPr>
        <w:spacing w:line="360" w:lineRule="auto"/>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产品由悬吊装置固定器、悬吊杆、悬吊卷链器以及Ⅰ型组织拉钩、Ⅱ型组织拉钩组成。</w:t>
      </w:r>
    </w:p>
    <w:p w14:paraId="3656FC8A">
      <w:pPr>
        <w:numPr>
          <w:ilvl w:val="0"/>
          <w:numId w:val="0"/>
        </w:numPr>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I型悬吊装置固定器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0294.1-2016标准中的M号钢材料制造，经固定后垂直拉力50N，变形不超过1cm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可通过调整齿形螺纹套调节悬吊杆角度，并可上下调节高度，自由度高。</w:t>
      </w:r>
    </w:p>
    <w:p w14:paraId="313DCD17">
      <w:pPr>
        <w:numPr>
          <w:ilvl w:val="0"/>
          <w:numId w:val="0"/>
        </w:numPr>
        <w:spacing w:line="360" w:lineRule="auto"/>
        <w:ind w:left="0" w:leftChars="0" w:firstLine="0" w:firstLineChars="0"/>
        <w:jc w:val="both"/>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I型悬吊杆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0294.1-2016标准中的M号钢材料制造，经固定后垂直拉力50N，变形不超过1cm</w:t>
      </w:r>
      <w:r>
        <w:rPr>
          <w:rFonts w:hint="eastAsia" w:ascii="仿宋" w:hAnsi="仿宋" w:eastAsia="仿宋" w:cs="仿宋"/>
          <w:sz w:val="24"/>
          <w:szCs w:val="24"/>
          <w:highlight w:val="none"/>
          <w:lang w:eastAsia="zh-CN"/>
        </w:rPr>
        <w:t>。</w:t>
      </w:r>
    </w:p>
    <w:p w14:paraId="00102396">
      <w:pPr>
        <w:numPr>
          <w:ilvl w:val="0"/>
          <w:numId w:val="0"/>
        </w:numPr>
        <w:spacing w:line="360" w:lineRule="auto"/>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rPr>
        <w:t>I型悬吊卷链器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0294.1-2016标准中的M号钢材料制造，</w:t>
      </w:r>
      <w:r>
        <w:rPr>
          <w:rFonts w:hint="eastAsia" w:ascii="仿宋" w:hAnsi="仿宋" w:eastAsia="仿宋" w:cs="仿宋"/>
          <w:sz w:val="24"/>
          <w:szCs w:val="24"/>
          <w:highlight w:val="none"/>
          <w:lang w:val="en-US" w:eastAsia="zh-CN"/>
        </w:rPr>
        <w:t>经</w:t>
      </w:r>
      <w:r>
        <w:rPr>
          <w:rFonts w:hint="eastAsia" w:ascii="仿宋" w:hAnsi="仿宋" w:eastAsia="仿宋" w:cs="仿宋"/>
          <w:sz w:val="24"/>
          <w:szCs w:val="24"/>
          <w:highlight w:val="none"/>
        </w:rPr>
        <w:t>固定后垂直拉力50N，变形不超过1cm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可拆卸成三个零件，清洗、灭菌彻底。结构简单牢靠，上下调节范围大，手术操作方便</w:t>
      </w:r>
      <w:r>
        <w:rPr>
          <w:rFonts w:hint="eastAsia" w:ascii="仿宋" w:hAnsi="仿宋" w:eastAsia="仿宋" w:cs="仿宋"/>
          <w:sz w:val="24"/>
          <w:szCs w:val="24"/>
          <w:highlight w:val="none"/>
          <w:lang w:eastAsia="zh-CN"/>
        </w:rPr>
        <w:t>。</w:t>
      </w:r>
    </w:p>
    <w:p w14:paraId="2A982059">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rPr>
        <w:t>Ⅰ型组织拉钩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小号左弯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头宽40，拉钩头端尺寸小，进入人体容易，钩头部分与钩体角度为30度，符合人体生理结构，整个承托肌肉形成完美的暴露间隙，使甲状腺腔镜手术具有良好的操作空间，大大降低手术难度，提高效率，可使手术时间接近传统开放手术。拉钩带有半埋式吸引管，不影响器械操作的同时可以有效吸引手术中能量器械产生的烟雾，术中无烟雾或水汽影响视野。</w:t>
      </w:r>
    </w:p>
    <w:p w14:paraId="6B73261D">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rPr>
        <w:t>Ⅰ型组织拉钩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小号右弯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头宽40，拉钩头端尺寸小，进入人体容易，钩头部分与钩体角度为30度，符合人体生理结构，整个承托肌肉形成完美的暴露间隙，使甲状腺腔镜手术具有良好的操作空间，大大降低手术难度，提高效率，可使手术时间接近传统开放手术。拉钩带有半埋式吸引管，不影响器械操作的同时可以有效吸引手术中能量器械产生的烟雾，术中无烟雾或水汽影响视野。</w:t>
      </w:r>
    </w:p>
    <w:p w14:paraId="33024849">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7、</w:t>
      </w:r>
      <w:r>
        <w:rPr>
          <w:rFonts w:hint="eastAsia" w:ascii="仿宋" w:hAnsi="仿宋" w:eastAsia="仿宋" w:cs="仿宋"/>
          <w:sz w:val="24"/>
          <w:szCs w:val="24"/>
          <w:highlight w:val="none"/>
        </w:rPr>
        <w:t>Ⅰ型组织拉钩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中号直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头宽60，整个承托肌肉，形成完美的暴露间隙，使甲状腺腔镜手术具有良好的操作空间，大大降低手术难度，提高效率，可让手术时间接近传统开放手术。拉钩带有半埋式吸引管，不影响器械操作的同时可以有效吸引手术中能量器械产生的烟雾，术中无烟雾或水汽影响视野。</w:t>
      </w:r>
    </w:p>
    <w:p w14:paraId="07732FA2">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sz w:val="24"/>
          <w:szCs w:val="24"/>
          <w:highlight w:val="none"/>
        </w:rPr>
        <w:t>Ⅱ型组织拉钩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II型 15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0294.1-2016标准中的C号钢材料制造，组织拉钩进入人体部位表面粗糙度Ra值应≤0.8μm，具有不小于50N的弹性拉力。用于手术初始建立腋窝也甲状腺之间的腔道。长钩头设计异常适合经腋窝甲状腺手术的建腔。</w:t>
      </w:r>
    </w:p>
    <w:p w14:paraId="6AB8AA13">
      <w:pPr>
        <w:numPr>
          <w:ilvl w:val="0"/>
          <w:numId w:val="0"/>
        </w:numPr>
        <w:spacing w:line="360" w:lineRule="auto"/>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sz w:val="24"/>
          <w:szCs w:val="24"/>
          <w:highlight w:val="none"/>
          <w:lang w:val="en-US" w:eastAsia="zh-CN"/>
        </w:rPr>
        <w:t>分离钳：高绝缘，具备神经探针功能，用于喉返神经检测，兼容我院现有肌电诱发反应仪（也叫面神经监护仪或术中神经检测仪，品牌型号：美敦力NIMECC01）</w:t>
      </w:r>
    </w:p>
    <w:p w14:paraId="4AD72662">
      <w:pPr>
        <w:jc w:val="both"/>
        <w:rPr>
          <w:rFonts w:hint="eastAsia" w:ascii="仿宋" w:hAnsi="仿宋" w:eastAsia="仿宋" w:cs="仿宋"/>
          <w:sz w:val="24"/>
          <w:szCs w:val="24"/>
          <w:highlight w:val="none"/>
          <w:lang w:val="en-US" w:eastAsia="zh-CN"/>
        </w:rPr>
      </w:pPr>
    </w:p>
    <w:p w14:paraId="5068D028">
      <w:pPr>
        <w:numPr>
          <w:ilvl w:val="0"/>
          <w:numId w:val="0"/>
        </w:numPr>
        <w:jc w:val="both"/>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szCs w:val="24"/>
          <w:highlight w:val="none"/>
          <w:lang w:val="en-US" w:eastAsia="zh-CN"/>
        </w:rPr>
        <w:t>配置要求</w:t>
      </w:r>
    </w:p>
    <w:p w14:paraId="62BB39E7">
      <w:pPr>
        <w:numPr>
          <w:ilvl w:val="0"/>
          <w:numId w:val="0"/>
        </w:numPr>
        <w:jc w:val="both"/>
        <w:rPr>
          <w:rFonts w:hint="eastAsia" w:ascii="仿宋" w:hAnsi="仿宋" w:eastAsia="仿宋" w:cs="仿宋"/>
          <w:sz w:val="24"/>
          <w:szCs w:val="24"/>
          <w:highlight w:val="none"/>
          <w:lang w:val="en-US" w:eastAsia="zh-CN"/>
        </w:rPr>
      </w:pPr>
    </w:p>
    <w:tbl>
      <w:tblPr>
        <w:tblStyle w:val="38"/>
        <w:tblW w:w="80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0"/>
        <w:gridCol w:w="3862"/>
      </w:tblGrid>
      <w:tr w14:paraId="192E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1" w:type="dxa"/>
            <w:tcBorders>
              <w:top w:val="single" w:color="000000" w:sz="4" w:space="0"/>
              <w:left w:val="single" w:color="000000" w:sz="4" w:space="0"/>
              <w:bottom w:val="single" w:color="000000" w:sz="4" w:space="0"/>
              <w:right w:val="single" w:color="000000" w:sz="4" w:space="0"/>
            </w:tcBorders>
            <w:noWrap/>
            <w:vAlign w:val="center"/>
          </w:tcPr>
          <w:p w14:paraId="7099961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78" w:type="dxa"/>
            <w:tcBorders>
              <w:top w:val="single" w:color="000000" w:sz="4" w:space="0"/>
              <w:left w:val="single" w:color="000000" w:sz="4" w:space="0"/>
              <w:bottom w:val="single" w:color="000000" w:sz="4" w:space="0"/>
              <w:right w:val="single" w:color="000000" w:sz="4" w:space="0"/>
            </w:tcBorders>
            <w:noWrap/>
            <w:vAlign w:val="center"/>
          </w:tcPr>
          <w:p w14:paraId="287825A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14:paraId="2B47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25967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悬吊装置固定器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5DF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3ADD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44655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悬吊杆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AE40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98A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0BE0D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悬吊卷链器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40E1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DEE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969F6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Ⅰ型组织拉钩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7BF26">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3（</w:t>
            </w:r>
            <w:r>
              <w:rPr>
                <w:rFonts w:hint="eastAsia" w:ascii="仿宋" w:hAnsi="仿宋" w:eastAsia="仿宋" w:cs="仿宋"/>
                <w:sz w:val="24"/>
                <w:szCs w:val="24"/>
                <w:highlight w:val="none"/>
              </w:rPr>
              <w:t>小号左弯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小号右弯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中号直</w:t>
            </w:r>
            <w:r>
              <w:rPr>
                <w:rFonts w:hint="eastAsia" w:ascii="仿宋" w:hAnsi="仿宋" w:eastAsia="仿宋" w:cs="仿宋"/>
                <w:sz w:val="24"/>
                <w:szCs w:val="24"/>
                <w:highlight w:val="none"/>
                <w:lang w:eastAsia="zh-CN"/>
              </w:rPr>
              <w:t>各</w:t>
            </w:r>
            <w:r>
              <w:rPr>
                <w:rFonts w:hint="eastAsia" w:ascii="仿宋" w:hAnsi="仿宋" w:eastAsia="仿宋" w:cs="仿宋"/>
                <w:sz w:val="24"/>
                <w:szCs w:val="24"/>
                <w:highlight w:val="none"/>
                <w:lang w:val="en-US" w:eastAsia="zh-CN"/>
              </w:rPr>
              <w:t>1）</w:t>
            </w:r>
          </w:p>
        </w:tc>
      </w:tr>
      <w:tr w14:paraId="2166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92605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Ⅱ型组织拉钩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5FC7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74DD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B1B8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highlight w:val="none"/>
                <w:lang w:val="en-US" w:eastAsia="zh-CN"/>
              </w:rPr>
              <w:t>分离钳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14AC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14:paraId="3A35C330">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6BD3B0B0">
      <w:pPr>
        <w:jc w:val="both"/>
        <w:rPr>
          <w:rFonts w:hint="default" w:ascii="宋体" w:hAnsi="宋体" w:cs="宋体"/>
          <w:b/>
          <w:bCs/>
          <w:sz w:val="28"/>
          <w:szCs w:val="28"/>
          <w:lang w:val="en-US" w:eastAsia="zh-CN"/>
        </w:rPr>
      </w:pPr>
    </w:p>
    <w:p w14:paraId="0C383EA2">
      <w:pPr>
        <w:jc w:val="both"/>
        <w:rPr>
          <w:rFonts w:hint="default" w:ascii="宋体" w:hAnsi="宋体" w:cs="宋体"/>
          <w:b/>
          <w:bCs/>
          <w:sz w:val="28"/>
          <w:szCs w:val="28"/>
          <w:lang w:val="en-US" w:eastAsia="zh-CN"/>
        </w:rPr>
      </w:pPr>
    </w:p>
    <w:p w14:paraId="58C10B5D">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六安市中医院隐疤痕无充气甲状腺手术器械包采购项目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六安市中医院隐疤痕无充气甲状腺手术器械包采购项目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六安市中医院隐疤痕无充气甲状腺手术器械包采购项目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bookmarkStart w:id="51" w:name="_GoBack"/>
      <w:bookmarkEnd w:id="51"/>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7570</Words>
  <Characters>7807</Characters>
  <Lines>127</Lines>
  <Paragraphs>35</Paragraphs>
  <TotalTime>4</TotalTime>
  <ScaleCrop>false</ScaleCrop>
  <LinksUpToDate>false</LinksUpToDate>
  <CharactersWithSpaces>8491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2025-06-27T02:47:42Z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