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7CD78">
      <w:pPr>
        <w:pStyle w:val="3"/>
        <w:numPr>
          <w:ilvl w:val="0"/>
          <w:numId w:val="2"/>
        </w:numPr>
        <w:spacing w:before="0" w:after="0"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14:paraId="091AAB73">
      <w:pPr>
        <w:numPr>
          <w:ilvl w:val="0"/>
          <w:numId w:val="3"/>
        </w:numPr>
        <w:spacing w:line="480" w:lineRule="auto"/>
        <w:rPr>
          <w:rFonts w:ascii="宋体" w:hAnsi="宋体" w:cs="宋体"/>
          <w:color w:val="auto"/>
          <w:sz w:val="24"/>
          <w:szCs w:val="24"/>
          <w:highlight w:val="none"/>
        </w:rPr>
      </w:pPr>
      <w:r>
        <w:rPr>
          <w:rFonts w:hint="eastAsia" w:ascii="宋体" w:hAnsi="宋体" w:cs="宋体"/>
          <w:b/>
          <w:bCs/>
          <w:color w:val="auto"/>
          <w:sz w:val="24"/>
          <w:szCs w:val="24"/>
          <w:highlight w:val="none"/>
        </w:rPr>
        <w:t>项目概述：</w:t>
      </w:r>
    </w:p>
    <w:p w14:paraId="183E7D43">
      <w:pPr>
        <w:rPr>
          <w:rFonts w:ascii="宋体" w:hAnsi="宋体" w:cs="宋体"/>
          <w:color w:val="auto"/>
          <w:sz w:val="24"/>
          <w:szCs w:val="24"/>
          <w:highlight w:val="none"/>
        </w:rPr>
      </w:pPr>
      <w:r>
        <w:rPr>
          <w:rFonts w:hint="eastAsia" w:ascii="宋体" w:hAnsi="宋体" w:cs="宋体"/>
          <w:color w:val="auto"/>
          <w:sz w:val="24"/>
          <w:szCs w:val="24"/>
          <w:highlight w:val="none"/>
        </w:rPr>
        <w:t>1、项目名称：医用物资智能化管理及院内配送服务</w:t>
      </w:r>
    </w:p>
    <w:p w14:paraId="4EE19867">
      <w:pPr>
        <w:rPr>
          <w:rFonts w:ascii="宋体" w:hAnsi="宋体" w:cs="宋体"/>
          <w:color w:val="auto"/>
          <w:sz w:val="24"/>
          <w:szCs w:val="24"/>
          <w:highlight w:val="none"/>
        </w:rPr>
      </w:pPr>
      <w:r>
        <w:rPr>
          <w:rFonts w:hint="eastAsia" w:ascii="宋体" w:hAnsi="宋体" w:cs="宋体"/>
          <w:color w:val="auto"/>
          <w:sz w:val="24"/>
          <w:szCs w:val="24"/>
          <w:highlight w:val="none"/>
        </w:rPr>
        <w:t>2、服务地点：六安市中医院</w:t>
      </w:r>
    </w:p>
    <w:p w14:paraId="1AEBE8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3、服务期限：</w:t>
      </w:r>
      <w:r>
        <w:rPr>
          <w:rFonts w:hint="eastAsia" w:ascii="宋体" w:hAnsi="宋体" w:cs="宋体"/>
          <w:color w:val="auto"/>
          <w:sz w:val="24"/>
          <w:szCs w:val="24"/>
          <w:highlight w:val="none"/>
          <w:lang w:val="en-US" w:eastAsia="zh-CN"/>
        </w:rPr>
        <w:t>合同签订后不超过六个月完成建设调试起1年（具体以合同标注的开始日期为准），考核合格以后续签下一年合同，最多续签两次</w:t>
      </w:r>
    </w:p>
    <w:p w14:paraId="68A78D52">
      <w:pPr>
        <w:rPr>
          <w:rFonts w:ascii="宋体" w:hAnsi="宋体" w:cs="宋体"/>
          <w:color w:val="auto"/>
          <w:sz w:val="24"/>
          <w:szCs w:val="24"/>
          <w:highlight w:val="none"/>
        </w:rPr>
      </w:pPr>
      <w:r>
        <w:rPr>
          <w:rFonts w:hint="eastAsia" w:ascii="宋体" w:hAnsi="宋体" w:cs="宋体"/>
          <w:color w:val="auto"/>
          <w:sz w:val="24"/>
          <w:szCs w:val="24"/>
          <w:highlight w:val="none"/>
        </w:rPr>
        <w:t>4、服务产品：院内医用耗材物资（包</w:t>
      </w:r>
      <w:r>
        <w:rPr>
          <w:rFonts w:hint="eastAsia" w:ascii="宋体" w:hAnsi="宋体"/>
          <w:color w:val="auto"/>
          <w:sz w:val="24"/>
          <w:highlight w:val="none"/>
        </w:rPr>
        <w:t>括医用高值、低值、检验试剂等耗材，后勤物资</w:t>
      </w:r>
      <w:r>
        <w:rPr>
          <w:rFonts w:hint="eastAsia" w:ascii="宋体" w:hAnsi="宋体"/>
          <w:color w:val="auto"/>
          <w:sz w:val="24"/>
          <w:highlight w:val="none"/>
          <w:lang w:val="en-US" w:eastAsia="zh-CN"/>
        </w:rPr>
        <w:t>等</w:t>
      </w:r>
      <w:r>
        <w:rPr>
          <w:rFonts w:hint="eastAsia" w:ascii="宋体" w:hAnsi="宋体" w:cs="宋体"/>
          <w:color w:val="auto"/>
          <w:sz w:val="24"/>
          <w:szCs w:val="24"/>
          <w:highlight w:val="none"/>
        </w:rPr>
        <w:t>）</w:t>
      </w:r>
    </w:p>
    <w:p w14:paraId="0F8F2B1E">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rPr>
        <w:t>5、服务内容：包括上述物资管理系统、集中采购供</w:t>
      </w:r>
      <w:r>
        <w:rPr>
          <w:rFonts w:hint="eastAsia" w:ascii="宋体" w:hAnsi="宋体" w:cs="宋体"/>
          <w:color w:val="auto"/>
          <w:sz w:val="24"/>
          <w:szCs w:val="24"/>
          <w:highlight w:val="none"/>
          <w:shd w:val="clear" w:color="auto" w:fill="auto"/>
        </w:rPr>
        <w:t>应、医院内部仓储、信息化建设、物流服务、质控管理等</w:t>
      </w:r>
      <w:r>
        <w:rPr>
          <w:rFonts w:hint="eastAsia" w:ascii="宋体" w:hAnsi="宋体" w:cs="宋体"/>
          <w:color w:val="auto"/>
          <w:sz w:val="24"/>
          <w:szCs w:val="24"/>
          <w:highlight w:val="none"/>
          <w:shd w:val="clear" w:color="auto" w:fill="auto"/>
          <w:lang w:eastAsia="zh-CN"/>
        </w:rPr>
        <w:t>（包括</w:t>
      </w:r>
      <w:r>
        <w:rPr>
          <w:rFonts w:hint="eastAsia" w:ascii="宋体" w:hAnsi="宋体" w:cs="宋体"/>
          <w:color w:val="auto"/>
          <w:sz w:val="24"/>
          <w:szCs w:val="24"/>
          <w:highlight w:val="none"/>
          <w:shd w:val="clear" w:color="auto" w:fill="auto"/>
          <w:lang w:val="en-US" w:eastAsia="zh-CN"/>
        </w:rPr>
        <w:t>但不限于SPD（Supply-Processing-Distribution）模式的智能化管理，实现供应商协同、院内零库存配送、耗材全流程追溯及自动结算功能）</w:t>
      </w:r>
    </w:p>
    <w:p w14:paraId="5AA1730D">
      <w:pPr>
        <w:rPr>
          <w:rFonts w:ascii="宋体" w:hAnsi="宋体" w:cs="宋体"/>
          <w:color w:val="auto"/>
          <w:sz w:val="24"/>
          <w:szCs w:val="24"/>
          <w:highlight w:val="none"/>
        </w:rPr>
      </w:pPr>
      <w:r>
        <w:rPr>
          <w:rFonts w:hint="eastAsia" w:ascii="宋体" w:hAnsi="宋体" w:cs="宋体"/>
          <w:color w:val="auto"/>
          <w:sz w:val="24"/>
          <w:szCs w:val="24"/>
          <w:highlight w:val="none"/>
        </w:rPr>
        <w:t>6、建设区域（包括主院区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马店院区</w:t>
      </w:r>
      <w:r>
        <w:rPr>
          <w:rFonts w:hint="eastAsia" w:ascii="宋体" w:hAnsi="宋体" w:cs="宋体"/>
          <w:color w:val="auto"/>
          <w:sz w:val="24"/>
          <w:szCs w:val="24"/>
          <w:highlight w:val="none"/>
        </w:rPr>
        <w:t>）：</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2960"/>
        <w:gridCol w:w="1208"/>
        <w:gridCol w:w="2864"/>
      </w:tblGrid>
      <w:tr w14:paraId="286C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3E91DDA9">
            <w:pPr>
              <w:pStyle w:val="34"/>
              <w:spacing w:after="0"/>
              <w:ind w:firstLine="0"/>
              <w:jc w:val="center"/>
              <w:rPr>
                <w:color w:val="auto"/>
                <w:kern w:val="2"/>
                <w:sz w:val="24"/>
                <w:szCs w:val="24"/>
                <w:highlight w:val="none"/>
              </w:rPr>
            </w:pPr>
            <w:r>
              <w:rPr>
                <w:rFonts w:hint="eastAsia"/>
                <w:color w:val="auto"/>
                <w:kern w:val="2"/>
                <w:sz w:val="24"/>
                <w:szCs w:val="24"/>
                <w:highlight w:val="none"/>
              </w:rPr>
              <w:t>序号</w:t>
            </w:r>
          </w:p>
        </w:tc>
        <w:tc>
          <w:tcPr>
            <w:tcW w:w="2960" w:type="dxa"/>
          </w:tcPr>
          <w:p w14:paraId="110D6C6A">
            <w:pPr>
              <w:pStyle w:val="34"/>
              <w:spacing w:after="0"/>
              <w:ind w:firstLine="0"/>
              <w:jc w:val="center"/>
              <w:rPr>
                <w:color w:val="auto"/>
                <w:kern w:val="2"/>
                <w:sz w:val="24"/>
                <w:szCs w:val="24"/>
                <w:highlight w:val="none"/>
              </w:rPr>
            </w:pPr>
            <w:r>
              <w:rPr>
                <w:rFonts w:hint="eastAsia"/>
                <w:color w:val="auto"/>
                <w:kern w:val="2"/>
                <w:sz w:val="24"/>
                <w:szCs w:val="24"/>
                <w:highlight w:val="none"/>
              </w:rPr>
              <w:t>名称</w:t>
            </w:r>
          </w:p>
        </w:tc>
        <w:tc>
          <w:tcPr>
            <w:tcW w:w="1208" w:type="dxa"/>
          </w:tcPr>
          <w:p w14:paraId="62B1571D">
            <w:pPr>
              <w:pStyle w:val="34"/>
              <w:spacing w:after="0"/>
              <w:ind w:firstLine="0"/>
              <w:jc w:val="center"/>
              <w:rPr>
                <w:color w:val="auto"/>
                <w:kern w:val="2"/>
                <w:sz w:val="24"/>
                <w:szCs w:val="24"/>
                <w:highlight w:val="none"/>
              </w:rPr>
            </w:pPr>
            <w:r>
              <w:rPr>
                <w:rFonts w:hint="eastAsia"/>
                <w:color w:val="auto"/>
                <w:kern w:val="2"/>
                <w:sz w:val="24"/>
                <w:szCs w:val="24"/>
                <w:highlight w:val="none"/>
              </w:rPr>
              <w:t>数量</w:t>
            </w:r>
          </w:p>
        </w:tc>
        <w:tc>
          <w:tcPr>
            <w:tcW w:w="2864" w:type="dxa"/>
          </w:tcPr>
          <w:p w14:paraId="20DC94CB">
            <w:pPr>
              <w:pStyle w:val="34"/>
              <w:spacing w:after="0"/>
              <w:ind w:firstLine="0"/>
              <w:jc w:val="center"/>
              <w:rPr>
                <w:color w:val="auto"/>
                <w:kern w:val="2"/>
                <w:sz w:val="24"/>
                <w:szCs w:val="24"/>
                <w:highlight w:val="none"/>
              </w:rPr>
            </w:pPr>
            <w:r>
              <w:rPr>
                <w:rFonts w:hint="eastAsia"/>
                <w:color w:val="auto"/>
                <w:kern w:val="2"/>
                <w:sz w:val="24"/>
                <w:szCs w:val="24"/>
                <w:highlight w:val="none"/>
              </w:rPr>
              <w:t>说明</w:t>
            </w:r>
          </w:p>
        </w:tc>
      </w:tr>
      <w:tr w14:paraId="74AC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0472B4B0">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960" w:type="dxa"/>
          </w:tcPr>
          <w:p w14:paraId="50C398BC">
            <w:pPr>
              <w:pStyle w:val="34"/>
              <w:spacing w:after="0"/>
              <w:ind w:firstLine="0"/>
              <w:jc w:val="center"/>
              <w:rPr>
                <w:color w:val="auto"/>
                <w:kern w:val="2"/>
                <w:sz w:val="24"/>
                <w:szCs w:val="24"/>
                <w:highlight w:val="none"/>
              </w:rPr>
            </w:pPr>
            <w:r>
              <w:rPr>
                <w:rFonts w:hint="eastAsia"/>
                <w:color w:val="auto"/>
                <w:kern w:val="2"/>
                <w:sz w:val="24"/>
                <w:szCs w:val="24"/>
                <w:highlight w:val="none"/>
              </w:rPr>
              <w:t>中心库</w:t>
            </w:r>
          </w:p>
        </w:tc>
        <w:tc>
          <w:tcPr>
            <w:tcW w:w="1208" w:type="dxa"/>
          </w:tcPr>
          <w:p w14:paraId="47E6806D">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864" w:type="dxa"/>
          </w:tcPr>
          <w:p w14:paraId="1AC8A0A0">
            <w:pPr>
              <w:pStyle w:val="34"/>
              <w:spacing w:after="0"/>
              <w:ind w:firstLine="0"/>
              <w:jc w:val="center"/>
              <w:rPr>
                <w:color w:val="auto"/>
                <w:kern w:val="2"/>
                <w:sz w:val="24"/>
                <w:szCs w:val="24"/>
                <w:highlight w:val="none"/>
              </w:rPr>
            </w:pPr>
          </w:p>
        </w:tc>
      </w:tr>
      <w:tr w14:paraId="43D42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768C1D99">
            <w:pPr>
              <w:pStyle w:val="34"/>
              <w:spacing w:after="0"/>
              <w:ind w:firstLine="0"/>
              <w:jc w:val="center"/>
              <w:rPr>
                <w:color w:val="auto"/>
                <w:kern w:val="2"/>
                <w:sz w:val="24"/>
                <w:szCs w:val="24"/>
                <w:highlight w:val="none"/>
              </w:rPr>
            </w:pPr>
            <w:r>
              <w:rPr>
                <w:rFonts w:hint="eastAsia"/>
                <w:color w:val="auto"/>
                <w:kern w:val="2"/>
                <w:sz w:val="24"/>
                <w:szCs w:val="24"/>
                <w:highlight w:val="none"/>
              </w:rPr>
              <w:t>2</w:t>
            </w:r>
          </w:p>
        </w:tc>
        <w:tc>
          <w:tcPr>
            <w:tcW w:w="2960" w:type="dxa"/>
          </w:tcPr>
          <w:p w14:paraId="27348FFD">
            <w:pPr>
              <w:pStyle w:val="34"/>
              <w:spacing w:after="0"/>
              <w:ind w:firstLine="0"/>
              <w:jc w:val="center"/>
              <w:rPr>
                <w:color w:val="auto"/>
                <w:kern w:val="2"/>
                <w:sz w:val="24"/>
                <w:szCs w:val="24"/>
                <w:highlight w:val="none"/>
              </w:rPr>
            </w:pPr>
            <w:r>
              <w:rPr>
                <w:rFonts w:hint="eastAsia"/>
                <w:color w:val="auto"/>
                <w:kern w:val="2"/>
                <w:sz w:val="24"/>
                <w:szCs w:val="24"/>
                <w:highlight w:val="none"/>
              </w:rPr>
              <w:t>病区库</w:t>
            </w:r>
          </w:p>
        </w:tc>
        <w:tc>
          <w:tcPr>
            <w:tcW w:w="1208" w:type="dxa"/>
          </w:tcPr>
          <w:p w14:paraId="46B1F754">
            <w:pPr>
              <w:pStyle w:val="34"/>
              <w:spacing w:after="0"/>
              <w:ind w:firstLine="0"/>
              <w:jc w:val="center"/>
              <w:rPr>
                <w:rFonts w:hint="default" w:eastAsia="宋体"/>
                <w:color w:val="auto"/>
                <w:kern w:val="2"/>
                <w:sz w:val="24"/>
                <w:szCs w:val="24"/>
                <w:highlight w:val="none"/>
                <w:lang w:val="en-US" w:eastAsia="zh-CN"/>
              </w:rPr>
            </w:pPr>
            <w:r>
              <w:rPr>
                <w:rFonts w:hint="eastAsia"/>
                <w:color w:val="auto"/>
                <w:kern w:val="2"/>
                <w:sz w:val="24"/>
                <w:szCs w:val="24"/>
                <w:highlight w:val="none"/>
                <w:lang w:val="en-US" w:eastAsia="zh-CN"/>
              </w:rPr>
              <w:t>60</w:t>
            </w:r>
          </w:p>
        </w:tc>
        <w:tc>
          <w:tcPr>
            <w:tcW w:w="2864" w:type="dxa"/>
          </w:tcPr>
          <w:p w14:paraId="3EC8D597">
            <w:pPr>
              <w:pStyle w:val="34"/>
              <w:spacing w:after="0"/>
              <w:ind w:firstLine="0"/>
              <w:jc w:val="center"/>
              <w:rPr>
                <w:rFonts w:hint="default" w:eastAsia="宋体"/>
                <w:color w:val="auto"/>
                <w:kern w:val="2"/>
                <w:sz w:val="24"/>
                <w:szCs w:val="24"/>
                <w:highlight w:val="none"/>
                <w:lang w:val="en-US" w:eastAsia="zh-CN"/>
              </w:rPr>
            </w:pPr>
          </w:p>
        </w:tc>
      </w:tr>
      <w:tr w14:paraId="052F4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0EB7EDBD">
            <w:pPr>
              <w:pStyle w:val="34"/>
              <w:spacing w:after="0"/>
              <w:ind w:firstLine="0"/>
              <w:jc w:val="center"/>
              <w:rPr>
                <w:color w:val="auto"/>
                <w:kern w:val="2"/>
                <w:sz w:val="24"/>
                <w:szCs w:val="24"/>
                <w:highlight w:val="none"/>
              </w:rPr>
            </w:pPr>
            <w:r>
              <w:rPr>
                <w:rFonts w:hint="eastAsia"/>
                <w:color w:val="auto"/>
                <w:kern w:val="2"/>
                <w:sz w:val="24"/>
                <w:szCs w:val="24"/>
                <w:highlight w:val="none"/>
              </w:rPr>
              <w:t>3</w:t>
            </w:r>
          </w:p>
        </w:tc>
        <w:tc>
          <w:tcPr>
            <w:tcW w:w="2960" w:type="dxa"/>
          </w:tcPr>
          <w:p w14:paraId="525FB33E">
            <w:pPr>
              <w:pStyle w:val="34"/>
              <w:spacing w:after="0"/>
              <w:ind w:firstLine="0"/>
              <w:jc w:val="center"/>
              <w:rPr>
                <w:color w:val="auto"/>
                <w:kern w:val="2"/>
                <w:sz w:val="24"/>
                <w:szCs w:val="24"/>
                <w:highlight w:val="none"/>
              </w:rPr>
            </w:pPr>
            <w:r>
              <w:rPr>
                <w:rFonts w:hint="eastAsia"/>
                <w:color w:val="auto"/>
                <w:kern w:val="2"/>
                <w:sz w:val="24"/>
                <w:szCs w:val="24"/>
                <w:highlight w:val="none"/>
              </w:rPr>
              <w:t>消毒供应室</w:t>
            </w:r>
          </w:p>
        </w:tc>
        <w:tc>
          <w:tcPr>
            <w:tcW w:w="1208" w:type="dxa"/>
          </w:tcPr>
          <w:p w14:paraId="56385C2E">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864" w:type="dxa"/>
          </w:tcPr>
          <w:p w14:paraId="187C7F8A">
            <w:pPr>
              <w:pStyle w:val="34"/>
              <w:spacing w:after="0"/>
              <w:ind w:firstLine="0"/>
              <w:jc w:val="center"/>
              <w:rPr>
                <w:color w:val="auto"/>
                <w:kern w:val="2"/>
                <w:sz w:val="24"/>
                <w:szCs w:val="24"/>
                <w:highlight w:val="none"/>
              </w:rPr>
            </w:pPr>
          </w:p>
        </w:tc>
      </w:tr>
      <w:tr w14:paraId="4F643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26240231">
            <w:pPr>
              <w:pStyle w:val="34"/>
              <w:spacing w:after="0"/>
              <w:ind w:firstLine="0"/>
              <w:jc w:val="center"/>
              <w:rPr>
                <w:color w:val="auto"/>
                <w:kern w:val="2"/>
                <w:sz w:val="24"/>
                <w:szCs w:val="24"/>
                <w:highlight w:val="none"/>
              </w:rPr>
            </w:pPr>
            <w:r>
              <w:rPr>
                <w:rFonts w:hint="eastAsia"/>
                <w:color w:val="auto"/>
                <w:kern w:val="2"/>
                <w:sz w:val="24"/>
                <w:szCs w:val="24"/>
                <w:highlight w:val="none"/>
              </w:rPr>
              <w:t>4</w:t>
            </w:r>
          </w:p>
        </w:tc>
        <w:tc>
          <w:tcPr>
            <w:tcW w:w="2960" w:type="dxa"/>
          </w:tcPr>
          <w:p w14:paraId="17665FA2">
            <w:pPr>
              <w:pStyle w:val="34"/>
              <w:spacing w:after="0"/>
              <w:ind w:firstLine="0"/>
              <w:jc w:val="center"/>
              <w:rPr>
                <w:color w:val="auto"/>
                <w:kern w:val="2"/>
                <w:sz w:val="24"/>
                <w:szCs w:val="24"/>
                <w:highlight w:val="none"/>
              </w:rPr>
            </w:pPr>
            <w:r>
              <w:rPr>
                <w:rFonts w:hint="eastAsia"/>
                <w:color w:val="auto"/>
                <w:kern w:val="2"/>
                <w:sz w:val="24"/>
                <w:szCs w:val="24"/>
                <w:highlight w:val="none"/>
              </w:rPr>
              <w:t>介入/导管室</w:t>
            </w:r>
          </w:p>
        </w:tc>
        <w:tc>
          <w:tcPr>
            <w:tcW w:w="1208" w:type="dxa"/>
          </w:tcPr>
          <w:p w14:paraId="44D89060">
            <w:pPr>
              <w:pStyle w:val="34"/>
              <w:spacing w:after="0"/>
              <w:ind w:firstLine="0"/>
              <w:jc w:val="center"/>
              <w:rPr>
                <w:rFonts w:hint="eastAsia" w:eastAsia="宋体"/>
                <w:color w:val="auto"/>
                <w:kern w:val="2"/>
                <w:sz w:val="24"/>
                <w:szCs w:val="24"/>
                <w:highlight w:val="none"/>
                <w:lang w:eastAsia="zh-CN"/>
              </w:rPr>
            </w:pPr>
            <w:r>
              <w:rPr>
                <w:rFonts w:hint="eastAsia"/>
                <w:color w:val="auto"/>
                <w:kern w:val="2"/>
                <w:sz w:val="24"/>
                <w:szCs w:val="24"/>
                <w:highlight w:val="none"/>
                <w:lang w:val="en-US" w:eastAsia="zh-CN"/>
              </w:rPr>
              <w:t>1</w:t>
            </w:r>
          </w:p>
        </w:tc>
        <w:tc>
          <w:tcPr>
            <w:tcW w:w="2864" w:type="dxa"/>
          </w:tcPr>
          <w:p w14:paraId="6A67C109">
            <w:pPr>
              <w:pStyle w:val="34"/>
              <w:spacing w:after="0"/>
              <w:ind w:firstLine="0"/>
              <w:jc w:val="center"/>
              <w:rPr>
                <w:color w:val="auto"/>
                <w:kern w:val="2"/>
                <w:sz w:val="24"/>
                <w:szCs w:val="24"/>
                <w:highlight w:val="none"/>
              </w:rPr>
            </w:pPr>
          </w:p>
        </w:tc>
      </w:tr>
      <w:tr w14:paraId="341F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4396A4DA">
            <w:pPr>
              <w:pStyle w:val="34"/>
              <w:spacing w:after="0"/>
              <w:ind w:firstLine="0"/>
              <w:jc w:val="center"/>
              <w:rPr>
                <w:color w:val="auto"/>
                <w:kern w:val="2"/>
                <w:sz w:val="24"/>
                <w:szCs w:val="24"/>
                <w:highlight w:val="none"/>
              </w:rPr>
            </w:pPr>
            <w:r>
              <w:rPr>
                <w:rFonts w:hint="eastAsia"/>
                <w:color w:val="auto"/>
                <w:kern w:val="2"/>
                <w:sz w:val="24"/>
                <w:szCs w:val="24"/>
                <w:highlight w:val="none"/>
              </w:rPr>
              <w:t>5</w:t>
            </w:r>
          </w:p>
        </w:tc>
        <w:tc>
          <w:tcPr>
            <w:tcW w:w="2960" w:type="dxa"/>
          </w:tcPr>
          <w:p w14:paraId="390525B0">
            <w:pPr>
              <w:pStyle w:val="34"/>
              <w:spacing w:after="0"/>
              <w:ind w:firstLine="0"/>
              <w:jc w:val="center"/>
              <w:rPr>
                <w:color w:val="auto"/>
                <w:kern w:val="2"/>
                <w:sz w:val="24"/>
                <w:szCs w:val="24"/>
                <w:highlight w:val="none"/>
              </w:rPr>
            </w:pPr>
            <w:r>
              <w:rPr>
                <w:rFonts w:hint="eastAsia"/>
                <w:color w:val="auto"/>
                <w:kern w:val="2"/>
                <w:sz w:val="24"/>
                <w:szCs w:val="24"/>
                <w:highlight w:val="none"/>
              </w:rPr>
              <w:t>手术室、重症医学科</w:t>
            </w:r>
          </w:p>
        </w:tc>
        <w:tc>
          <w:tcPr>
            <w:tcW w:w="1208" w:type="dxa"/>
          </w:tcPr>
          <w:p w14:paraId="083FFA3C">
            <w:pPr>
              <w:pStyle w:val="34"/>
              <w:spacing w:after="0"/>
              <w:ind w:firstLine="0"/>
              <w:jc w:val="center"/>
              <w:rPr>
                <w:color w:val="auto"/>
                <w:kern w:val="2"/>
                <w:sz w:val="24"/>
                <w:szCs w:val="24"/>
                <w:highlight w:val="none"/>
              </w:rPr>
            </w:pPr>
            <w:r>
              <w:rPr>
                <w:rFonts w:hint="eastAsia"/>
                <w:color w:val="auto"/>
                <w:kern w:val="2"/>
                <w:sz w:val="24"/>
                <w:szCs w:val="24"/>
                <w:highlight w:val="none"/>
              </w:rPr>
              <w:t>4</w:t>
            </w:r>
          </w:p>
        </w:tc>
        <w:tc>
          <w:tcPr>
            <w:tcW w:w="2864" w:type="dxa"/>
          </w:tcPr>
          <w:p w14:paraId="669AD48E">
            <w:pPr>
              <w:pStyle w:val="34"/>
              <w:spacing w:after="0"/>
              <w:ind w:firstLine="0"/>
              <w:jc w:val="center"/>
              <w:rPr>
                <w:color w:val="auto"/>
                <w:kern w:val="2"/>
                <w:sz w:val="24"/>
                <w:szCs w:val="24"/>
                <w:highlight w:val="none"/>
              </w:rPr>
            </w:pPr>
          </w:p>
        </w:tc>
      </w:tr>
      <w:tr w14:paraId="57F8D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57DA8A39">
            <w:pPr>
              <w:pStyle w:val="34"/>
              <w:spacing w:after="0"/>
              <w:ind w:firstLine="0"/>
              <w:jc w:val="center"/>
              <w:rPr>
                <w:color w:val="auto"/>
                <w:kern w:val="2"/>
                <w:sz w:val="24"/>
                <w:szCs w:val="24"/>
                <w:highlight w:val="none"/>
              </w:rPr>
            </w:pPr>
            <w:r>
              <w:rPr>
                <w:rFonts w:hint="eastAsia"/>
                <w:color w:val="auto"/>
                <w:kern w:val="2"/>
                <w:sz w:val="24"/>
                <w:szCs w:val="24"/>
                <w:highlight w:val="none"/>
              </w:rPr>
              <w:t>6</w:t>
            </w:r>
          </w:p>
        </w:tc>
        <w:tc>
          <w:tcPr>
            <w:tcW w:w="2960" w:type="dxa"/>
          </w:tcPr>
          <w:p w14:paraId="5F2376CA">
            <w:pPr>
              <w:pStyle w:val="34"/>
              <w:spacing w:after="0"/>
              <w:ind w:firstLine="0"/>
              <w:jc w:val="center"/>
              <w:rPr>
                <w:color w:val="auto"/>
                <w:kern w:val="2"/>
                <w:sz w:val="24"/>
                <w:szCs w:val="24"/>
                <w:highlight w:val="none"/>
              </w:rPr>
            </w:pPr>
            <w:r>
              <w:rPr>
                <w:rFonts w:hint="eastAsia"/>
                <w:color w:val="auto"/>
                <w:kern w:val="2"/>
                <w:sz w:val="24"/>
                <w:szCs w:val="24"/>
                <w:highlight w:val="none"/>
              </w:rPr>
              <w:t>内镜中心</w:t>
            </w:r>
          </w:p>
        </w:tc>
        <w:tc>
          <w:tcPr>
            <w:tcW w:w="1208" w:type="dxa"/>
          </w:tcPr>
          <w:p w14:paraId="2ECE4E45">
            <w:pPr>
              <w:pStyle w:val="34"/>
              <w:spacing w:after="0"/>
              <w:ind w:firstLine="0"/>
              <w:jc w:val="center"/>
              <w:rPr>
                <w:color w:val="auto"/>
                <w:kern w:val="2"/>
                <w:sz w:val="24"/>
                <w:szCs w:val="24"/>
                <w:highlight w:val="none"/>
              </w:rPr>
            </w:pPr>
            <w:r>
              <w:rPr>
                <w:rFonts w:hint="eastAsia"/>
                <w:color w:val="auto"/>
                <w:kern w:val="2"/>
                <w:sz w:val="24"/>
                <w:szCs w:val="24"/>
                <w:highlight w:val="none"/>
              </w:rPr>
              <w:t>2</w:t>
            </w:r>
          </w:p>
        </w:tc>
        <w:tc>
          <w:tcPr>
            <w:tcW w:w="2864" w:type="dxa"/>
          </w:tcPr>
          <w:p w14:paraId="253AA42C">
            <w:pPr>
              <w:pStyle w:val="34"/>
              <w:spacing w:after="0"/>
              <w:ind w:firstLine="0"/>
              <w:jc w:val="center"/>
              <w:rPr>
                <w:color w:val="auto"/>
                <w:kern w:val="2"/>
                <w:sz w:val="24"/>
                <w:szCs w:val="24"/>
                <w:highlight w:val="none"/>
              </w:rPr>
            </w:pPr>
          </w:p>
        </w:tc>
      </w:tr>
      <w:tr w14:paraId="038DD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406D5B01">
            <w:pPr>
              <w:pStyle w:val="34"/>
              <w:spacing w:after="0"/>
              <w:ind w:firstLine="0"/>
              <w:jc w:val="center"/>
              <w:rPr>
                <w:color w:val="auto"/>
                <w:kern w:val="2"/>
                <w:sz w:val="24"/>
                <w:szCs w:val="24"/>
                <w:highlight w:val="none"/>
              </w:rPr>
            </w:pPr>
            <w:r>
              <w:rPr>
                <w:rFonts w:hint="eastAsia"/>
                <w:color w:val="auto"/>
                <w:kern w:val="2"/>
                <w:sz w:val="24"/>
                <w:szCs w:val="24"/>
                <w:highlight w:val="none"/>
              </w:rPr>
              <w:t>7</w:t>
            </w:r>
          </w:p>
        </w:tc>
        <w:tc>
          <w:tcPr>
            <w:tcW w:w="2960" w:type="dxa"/>
          </w:tcPr>
          <w:p w14:paraId="3DA32F5E">
            <w:pPr>
              <w:pStyle w:val="34"/>
              <w:spacing w:after="0"/>
              <w:ind w:firstLine="0"/>
              <w:jc w:val="center"/>
              <w:rPr>
                <w:rFonts w:hint="eastAsia" w:eastAsia="宋体"/>
                <w:color w:val="auto"/>
                <w:kern w:val="2"/>
                <w:sz w:val="24"/>
                <w:szCs w:val="24"/>
                <w:highlight w:val="none"/>
                <w:lang w:val="en-US" w:eastAsia="zh-CN"/>
              </w:rPr>
            </w:pPr>
            <w:r>
              <w:rPr>
                <w:rFonts w:hint="eastAsia"/>
                <w:color w:val="auto"/>
                <w:kern w:val="2"/>
                <w:sz w:val="24"/>
                <w:szCs w:val="24"/>
                <w:highlight w:val="none"/>
              </w:rPr>
              <w:t>检验、输血、病理</w:t>
            </w:r>
            <w:r>
              <w:rPr>
                <w:rFonts w:hint="eastAsia"/>
                <w:color w:val="auto"/>
                <w:kern w:val="2"/>
                <w:sz w:val="24"/>
                <w:szCs w:val="24"/>
                <w:highlight w:val="none"/>
                <w:lang w:val="en-US" w:eastAsia="zh-CN"/>
              </w:rPr>
              <w:t>科</w:t>
            </w:r>
          </w:p>
        </w:tc>
        <w:tc>
          <w:tcPr>
            <w:tcW w:w="1208" w:type="dxa"/>
          </w:tcPr>
          <w:p w14:paraId="54403F4D">
            <w:pPr>
              <w:pStyle w:val="34"/>
              <w:spacing w:after="0"/>
              <w:ind w:firstLine="0"/>
              <w:jc w:val="center"/>
              <w:rPr>
                <w:color w:val="auto"/>
                <w:kern w:val="2"/>
                <w:sz w:val="24"/>
                <w:szCs w:val="24"/>
                <w:highlight w:val="none"/>
              </w:rPr>
            </w:pPr>
            <w:r>
              <w:rPr>
                <w:rFonts w:hint="eastAsia"/>
                <w:color w:val="auto"/>
                <w:kern w:val="2"/>
                <w:sz w:val="24"/>
                <w:szCs w:val="24"/>
                <w:highlight w:val="none"/>
              </w:rPr>
              <w:t>4</w:t>
            </w:r>
          </w:p>
        </w:tc>
        <w:tc>
          <w:tcPr>
            <w:tcW w:w="2864" w:type="dxa"/>
          </w:tcPr>
          <w:p w14:paraId="3C48A124">
            <w:pPr>
              <w:pStyle w:val="34"/>
              <w:spacing w:after="0"/>
              <w:ind w:firstLine="0"/>
              <w:jc w:val="center"/>
              <w:rPr>
                <w:color w:val="auto"/>
                <w:kern w:val="2"/>
                <w:sz w:val="24"/>
                <w:szCs w:val="24"/>
                <w:highlight w:val="none"/>
              </w:rPr>
            </w:pPr>
          </w:p>
        </w:tc>
      </w:tr>
      <w:tr w14:paraId="455AC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2F8D1972">
            <w:pPr>
              <w:pStyle w:val="34"/>
              <w:spacing w:after="0"/>
              <w:ind w:firstLine="0"/>
              <w:jc w:val="center"/>
              <w:rPr>
                <w:color w:val="auto"/>
                <w:kern w:val="2"/>
                <w:sz w:val="24"/>
                <w:szCs w:val="24"/>
                <w:highlight w:val="none"/>
              </w:rPr>
            </w:pPr>
            <w:r>
              <w:rPr>
                <w:rFonts w:hint="eastAsia"/>
                <w:color w:val="auto"/>
                <w:kern w:val="2"/>
                <w:sz w:val="24"/>
                <w:szCs w:val="24"/>
                <w:highlight w:val="none"/>
              </w:rPr>
              <w:t>8</w:t>
            </w:r>
          </w:p>
        </w:tc>
        <w:tc>
          <w:tcPr>
            <w:tcW w:w="2960" w:type="dxa"/>
          </w:tcPr>
          <w:p w14:paraId="4FD4C83C">
            <w:pPr>
              <w:pStyle w:val="34"/>
              <w:spacing w:after="0"/>
              <w:ind w:firstLine="0"/>
              <w:jc w:val="center"/>
              <w:rPr>
                <w:color w:val="auto"/>
                <w:kern w:val="2"/>
                <w:sz w:val="24"/>
                <w:szCs w:val="24"/>
                <w:highlight w:val="none"/>
              </w:rPr>
            </w:pPr>
            <w:r>
              <w:rPr>
                <w:rFonts w:hint="eastAsia"/>
                <w:color w:val="auto"/>
                <w:kern w:val="2"/>
                <w:sz w:val="24"/>
                <w:szCs w:val="24"/>
                <w:highlight w:val="none"/>
              </w:rPr>
              <w:t>血透室</w:t>
            </w:r>
          </w:p>
        </w:tc>
        <w:tc>
          <w:tcPr>
            <w:tcW w:w="1208" w:type="dxa"/>
          </w:tcPr>
          <w:p w14:paraId="7B7AE76E">
            <w:pPr>
              <w:pStyle w:val="34"/>
              <w:spacing w:after="0"/>
              <w:ind w:firstLine="0"/>
              <w:jc w:val="center"/>
              <w:rPr>
                <w:color w:val="auto"/>
                <w:kern w:val="2"/>
                <w:sz w:val="24"/>
                <w:szCs w:val="24"/>
                <w:highlight w:val="none"/>
              </w:rPr>
            </w:pPr>
            <w:r>
              <w:rPr>
                <w:color w:val="auto"/>
                <w:kern w:val="2"/>
                <w:sz w:val="24"/>
                <w:szCs w:val="24"/>
                <w:highlight w:val="none"/>
              </w:rPr>
              <w:t>1</w:t>
            </w:r>
          </w:p>
        </w:tc>
        <w:tc>
          <w:tcPr>
            <w:tcW w:w="2864" w:type="dxa"/>
          </w:tcPr>
          <w:p w14:paraId="7536A297">
            <w:pPr>
              <w:pStyle w:val="34"/>
              <w:spacing w:after="0"/>
              <w:ind w:firstLine="0"/>
              <w:jc w:val="center"/>
              <w:rPr>
                <w:color w:val="auto"/>
                <w:kern w:val="2"/>
                <w:sz w:val="24"/>
                <w:szCs w:val="24"/>
                <w:highlight w:val="none"/>
              </w:rPr>
            </w:pPr>
          </w:p>
        </w:tc>
      </w:tr>
      <w:tr w14:paraId="41E8E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4139CFF6">
            <w:pPr>
              <w:pStyle w:val="34"/>
              <w:spacing w:after="0"/>
              <w:ind w:firstLine="0"/>
              <w:jc w:val="center"/>
              <w:rPr>
                <w:rFonts w:hint="eastAsia" w:eastAsia="宋体"/>
                <w:color w:val="auto"/>
                <w:kern w:val="2"/>
                <w:sz w:val="24"/>
                <w:szCs w:val="24"/>
                <w:highlight w:val="none"/>
                <w:lang w:val="en-US" w:eastAsia="zh-CN"/>
              </w:rPr>
            </w:pPr>
            <w:r>
              <w:rPr>
                <w:rFonts w:hint="eastAsia"/>
                <w:color w:val="auto"/>
                <w:kern w:val="2"/>
                <w:sz w:val="24"/>
                <w:szCs w:val="24"/>
                <w:highlight w:val="none"/>
                <w:lang w:val="en-US" w:eastAsia="zh-CN"/>
              </w:rPr>
              <w:t>9</w:t>
            </w:r>
          </w:p>
        </w:tc>
        <w:tc>
          <w:tcPr>
            <w:tcW w:w="2960" w:type="dxa"/>
          </w:tcPr>
          <w:p w14:paraId="269C1DC3">
            <w:pPr>
              <w:pStyle w:val="34"/>
              <w:spacing w:after="0"/>
              <w:ind w:firstLine="0"/>
              <w:jc w:val="center"/>
              <w:rPr>
                <w:color w:val="auto"/>
                <w:kern w:val="2"/>
                <w:sz w:val="24"/>
                <w:szCs w:val="24"/>
                <w:highlight w:val="none"/>
              </w:rPr>
            </w:pPr>
            <w:r>
              <w:rPr>
                <w:rFonts w:hint="eastAsia"/>
                <w:color w:val="auto"/>
                <w:kern w:val="2"/>
                <w:sz w:val="24"/>
                <w:szCs w:val="24"/>
                <w:highlight w:val="none"/>
              </w:rPr>
              <w:t>生殖中心</w:t>
            </w:r>
          </w:p>
        </w:tc>
        <w:tc>
          <w:tcPr>
            <w:tcW w:w="1208" w:type="dxa"/>
          </w:tcPr>
          <w:p w14:paraId="0A2FFF18">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864" w:type="dxa"/>
          </w:tcPr>
          <w:p w14:paraId="07F5A8AF">
            <w:pPr>
              <w:pStyle w:val="34"/>
              <w:spacing w:after="0"/>
              <w:ind w:firstLine="0"/>
              <w:jc w:val="center"/>
              <w:rPr>
                <w:color w:val="auto"/>
                <w:kern w:val="2"/>
                <w:sz w:val="24"/>
                <w:szCs w:val="24"/>
                <w:highlight w:val="none"/>
              </w:rPr>
            </w:pPr>
          </w:p>
        </w:tc>
      </w:tr>
      <w:tr w14:paraId="28D6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7AB05420">
            <w:pPr>
              <w:pStyle w:val="34"/>
              <w:spacing w:after="0"/>
              <w:ind w:firstLine="0"/>
              <w:jc w:val="center"/>
              <w:rPr>
                <w:rFonts w:hint="eastAsia" w:eastAsia="宋体"/>
                <w:color w:val="auto"/>
                <w:kern w:val="2"/>
                <w:sz w:val="24"/>
                <w:szCs w:val="24"/>
                <w:highlight w:val="none"/>
                <w:lang w:val="en-US" w:eastAsia="zh-CN"/>
              </w:rPr>
            </w:pPr>
            <w:r>
              <w:rPr>
                <w:rFonts w:hint="eastAsia"/>
                <w:color w:val="auto"/>
                <w:kern w:val="2"/>
                <w:sz w:val="24"/>
                <w:szCs w:val="24"/>
                <w:highlight w:val="none"/>
              </w:rPr>
              <w:t>1</w:t>
            </w:r>
            <w:r>
              <w:rPr>
                <w:rFonts w:hint="eastAsia"/>
                <w:color w:val="auto"/>
                <w:kern w:val="2"/>
                <w:sz w:val="24"/>
                <w:szCs w:val="24"/>
                <w:highlight w:val="none"/>
                <w:lang w:val="en-US" w:eastAsia="zh-CN"/>
              </w:rPr>
              <w:t>0</w:t>
            </w:r>
          </w:p>
        </w:tc>
        <w:tc>
          <w:tcPr>
            <w:tcW w:w="2960" w:type="dxa"/>
          </w:tcPr>
          <w:p w14:paraId="10784E4F">
            <w:pPr>
              <w:pStyle w:val="34"/>
              <w:spacing w:after="0"/>
              <w:ind w:firstLine="0"/>
              <w:jc w:val="center"/>
              <w:rPr>
                <w:color w:val="auto"/>
                <w:kern w:val="2"/>
                <w:sz w:val="24"/>
                <w:szCs w:val="24"/>
                <w:highlight w:val="none"/>
              </w:rPr>
            </w:pPr>
            <w:r>
              <w:rPr>
                <w:rFonts w:hint="eastAsia"/>
                <w:color w:val="auto"/>
                <w:kern w:val="2"/>
                <w:sz w:val="24"/>
                <w:szCs w:val="24"/>
                <w:highlight w:val="none"/>
              </w:rPr>
              <w:t>后勤</w:t>
            </w:r>
            <w:r>
              <w:rPr>
                <w:rFonts w:hint="eastAsia"/>
                <w:color w:val="auto"/>
                <w:kern w:val="2"/>
                <w:sz w:val="24"/>
                <w:szCs w:val="24"/>
                <w:highlight w:val="none"/>
                <w:lang w:val="en-US" w:eastAsia="zh-CN"/>
              </w:rPr>
              <w:t>物资</w:t>
            </w:r>
          </w:p>
        </w:tc>
        <w:tc>
          <w:tcPr>
            <w:tcW w:w="1208" w:type="dxa"/>
          </w:tcPr>
          <w:p w14:paraId="22D479F2">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864" w:type="dxa"/>
          </w:tcPr>
          <w:p w14:paraId="39EE29E0">
            <w:pPr>
              <w:pStyle w:val="34"/>
              <w:spacing w:after="0"/>
              <w:ind w:firstLine="0"/>
              <w:jc w:val="center"/>
              <w:rPr>
                <w:color w:val="auto"/>
                <w:kern w:val="2"/>
                <w:sz w:val="24"/>
                <w:szCs w:val="24"/>
                <w:highlight w:val="none"/>
              </w:rPr>
            </w:pPr>
          </w:p>
        </w:tc>
      </w:tr>
    </w:tbl>
    <w:p w14:paraId="7950F76A">
      <w:pPr>
        <w:pStyle w:val="34"/>
        <w:rPr>
          <w:rFonts w:hint="eastAsia"/>
          <w:color w:val="auto"/>
          <w:sz w:val="24"/>
          <w:szCs w:val="24"/>
          <w:highlight w:val="none"/>
        </w:rPr>
      </w:pPr>
      <w:r>
        <w:rPr>
          <w:rFonts w:hint="eastAsia"/>
          <w:color w:val="auto"/>
          <w:sz w:val="24"/>
          <w:szCs w:val="24"/>
          <w:highlight w:val="none"/>
        </w:rPr>
        <w:t>以上表格内容为我院现有已知建设区域</w:t>
      </w:r>
      <w:r>
        <w:rPr>
          <w:rFonts w:hint="eastAsia"/>
          <w:color w:val="auto"/>
          <w:sz w:val="24"/>
          <w:szCs w:val="24"/>
          <w:highlight w:val="none"/>
          <w:lang w:eastAsia="zh-CN"/>
        </w:rPr>
        <w:t>，</w:t>
      </w:r>
      <w:r>
        <w:rPr>
          <w:rFonts w:hint="eastAsia"/>
          <w:color w:val="auto"/>
          <w:sz w:val="24"/>
          <w:szCs w:val="24"/>
          <w:highlight w:val="none"/>
          <w:lang w:val="en-US" w:eastAsia="zh-CN"/>
        </w:rPr>
        <w:t>合同履行</w:t>
      </w:r>
      <w:r>
        <w:rPr>
          <w:rFonts w:hint="eastAsia"/>
          <w:color w:val="auto"/>
          <w:kern w:val="2"/>
          <w:sz w:val="24"/>
          <w:szCs w:val="24"/>
          <w:highlight w:val="none"/>
          <w:lang w:eastAsia="zh-CN"/>
        </w:rPr>
        <w:t>以实际</w:t>
      </w:r>
      <w:r>
        <w:rPr>
          <w:rFonts w:hint="eastAsia"/>
          <w:color w:val="auto"/>
          <w:kern w:val="2"/>
          <w:sz w:val="24"/>
          <w:szCs w:val="24"/>
          <w:highlight w:val="none"/>
          <w:lang w:val="en-US" w:eastAsia="zh-CN"/>
        </w:rPr>
        <w:t>运行名称及数量</w:t>
      </w:r>
      <w:r>
        <w:rPr>
          <w:rFonts w:hint="eastAsia"/>
          <w:color w:val="auto"/>
          <w:kern w:val="2"/>
          <w:sz w:val="24"/>
          <w:szCs w:val="24"/>
          <w:highlight w:val="none"/>
          <w:lang w:eastAsia="zh-CN"/>
        </w:rPr>
        <w:t>为准（</w:t>
      </w:r>
      <w:r>
        <w:rPr>
          <w:rFonts w:hint="eastAsia"/>
          <w:color w:val="auto"/>
          <w:kern w:val="2"/>
          <w:sz w:val="24"/>
          <w:szCs w:val="24"/>
          <w:highlight w:val="none"/>
          <w:lang w:val="en-US" w:eastAsia="zh-CN"/>
        </w:rPr>
        <w:t>含合同期内新增加科室</w:t>
      </w:r>
      <w:r>
        <w:rPr>
          <w:rFonts w:hint="eastAsia"/>
          <w:color w:val="auto"/>
          <w:kern w:val="2"/>
          <w:sz w:val="24"/>
          <w:szCs w:val="24"/>
          <w:highlight w:val="none"/>
          <w:lang w:eastAsia="zh-CN"/>
        </w:rPr>
        <w:t>）；</w:t>
      </w:r>
    </w:p>
    <w:p w14:paraId="40C15A23">
      <w:pPr>
        <w:pStyle w:val="34"/>
        <w:rPr>
          <w:color w:val="auto"/>
          <w:sz w:val="24"/>
          <w:szCs w:val="24"/>
          <w:highlight w:val="none"/>
        </w:rPr>
      </w:pPr>
      <w:r>
        <w:rPr>
          <w:rFonts w:hint="eastAsia"/>
          <w:color w:val="auto"/>
          <w:sz w:val="24"/>
          <w:szCs w:val="24"/>
          <w:highlight w:val="none"/>
          <w:lang w:val="en-US" w:eastAsia="zh-CN"/>
        </w:rPr>
        <w:t>马店分院（院区）以具体开放科室为准；</w:t>
      </w:r>
    </w:p>
    <w:p w14:paraId="38F91AD8">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7、设备设施配置：主要包括货架、物流作业工具（周转箱、拣货车、推车、配送车等</w:t>
      </w:r>
      <w:r>
        <w:rPr>
          <w:rFonts w:ascii="宋体" w:hAnsi="宋体" w:cs="宋体"/>
          <w:color w:val="auto"/>
          <w:sz w:val="24"/>
          <w:szCs w:val="24"/>
          <w:highlight w:val="none"/>
        </w:rPr>
        <w:t>)</w:t>
      </w:r>
      <w:r>
        <w:rPr>
          <w:rFonts w:hint="eastAsia" w:ascii="宋体" w:hAnsi="宋体" w:cs="宋体"/>
          <w:color w:val="auto"/>
          <w:sz w:val="24"/>
          <w:szCs w:val="24"/>
          <w:highlight w:val="none"/>
        </w:rPr>
        <w:t>、信息设备等；</w:t>
      </w:r>
    </w:p>
    <w:p w14:paraId="4F1BE8C3">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）中心库：货架、加工台、库内推车、拣货箱、下送箱、一体机、条码打印机、激光打印机、手持</w:t>
      </w:r>
      <w:r>
        <w:rPr>
          <w:rFonts w:ascii="宋体" w:hAnsi="宋体" w:cs="宋体"/>
          <w:color w:val="auto"/>
          <w:sz w:val="24"/>
          <w:szCs w:val="24"/>
          <w:highlight w:val="none"/>
        </w:rPr>
        <w:t>PDA</w:t>
      </w:r>
      <w:r>
        <w:rPr>
          <w:rFonts w:hint="eastAsia" w:ascii="宋体" w:hAnsi="宋体" w:cs="宋体"/>
          <w:color w:val="auto"/>
          <w:sz w:val="24"/>
          <w:szCs w:val="24"/>
          <w:highlight w:val="none"/>
        </w:rPr>
        <w:t>、条码阅读器、作业包材等；</w:t>
      </w:r>
    </w:p>
    <w:p w14:paraId="4E360D70">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）科室库：货架、一体机、手持</w:t>
      </w:r>
      <w:r>
        <w:rPr>
          <w:rFonts w:ascii="宋体" w:hAnsi="宋体" w:cs="宋体"/>
          <w:color w:val="auto"/>
          <w:sz w:val="24"/>
          <w:szCs w:val="24"/>
          <w:highlight w:val="none"/>
        </w:rPr>
        <w:t>PDA</w:t>
      </w:r>
      <w:r>
        <w:rPr>
          <w:rFonts w:hint="eastAsia" w:ascii="宋体" w:hAnsi="宋体" w:cs="宋体"/>
          <w:color w:val="auto"/>
          <w:sz w:val="24"/>
          <w:szCs w:val="24"/>
          <w:highlight w:val="none"/>
        </w:rPr>
        <w:t>等；</w:t>
      </w:r>
    </w:p>
    <w:p w14:paraId="20D89FB2">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）手术室：智能柜、库内推车、套包箱、激光打印机、一体机、手持</w:t>
      </w:r>
      <w:r>
        <w:rPr>
          <w:rFonts w:ascii="宋体" w:hAnsi="宋体" w:cs="宋体"/>
          <w:color w:val="auto"/>
          <w:sz w:val="24"/>
          <w:szCs w:val="24"/>
          <w:highlight w:val="none"/>
        </w:rPr>
        <w:t>PDA</w:t>
      </w:r>
      <w:r>
        <w:rPr>
          <w:rFonts w:hint="eastAsia" w:ascii="宋体" w:hAnsi="宋体" w:cs="宋体"/>
          <w:color w:val="auto"/>
          <w:sz w:val="24"/>
          <w:szCs w:val="24"/>
          <w:highlight w:val="none"/>
        </w:rPr>
        <w:t>、条码阅读器、作业包材等；</w:t>
      </w:r>
    </w:p>
    <w:p w14:paraId="7C22B9A9">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（4）介入</w:t>
      </w:r>
      <w:r>
        <w:rPr>
          <w:rFonts w:ascii="宋体" w:hAnsi="宋体" w:cs="宋体"/>
          <w:color w:val="auto"/>
          <w:sz w:val="24"/>
          <w:szCs w:val="24"/>
          <w:highlight w:val="none"/>
        </w:rPr>
        <w:t>/</w:t>
      </w:r>
      <w:r>
        <w:rPr>
          <w:rFonts w:hint="eastAsia" w:ascii="宋体" w:hAnsi="宋体" w:cs="宋体"/>
          <w:color w:val="auto"/>
          <w:sz w:val="24"/>
          <w:szCs w:val="24"/>
          <w:highlight w:val="none"/>
        </w:rPr>
        <w:t>导管室：智能柜、一体机、手持</w:t>
      </w:r>
      <w:r>
        <w:rPr>
          <w:rFonts w:ascii="宋体" w:hAnsi="宋体" w:cs="宋体"/>
          <w:color w:val="auto"/>
          <w:sz w:val="24"/>
          <w:szCs w:val="24"/>
          <w:highlight w:val="none"/>
        </w:rPr>
        <w:t>PDA</w:t>
      </w:r>
      <w:r>
        <w:rPr>
          <w:rFonts w:hint="eastAsia" w:ascii="宋体" w:hAnsi="宋体" w:cs="宋体"/>
          <w:color w:val="auto"/>
          <w:sz w:val="24"/>
          <w:szCs w:val="24"/>
          <w:highlight w:val="none"/>
        </w:rPr>
        <w:t>等；</w:t>
      </w:r>
    </w:p>
    <w:p w14:paraId="2FB742C7">
      <w:pPr>
        <w:rPr>
          <w:rFonts w:ascii="宋体" w:hAnsi="宋体" w:cs="宋体"/>
          <w:color w:val="auto"/>
          <w:sz w:val="24"/>
          <w:szCs w:val="24"/>
          <w:highlight w:val="none"/>
        </w:rPr>
      </w:pPr>
      <w:r>
        <w:rPr>
          <w:rFonts w:hint="eastAsia" w:ascii="宋体" w:hAnsi="宋体" w:cs="宋体"/>
          <w:color w:val="auto"/>
          <w:sz w:val="24"/>
          <w:szCs w:val="24"/>
          <w:highlight w:val="none"/>
        </w:rPr>
        <w:t xml:space="preserve">    （5）其他区域根据院方需求配置。</w:t>
      </w:r>
    </w:p>
    <w:p w14:paraId="469245EA">
      <w:pPr>
        <w:pStyle w:val="34"/>
        <w:ind w:firstLine="480" w:firstLineChars="200"/>
        <w:rPr>
          <w:rFonts w:hint="default" w:eastAsia="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8、</w:t>
      </w:r>
      <w:r>
        <w:rPr>
          <w:rFonts w:hint="eastAsia"/>
          <w:color w:val="auto"/>
          <w:sz w:val="24"/>
          <w:szCs w:val="24"/>
          <w:highlight w:val="none"/>
          <w:lang w:eastAsia="zh-CN"/>
        </w:rPr>
        <w:t>本项目要求实现新建信息系统与医院现有业务系统的全面深度对接，</w:t>
      </w:r>
      <w:r>
        <w:rPr>
          <w:rFonts w:hint="eastAsia"/>
          <w:color w:val="auto"/>
          <w:sz w:val="24"/>
          <w:szCs w:val="24"/>
          <w:highlight w:val="none"/>
          <w:lang w:val="en-US" w:eastAsia="zh-CN"/>
        </w:rPr>
        <w:t>确保数据实时交互、业务流程无缝协同,实现闭环管理。</w:t>
      </w:r>
    </w:p>
    <w:p w14:paraId="4AC002BE">
      <w:pPr>
        <w:pStyle w:val="34"/>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二、建设目标：</w:t>
      </w:r>
    </w:p>
    <w:p w14:paraId="76C5E414">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保证院内医用耗材质量安全，保障科室消耗供给及时安全等前提下，进行模式创新，提升院内物流管理形象和服务水平，与国际领先的医疗供应链管理模式接轨，外部实现协同商务，院内物流实现专业化分工，实现各方互利共赢，患者利益最大化，社会效益提升。为医改零差价政策下实现去医院物流管理成本，节约耗材以及践行医改降低耗占比，提供一个优秀的、可落地的医用耗材管理新模式。</w:t>
      </w:r>
    </w:p>
    <w:p w14:paraId="44C7D3C7">
      <w:pPr>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三、基本要求（投标人承诺必须满足，否则做废标处理）：</w:t>
      </w:r>
    </w:p>
    <w:tbl>
      <w:tblPr>
        <w:tblStyle w:val="36"/>
        <w:tblpPr w:leftFromText="180" w:rightFromText="180" w:vertAnchor="text" w:horzAnchor="page" w:tblpX="1331" w:tblpY="527"/>
        <w:tblOverlap w:val="never"/>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7415"/>
        <w:gridCol w:w="1018"/>
      </w:tblGrid>
      <w:tr w14:paraId="5F36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3" w:type="dxa"/>
            <w:vAlign w:val="center"/>
          </w:tcPr>
          <w:p w14:paraId="03D1E616">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序号</w:t>
            </w:r>
          </w:p>
        </w:tc>
        <w:tc>
          <w:tcPr>
            <w:tcW w:w="7415" w:type="dxa"/>
          </w:tcPr>
          <w:p w14:paraId="68DE8E1D">
            <w:pPr>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具体内容</w:t>
            </w:r>
          </w:p>
        </w:tc>
        <w:tc>
          <w:tcPr>
            <w:tcW w:w="1018" w:type="dxa"/>
          </w:tcPr>
          <w:p w14:paraId="384F455F">
            <w:pPr>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是否响应</w:t>
            </w:r>
          </w:p>
        </w:tc>
      </w:tr>
      <w:tr w14:paraId="728C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23" w:type="dxa"/>
            <w:vAlign w:val="center"/>
          </w:tcPr>
          <w:p w14:paraId="77D51D52">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415" w:type="dxa"/>
          </w:tcPr>
          <w:p w14:paraId="1128260C">
            <w:pP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投标人要为</w:t>
            </w:r>
            <w:r>
              <w:rPr>
                <w:rFonts w:hint="eastAsia" w:ascii="宋体" w:hAnsi="宋体" w:cs="宋体"/>
                <w:color w:val="auto"/>
                <w:sz w:val="24"/>
                <w:szCs w:val="24"/>
                <w:highlight w:val="none"/>
              </w:rPr>
              <w:t>六安市中医院</w:t>
            </w:r>
            <w:r>
              <w:rPr>
                <w:rFonts w:hint="eastAsia" w:ascii="宋体" w:hAnsi="宋体" w:cs="宋体"/>
                <w:color w:val="auto"/>
                <w:kern w:val="0"/>
                <w:sz w:val="24"/>
                <w:szCs w:val="24"/>
                <w:highlight w:val="none"/>
              </w:rPr>
              <w:t>构建一套物资管理系统及新的</w:t>
            </w:r>
            <w:r>
              <w:rPr>
                <w:rFonts w:hint="eastAsia" w:ascii="宋体" w:hAnsi="宋体" w:cs="宋体"/>
                <w:color w:val="auto"/>
                <w:sz w:val="24"/>
                <w:szCs w:val="24"/>
                <w:highlight w:val="none"/>
              </w:rPr>
              <w:t>医用耗材（包</w:t>
            </w:r>
            <w:r>
              <w:rPr>
                <w:rFonts w:hint="eastAsia" w:ascii="宋体" w:hAnsi="宋体"/>
                <w:color w:val="auto"/>
                <w:sz w:val="24"/>
                <w:highlight w:val="none"/>
              </w:rPr>
              <w:t>括医用高值、低值、检验试剂等耗材，后勤物资</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智能化管理模式，有具体的管理办法、制度、标准流程，能够形成高效运营的管理体系</w:t>
            </w:r>
            <w:r>
              <w:rPr>
                <w:rFonts w:hint="eastAsia" w:ascii="宋体" w:hAnsi="宋体" w:cs="宋体"/>
                <w:color w:val="auto"/>
                <w:kern w:val="0"/>
                <w:sz w:val="24"/>
                <w:szCs w:val="24"/>
                <w:highlight w:val="none"/>
                <w:lang w:eastAsia="zh-CN"/>
              </w:rPr>
              <w:t>；</w:t>
            </w:r>
          </w:p>
        </w:tc>
        <w:tc>
          <w:tcPr>
            <w:tcW w:w="1018" w:type="dxa"/>
          </w:tcPr>
          <w:p w14:paraId="705A9438">
            <w:pPr>
              <w:rPr>
                <w:rFonts w:hint="eastAsia" w:ascii="宋体" w:hAnsi="宋体" w:cs="宋体"/>
                <w:color w:val="auto"/>
                <w:kern w:val="0"/>
                <w:sz w:val="24"/>
                <w:szCs w:val="24"/>
                <w:highlight w:val="none"/>
              </w:rPr>
            </w:pPr>
          </w:p>
        </w:tc>
      </w:tr>
      <w:tr w14:paraId="1BCD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23" w:type="dxa"/>
            <w:vAlign w:val="center"/>
          </w:tcPr>
          <w:p w14:paraId="5376DE5C">
            <w:pPr>
              <w:jc w:val="center"/>
              <w:rPr>
                <w:rFonts w:ascii="宋体" w:hAnsi="宋体" w:cs="宋体"/>
                <w:b/>
                <w:bCs/>
                <w:color w:val="auto"/>
                <w:sz w:val="24"/>
                <w:szCs w:val="24"/>
                <w:highlight w:val="none"/>
              </w:rPr>
            </w:pPr>
            <w:r>
              <w:rPr>
                <w:rFonts w:hint="eastAsia" w:ascii="宋体" w:hAnsi="宋体" w:cs="宋体"/>
                <w:color w:val="auto"/>
                <w:sz w:val="24"/>
                <w:szCs w:val="24"/>
                <w:highlight w:val="none"/>
              </w:rPr>
              <w:t>2</w:t>
            </w:r>
          </w:p>
        </w:tc>
        <w:tc>
          <w:tcPr>
            <w:tcW w:w="7415" w:type="dxa"/>
          </w:tcPr>
          <w:p w14:paraId="0DA547E6">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为医院搭建一套满足医院实际管理需求的智能化物资管理平台，该平台能够按医院实际需求，实现与医院平台（包括但不限于HIS）等其他系统无缝对接，满足互联互通评测标准，所有对接费用由中标方承担</w:t>
            </w:r>
            <w:r>
              <w:rPr>
                <w:rFonts w:hint="eastAsia" w:ascii="宋体" w:hAnsi="宋体" w:cs="宋体"/>
                <w:color w:val="auto"/>
                <w:kern w:val="0"/>
                <w:sz w:val="24"/>
                <w:szCs w:val="24"/>
                <w:highlight w:val="none"/>
                <w:lang w:eastAsia="zh-CN"/>
              </w:rPr>
              <w:t>；</w:t>
            </w:r>
          </w:p>
        </w:tc>
        <w:tc>
          <w:tcPr>
            <w:tcW w:w="1018" w:type="dxa"/>
          </w:tcPr>
          <w:p w14:paraId="2C8B3357">
            <w:pPr>
              <w:rPr>
                <w:rFonts w:hint="eastAsia" w:ascii="宋体" w:hAnsi="宋体" w:cs="宋体"/>
                <w:color w:val="auto"/>
                <w:kern w:val="0"/>
                <w:sz w:val="24"/>
                <w:szCs w:val="24"/>
                <w:highlight w:val="none"/>
              </w:rPr>
            </w:pPr>
          </w:p>
        </w:tc>
      </w:tr>
      <w:tr w14:paraId="11CF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23" w:type="dxa"/>
            <w:vAlign w:val="center"/>
          </w:tcPr>
          <w:p w14:paraId="61AEEC09">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7415" w:type="dxa"/>
          </w:tcPr>
          <w:p w14:paraId="187F1734">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投标人要承担医院智能化中心库建设费用，并配置相应的信息及物流设施设备，使其能够满足智能化模式的有效运行</w:t>
            </w:r>
            <w:r>
              <w:rPr>
                <w:rFonts w:hint="eastAsia" w:ascii="宋体" w:hAnsi="宋体" w:cs="宋体"/>
                <w:color w:val="auto"/>
                <w:kern w:val="0"/>
                <w:sz w:val="24"/>
                <w:szCs w:val="24"/>
                <w:highlight w:val="none"/>
                <w:lang w:eastAsia="zh-CN"/>
              </w:rPr>
              <w:t>；</w:t>
            </w:r>
          </w:p>
        </w:tc>
        <w:tc>
          <w:tcPr>
            <w:tcW w:w="1018" w:type="dxa"/>
          </w:tcPr>
          <w:p w14:paraId="6B6F4299">
            <w:pPr>
              <w:rPr>
                <w:rFonts w:hint="eastAsia" w:ascii="宋体" w:hAnsi="宋体" w:cs="宋体"/>
                <w:color w:val="auto"/>
                <w:kern w:val="0"/>
                <w:sz w:val="24"/>
                <w:szCs w:val="24"/>
                <w:highlight w:val="none"/>
              </w:rPr>
            </w:pPr>
          </w:p>
        </w:tc>
      </w:tr>
      <w:tr w14:paraId="0AD2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23" w:type="dxa"/>
            <w:vAlign w:val="center"/>
          </w:tcPr>
          <w:p w14:paraId="7C14CC3A">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7415" w:type="dxa"/>
          </w:tcPr>
          <w:p w14:paraId="25FD06FC">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投标人要承担医院各级消耗点的建设费用，包括现有科室和服务期限内新增科室，使其能够满足智能化模式的有效运行（包括无线网络环境和必要的硬件设施）</w:t>
            </w:r>
            <w:r>
              <w:rPr>
                <w:rFonts w:hint="eastAsia" w:ascii="宋体" w:hAnsi="宋体" w:cs="宋体"/>
                <w:color w:val="auto"/>
                <w:kern w:val="0"/>
                <w:sz w:val="24"/>
                <w:szCs w:val="24"/>
                <w:highlight w:val="none"/>
                <w:lang w:eastAsia="zh-CN"/>
              </w:rPr>
              <w:t>；</w:t>
            </w:r>
          </w:p>
        </w:tc>
        <w:tc>
          <w:tcPr>
            <w:tcW w:w="1018" w:type="dxa"/>
          </w:tcPr>
          <w:p w14:paraId="12EC61BA">
            <w:pPr>
              <w:rPr>
                <w:rFonts w:hint="eastAsia" w:ascii="宋体" w:hAnsi="宋体" w:cs="宋体"/>
                <w:color w:val="auto"/>
                <w:kern w:val="0"/>
                <w:sz w:val="24"/>
                <w:szCs w:val="24"/>
                <w:highlight w:val="none"/>
              </w:rPr>
            </w:pPr>
          </w:p>
        </w:tc>
      </w:tr>
      <w:tr w14:paraId="70C7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23" w:type="dxa"/>
            <w:vAlign w:val="center"/>
          </w:tcPr>
          <w:p w14:paraId="6F015CC5">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7415" w:type="dxa"/>
          </w:tcPr>
          <w:p w14:paraId="2FADCF03">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投标人要为医院物流管理提供服务，保障医院医用耗材采购供给和院内配送，派驻人员主要包括运营管理、物流配送服务人员、技术运维人员</w:t>
            </w:r>
            <w:r>
              <w:rPr>
                <w:rFonts w:hint="eastAsia" w:ascii="宋体" w:hAnsi="宋体" w:cs="宋体"/>
                <w:color w:val="auto"/>
                <w:kern w:val="0"/>
                <w:sz w:val="24"/>
                <w:szCs w:val="24"/>
                <w:highlight w:val="none"/>
                <w:lang w:eastAsia="zh-CN"/>
              </w:rPr>
              <w:t>等；</w:t>
            </w:r>
          </w:p>
        </w:tc>
        <w:tc>
          <w:tcPr>
            <w:tcW w:w="1018" w:type="dxa"/>
          </w:tcPr>
          <w:p w14:paraId="541A7F7D">
            <w:pPr>
              <w:rPr>
                <w:rFonts w:hint="eastAsia" w:ascii="宋体" w:hAnsi="宋体" w:cs="宋体"/>
                <w:color w:val="auto"/>
                <w:kern w:val="0"/>
                <w:sz w:val="24"/>
                <w:szCs w:val="24"/>
                <w:highlight w:val="none"/>
              </w:rPr>
            </w:pPr>
          </w:p>
        </w:tc>
      </w:tr>
      <w:tr w14:paraId="23A8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3" w:type="dxa"/>
            <w:vAlign w:val="center"/>
          </w:tcPr>
          <w:p w14:paraId="39A341E2">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6</w:t>
            </w:r>
          </w:p>
        </w:tc>
        <w:tc>
          <w:tcPr>
            <w:tcW w:w="7415" w:type="dxa"/>
          </w:tcPr>
          <w:p w14:paraId="6778653E">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投标人要为医院建设一套标准化、规范化的质量管理体系、运营管理体系和服务体系</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投标单位承诺对医院的物流服务质量负全责，如因院内物流服务质量出现问题，给医院造成纠纷和经济损失由服务商承担全部责任</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服务商要接受院方的服务考评方案并承担相应的不利后果</w:t>
            </w:r>
            <w:r>
              <w:rPr>
                <w:rFonts w:hint="eastAsia" w:ascii="宋体" w:hAnsi="宋体" w:cs="宋体"/>
                <w:color w:val="auto"/>
                <w:kern w:val="0"/>
                <w:sz w:val="24"/>
                <w:szCs w:val="24"/>
                <w:highlight w:val="none"/>
                <w:lang w:eastAsia="zh-CN"/>
              </w:rPr>
              <w:t>；</w:t>
            </w:r>
          </w:p>
        </w:tc>
        <w:tc>
          <w:tcPr>
            <w:tcW w:w="1018" w:type="dxa"/>
          </w:tcPr>
          <w:p w14:paraId="4F68A42F">
            <w:pPr>
              <w:rPr>
                <w:rFonts w:hint="eastAsia" w:ascii="宋体" w:hAnsi="宋体" w:cs="宋体"/>
                <w:color w:val="auto"/>
                <w:kern w:val="0"/>
                <w:sz w:val="24"/>
                <w:szCs w:val="24"/>
                <w:highlight w:val="none"/>
              </w:rPr>
            </w:pPr>
          </w:p>
        </w:tc>
      </w:tr>
      <w:tr w14:paraId="4668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3" w:type="dxa"/>
            <w:vAlign w:val="center"/>
          </w:tcPr>
          <w:p w14:paraId="1B06B9DB">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7415" w:type="dxa"/>
          </w:tcPr>
          <w:p w14:paraId="0E9BEEEC">
            <w:pP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医院智能化医用耗材物流管理先在主院区实施成功后扩展至</w:t>
            </w:r>
            <w:r>
              <w:rPr>
                <w:rFonts w:hint="eastAsia" w:ascii="宋体" w:hAnsi="宋体" w:cs="宋体"/>
                <w:color w:val="auto"/>
                <w:kern w:val="0"/>
                <w:sz w:val="24"/>
                <w:szCs w:val="24"/>
                <w:highlight w:val="none"/>
                <w:lang w:val="en-US" w:eastAsia="zh-CN"/>
              </w:rPr>
              <w:t>马店</w:t>
            </w:r>
            <w:r>
              <w:rPr>
                <w:rFonts w:hint="eastAsia" w:ascii="宋体" w:hAnsi="宋体" w:cs="宋体"/>
                <w:color w:val="auto"/>
                <w:kern w:val="0"/>
                <w:sz w:val="24"/>
                <w:szCs w:val="24"/>
                <w:highlight w:val="none"/>
              </w:rPr>
              <w:t>院区</w:t>
            </w:r>
            <w:r>
              <w:rPr>
                <w:rFonts w:hint="eastAsia" w:ascii="宋体" w:hAnsi="宋体" w:cs="宋体"/>
                <w:color w:val="auto"/>
                <w:kern w:val="0"/>
                <w:sz w:val="24"/>
                <w:szCs w:val="24"/>
                <w:highlight w:val="none"/>
                <w:lang w:eastAsia="zh-CN"/>
              </w:rPr>
              <w:t>；</w:t>
            </w:r>
          </w:p>
        </w:tc>
        <w:tc>
          <w:tcPr>
            <w:tcW w:w="1018" w:type="dxa"/>
          </w:tcPr>
          <w:p w14:paraId="2C458D5A">
            <w:pPr>
              <w:rPr>
                <w:rFonts w:hint="eastAsia" w:ascii="宋体" w:hAnsi="宋体" w:cs="宋体"/>
                <w:color w:val="auto"/>
                <w:kern w:val="0"/>
                <w:sz w:val="24"/>
                <w:szCs w:val="24"/>
                <w:highlight w:val="none"/>
              </w:rPr>
            </w:pPr>
          </w:p>
        </w:tc>
      </w:tr>
      <w:tr w14:paraId="6D81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3" w:type="dxa"/>
            <w:vAlign w:val="center"/>
          </w:tcPr>
          <w:p w14:paraId="6FC59EDA">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7415" w:type="dxa"/>
          </w:tcPr>
          <w:p w14:paraId="481106C3">
            <w:pPr>
              <w:rPr>
                <w:rFonts w:hint="default" w:ascii="宋体" w:hAnsi="宋体" w:cs="宋体"/>
                <w:color w:val="auto"/>
                <w:kern w:val="0"/>
                <w:sz w:val="24"/>
                <w:szCs w:val="24"/>
                <w:highlight w:val="none"/>
                <w:lang w:val="en-US"/>
              </w:rPr>
            </w:pPr>
            <w:r>
              <w:rPr>
                <w:rFonts w:hint="eastAsia" w:ascii="宋体" w:hAnsi="宋体" w:cs="宋体"/>
                <w:color w:val="auto"/>
                <w:sz w:val="24"/>
                <w:szCs w:val="24"/>
                <w:highlight w:val="none"/>
                <w:lang w:val="en-US" w:eastAsia="zh-CN"/>
              </w:rPr>
              <w:t>SPD管理软件严格遵循反统方系统的监管要求稳定运行；符合三级等保要求；满足智慧医疗评级五级和互联互通成熟度测评四甲要求并配合做好相关工作。</w:t>
            </w:r>
          </w:p>
        </w:tc>
        <w:tc>
          <w:tcPr>
            <w:tcW w:w="1018" w:type="dxa"/>
          </w:tcPr>
          <w:p w14:paraId="48191F4B">
            <w:pPr>
              <w:rPr>
                <w:rFonts w:hint="eastAsia" w:ascii="宋体" w:hAnsi="宋体" w:cs="宋体"/>
                <w:color w:val="auto"/>
                <w:sz w:val="24"/>
                <w:szCs w:val="24"/>
                <w:highlight w:val="none"/>
                <w:lang w:val="en-US" w:eastAsia="zh-CN"/>
              </w:rPr>
            </w:pPr>
          </w:p>
        </w:tc>
      </w:tr>
    </w:tbl>
    <w:p w14:paraId="2EE383C4">
      <w:pPr>
        <w:rPr>
          <w:rFonts w:ascii="宋体" w:hAnsi="宋体" w:cs="宋体"/>
          <w:b/>
          <w:bCs/>
          <w:color w:val="auto"/>
          <w:sz w:val="24"/>
          <w:szCs w:val="24"/>
          <w:highlight w:val="none"/>
        </w:rPr>
      </w:pPr>
      <w:r>
        <w:rPr>
          <w:rFonts w:ascii="宋体" w:hAnsi="宋体" w:cs="宋体"/>
          <w:b/>
          <w:bCs/>
          <w:color w:val="auto"/>
          <w:sz w:val="24"/>
          <w:szCs w:val="24"/>
          <w:highlight w:val="none"/>
        </w:rPr>
        <w:br w:type="page"/>
      </w:r>
      <w:r>
        <w:rPr>
          <w:rFonts w:hint="eastAsia" w:ascii="宋体" w:hAnsi="宋体" w:cs="宋体"/>
          <w:b/>
          <w:bCs/>
          <w:color w:val="auto"/>
          <w:sz w:val="24"/>
          <w:szCs w:val="24"/>
          <w:highlight w:val="none"/>
        </w:rPr>
        <w:t>四、具体服务内容及要求：</w:t>
      </w:r>
    </w:p>
    <w:tbl>
      <w:tblPr>
        <w:tblStyle w:val="36"/>
        <w:tblW w:w="47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091"/>
        <w:gridCol w:w="1073"/>
      </w:tblGrid>
      <w:tr w14:paraId="7702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67BE1D4">
            <w:pPr>
              <w:rPr>
                <w:b/>
                <w:bCs/>
                <w:color w:val="auto"/>
                <w:sz w:val="24"/>
                <w:szCs w:val="24"/>
                <w:highlight w:val="none"/>
              </w:rPr>
            </w:pPr>
          </w:p>
        </w:tc>
        <w:tc>
          <w:tcPr>
            <w:tcW w:w="4735" w:type="pct"/>
            <w:gridSpan w:val="2"/>
            <w:vAlign w:val="center"/>
          </w:tcPr>
          <w:p w14:paraId="0D228141">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外部供应链供采协同服务</w:t>
            </w:r>
          </w:p>
        </w:tc>
      </w:tr>
      <w:tr w14:paraId="718E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7BFD703">
            <w:pPr>
              <w:rPr>
                <w:rFonts w:ascii="宋体" w:hAnsi="宋体" w:cs="宋体"/>
                <w:color w:val="auto"/>
                <w:sz w:val="24"/>
                <w:szCs w:val="24"/>
                <w:highlight w:val="none"/>
              </w:rPr>
            </w:pPr>
          </w:p>
        </w:tc>
        <w:tc>
          <w:tcPr>
            <w:tcW w:w="4113" w:type="pct"/>
            <w:vAlign w:val="center"/>
          </w:tcPr>
          <w:p w14:paraId="519055D7">
            <w:pPr>
              <w:rPr>
                <w:rFonts w:ascii="宋体" w:hAnsi="宋体" w:cs="宋体"/>
                <w:b/>
                <w:color w:val="auto"/>
                <w:sz w:val="24"/>
                <w:szCs w:val="24"/>
                <w:highlight w:val="none"/>
              </w:rPr>
            </w:pPr>
            <w:r>
              <w:rPr>
                <w:rFonts w:hint="eastAsia" w:ascii="宋体" w:hAnsi="宋体" w:cs="宋体"/>
                <w:b/>
                <w:color w:val="auto"/>
                <w:sz w:val="24"/>
                <w:szCs w:val="24"/>
                <w:highlight w:val="none"/>
              </w:rPr>
              <w:t>供应链管理平台基本功能：</w:t>
            </w:r>
          </w:p>
        </w:tc>
        <w:tc>
          <w:tcPr>
            <w:tcW w:w="622" w:type="pct"/>
            <w:vAlign w:val="center"/>
          </w:tcPr>
          <w:p w14:paraId="4CBB53B8">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1"/>
                <w:szCs w:val="21"/>
                <w:highlight w:val="none"/>
                <w:lang w:val="en-US" w:eastAsia="zh-CN"/>
              </w:rPr>
              <w:t>是否响应</w:t>
            </w:r>
          </w:p>
        </w:tc>
      </w:tr>
      <w:tr w14:paraId="0058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03A0A6B">
            <w:pP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13" w:type="pct"/>
            <w:vAlign w:val="center"/>
          </w:tcPr>
          <w:p w14:paraId="379E7410">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支持供应商、耗材物资证照电子化管理</w:t>
            </w:r>
            <w:r>
              <w:rPr>
                <w:rFonts w:hint="eastAsia" w:ascii="宋体" w:hAnsi="宋体" w:cs="宋体"/>
                <w:color w:val="auto"/>
                <w:sz w:val="24"/>
                <w:szCs w:val="24"/>
                <w:highlight w:val="none"/>
                <w:lang w:eastAsia="zh-CN"/>
              </w:rPr>
              <w:t>，自动验真和近效期智能提醒，平台智能化合规性验证，保证供应安全，支持在供应链管理平台可根据耗材目录绑定对应的购销合同，具备效期预警机制；</w:t>
            </w:r>
          </w:p>
        </w:tc>
        <w:tc>
          <w:tcPr>
            <w:tcW w:w="622" w:type="pct"/>
            <w:vAlign w:val="center"/>
          </w:tcPr>
          <w:p w14:paraId="55BEA7B7">
            <w:pPr>
              <w:rPr>
                <w:rFonts w:hint="eastAsia" w:ascii="宋体" w:hAnsi="宋体" w:cs="宋体"/>
                <w:color w:val="auto"/>
                <w:sz w:val="24"/>
                <w:szCs w:val="24"/>
                <w:highlight w:val="none"/>
              </w:rPr>
            </w:pPr>
          </w:p>
        </w:tc>
      </w:tr>
      <w:tr w14:paraId="34B6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71B12E9">
            <w:pP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113" w:type="pct"/>
            <w:vAlign w:val="center"/>
          </w:tcPr>
          <w:p w14:paraId="4FBD5267">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支持院方维护商品信息、商品类别、生产配送企业等相关信息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以院方实际提出为标准）；</w:t>
            </w:r>
          </w:p>
        </w:tc>
        <w:tc>
          <w:tcPr>
            <w:tcW w:w="622" w:type="pct"/>
            <w:vAlign w:val="center"/>
          </w:tcPr>
          <w:p w14:paraId="33B471D3">
            <w:pPr>
              <w:rPr>
                <w:rFonts w:hint="eastAsia" w:ascii="宋体" w:hAnsi="宋体" w:cs="宋体"/>
                <w:color w:val="auto"/>
                <w:sz w:val="24"/>
                <w:szCs w:val="24"/>
                <w:highlight w:val="none"/>
              </w:rPr>
            </w:pPr>
          </w:p>
        </w:tc>
      </w:tr>
      <w:tr w14:paraId="3599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0115E34">
            <w:pP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4113" w:type="pct"/>
            <w:vAlign w:val="center"/>
          </w:tcPr>
          <w:p w14:paraId="428C9F60">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支持院方在线审核资质，查看供应商物品信息；</w:t>
            </w:r>
            <w:r>
              <w:rPr>
                <w:rFonts w:hint="eastAsia" w:ascii="宋体" w:hAnsi="宋体" w:cs="宋体"/>
                <w:color w:val="auto"/>
                <w:sz w:val="24"/>
                <w:szCs w:val="24"/>
                <w:highlight w:val="none"/>
                <w:lang w:eastAsia="zh-CN"/>
              </w:rPr>
              <w:t>供应商资质自动验真；</w:t>
            </w:r>
          </w:p>
        </w:tc>
        <w:tc>
          <w:tcPr>
            <w:tcW w:w="622" w:type="pct"/>
            <w:vAlign w:val="center"/>
          </w:tcPr>
          <w:p w14:paraId="16A899A7">
            <w:pPr>
              <w:rPr>
                <w:rFonts w:hint="eastAsia" w:ascii="宋体" w:hAnsi="宋体" w:cs="宋体"/>
                <w:color w:val="auto"/>
                <w:sz w:val="24"/>
                <w:szCs w:val="24"/>
                <w:highlight w:val="none"/>
              </w:rPr>
            </w:pPr>
          </w:p>
        </w:tc>
      </w:tr>
      <w:tr w14:paraId="0AF3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A0A4C60">
            <w:pP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4113" w:type="pct"/>
            <w:vAlign w:val="center"/>
          </w:tcPr>
          <w:p w14:paraId="3B3C9F2C">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供应商能够维护自身及供应品种等信息，提交后需经院方同意，方可在系统内添加、删除或更改</w:t>
            </w:r>
            <w:r>
              <w:rPr>
                <w:rFonts w:hint="eastAsia" w:ascii="宋体" w:hAnsi="宋体" w:cs="宋体"/>
                <w:color w:val="auto"/>
                <w:sz w:val="24"/>
                <w:szCs w:val="24"/>
                <w:highlight w:val="none"/>
                <w:lang w:eastAsia="zh-CN"/>
              </w:rPr>
              <w:t>；科室解包数据，同步传至</w:t>
            </w:r>
            <w:r>
              <w:rPr>
                <w:rFonts w:hint="eastAsia" w:ascii="宋体" w:hAnsi="宋体" w:cs="宋体"/>
                <w:color w:val="auto"/>
                <w:sz w:val="24"/>
                <w:szCs w:val="24"/>
                <w:highlight w:val="none"/>
                <w:lang w:val="en-US" w:eastAsia="zh-CN"/>
              </w:rPr>
              <w:t>HIS或HRP或平台系统，方便结算数据对比；</w:t>
            </w:r>
          </w:p>
        </w:tc>
        <w:tc>
          <w:tcPr>
            <w:tcW w:w="622" w:type="pct"/>
            <w:vAlign w:val="center"/>
          </w:tcPr>
          <w:p w14:paraId="46FDC6E1">
            <w:pPr>
              <w:rPr>
                <w:rFonts w:hint="eastAsia" w:ascii="宋体" w:hAnsi="宋体" w:cs="宋体"/>
                <w:color w:val="auto"/>
                <w:sz w:val="24"/>
                <w:szCs w:val="24"/>
                <w:highlight w:val="none"/>
              </w:rPr>
            </w:pPr>
          </w:p>
        </w:tc>
      </w:tr>
      <w:tr w14:paraId="470F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2577E33">
            <w:pPr>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w:t>
            </w:r>
          </w:p>
        </w:tc>
        <w:tc>
          <w:tcPr>
            <w:tcW w:w="4113" w:type="pct"/>
            <w:vAlign w:val="center"/>
          </w:tcPr>
          <w:p w14:paraId="503B7725">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eastAsia="zh-CN"/>
              </w:rPr>
              <w:t>保证</w:t>
            </w:r>
            <w:r>
              <w:rPr>
                <w:rFonts w:hint="eastAsia" w:ascii="宋体" w:hAnsi="宋体" w:cs="宋体"/>
                <w:color w:val="auto"/>
                <w:sz w:val="24"/>
                <w:szCs w:val="24"/>
                <w:highlight w:val="none"/>
                <w:shd w:val="clear" w:color="auto" w:fill="auto"/>
                <w:lang w:val="en-US" w:eastAsia="zh-CN"/>
              </w:rPr>
              <w:t>SPD软件能够及时免费升级至最新版本；SPD账号管理权由医院负责，SPD工作人员权限根据需要经申请由医院授权；</w:t>
            </w:r>
          </w:p>
        </w:tc>
        <w:tc>
          <w:tcPr>
            <w:tcW w:w="622" w:type="pct"/>
            <w:vAlign w:val="center"/>
          </w:tcPr>
          <w:p w14:paraId="60DA2304">
            <w:pPr>
              <w:rPr>
                <w:rFonts w:hint="eastAsia" w:ascii="宋体" w:hAnsi="宋体" w:cs="宋体"/>
                <w:color w:val="auto"/>
                <w:sz w:val="24"/>
                <w:szCs w:val="24"/>
                <w:highlight w:val="none"/>
                <w:shd w:val="clear" w:color="auto" w:fill="auto"/>
                <w:lang w:eastAsia="zh-CN"/>
              </w:rPr>
            </w:pPr>
          </w:p>
        </w:tc>
      </w:tr>
      <w:tr w14:paraId="36CC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3033AC4">
            <w:pPr>
              <w:rPr>
                <w:rFonts w:hint="default" w:ascii="宋体" w:hAnsi="宋体" w:cs="宋体"/>
                <w:color w:val="auto"/>
                <w:sz w:val="24"/>
                <w:szCs w:val="24"/>
                <w:highlight w:val="none"/>
                <w:lang w:val="en-US" w:eastAsia="zh-CN"/>
              </w:rPr>
            </w:pPr>
          </w:p>
        </w:tc>
        <w:tc>
          <w:tcPr>
            <w:tcW w:w="4113" w:type="pct"/>
            <w:vAlign w:val="center"/>
          </w:tcPr>
          <w:p w14:paraId="5FBFC71F">
            <w:pPr>
              <w:rPr>
                <w:rFonts w:hint="default" w:ascii="宋体" w:hAnsi="宋体" w:cs="宋体"/>
                <w:color w:val="auto"/>
                <w:sz w:val="24"/>
                <w:szCs w:val="24"/>
                <w:highlight w:val="none"/>
                <w:lang w:val="en-US" w:eastAsia="zh-CN"/>
              </w:rPr>
            </w:pPr>
            <w:r>
              <w:rPr>
                <w:rFonts w:hint="eastAsia" w:ascii="宋体" w:hAnsi="宋体" w:cs="宋体"/>
                <w:b/>
                <w:color w:val="auto"/>
                <w:sz w:val="24"/>
                <w:szCs w:val="24"/>
                <w:highlight w:val="none"/>
              </w:rPr>
              <w:t>实现医院与供应商之间订单管理功能：</w:t>
            </w:r>
          </w:p>
        </w:tc>
        <w:tc>
          <w:tcPr>
            <w:tcW w:w="622" w:type="pct"/>
            <w:vAlign w:val="center"/>
          </w:tcPr>
          <w:p w14:paraId="1DA77A91">
            <w:pPr>
              <w:rPr>
                <w:rFonts w:hint="eastAsia" w:ascii="宋体" w:hAnsi="宋体" w:cs="宋体"/>
                <w:b/>
                <w:color w:val="auto"/>
                <w:sz w:val="24"/>
                <w:szCs w:val="24"/>
                <w:highlight w:val="none"/>
              </w:rPr>
            </w:pPr>
          </w:p>
        </w:tc>
      </w:tr>
      <w:tr w14:paraId="7881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0D93CD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4113" w:type="pct"/>
            <w:vAlign w:val="center"/>
          </w:tcPr>
          <w:p w14:paraId="32218E6E">
            <w:pPr>
              <w:pStyle w:val="31"/>
              <w:keepNext w:val="0"/>
              <w:keepLines w:val="0"/>
              <w:widowControl/>
              <w:suppressLineNumbers w:val="0"/>
              <w:spacing w:before="0" w:beforeAutospacing="0" w:after="0" w:afterAutospacing="0"/>
              <w:ind w:right="0"/>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rPr>
              <w:t>支持编辑多个订单模板；支持按库存量自动生成订单，并通过信息化手段通知采购人员审批，可一键发送或者自动发送；SPD根据库存消耗自动生成采购计划，推送至HRP进行预算审核和采购审批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HRP返回审批状态（通过/驳回）及采购订单号</w:t>
            </w:r>
            <w:r>
              <w:rPr>
                <w:rFonts w:hint="eastAsia" w:ascii="宋体" w:hAnsi="宋体" w:cs="宋体"/>
                <w:color w:val="auto"/>
                <w:sz w:val="24"/>
                <w:szCs w:val="24"/>
                <w:highlight w:val="none"/>
                <w:lang w:eastAsia="zh-CN"/>
              </w:rPr>
              <w:t>；</w:t>
            </w:r>
          </w:p>
        </w:tc>
        <w:tc>
          <w:tcPr>
            <w:tcW w:w="622" w:type="pct"/>
            <w:vAlign w:val="center"/>
          </w:tcPr>
          <w:p w14:paraId="5270054D">
            <w:pPr>
              <w:pStyle w:val="31"/>
              <w:keepNext w:val="0"/>
              <w:keepLines w:val="0"/>
              <w:widowControl/>
              <w:suppressLineNumbers w:val="0"/>
              <w:spacing w:before="0" w:beforeAutospacing="0" w:after="0" w:afterAutospacing="0"/>
              <w:ind w:right="0"/>
              <w:rPr>
                <w:rFonts w:hint="eastAsia" w:ascii="宋体" w:hAnsi="宋体" w:cs="宋体"/>
                <w:color w:val="auto"/>
                <w:sz w:val="24"/>
                <w:szCs w:val="24"/>
                <w:highlight w:val="none"/>
              </w:rPr>
            </w:pPr>
          </w:p>
        </w:tc>
      </w:tr>
      <w:tr w14:paraId="4A3D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16CDAA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4113" w:type="pct"/>
            <w:vAlign w:val="center"/>
          </w:tcPr>
          <w:p w14:paraId="4BE810E8">
            <w:pPr>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未配送订单可以实现查询、撤销、提醒和重新编辑等功能；</w:t>
            </w:r>
          </w:p>
        </w:tc>
        <w:tc>
          <w:tcPr>
            <w:tcW w:w="622" w:type="pct"/>
            <w:vAlign w:val="center"/>
          </w:tcPr>
          <w:p w14:paraId="2F515ADB">
            <w:pPr>
              <w:jc w:val="left"/>
              <w:rPr>
                <w:rFonts w:hint="eastAsia" w:ascii="宋体" w:hAnsi="宋体" w:cs="宋体"/>
                <w:color w:val="auto"/>
                <w:sz w:val="24"/>
                <w:szCs w:val="24"/>
                <w:highlight w:val="none"/>
              </w:rPr>
            </w:pPr>
          </w:p>
        </w:tc>
      </w:tr>
      <w:tr w14:paraId="682C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CEBE42D">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4113" w:type="pct"/>
            <w:vAlign w:val="center"/>
          </w:tcPr>
          <w:p w14:paraId="64DA62E0">
            <w:pPr>
              <w:rPr>
                <w:rFonts w:ascii="宋体" w:hAnsi="宋体" w:cs="宋体"/>
                <w:color w:val="auto"/>
                <w:sz w:val="24"/>
                <w:szCs w:val="24"/>
                <w:highlight w:val="none"/>
              </w:rPr>
            </w:pPr>
            <w:r>
              <w:rPr>
                <w:rFonts w:hint="eastAsia" w:ascii="宋体" w:hAnsi="宋体" w:cs="宋体"/>
                <w:color w:val="auto"/>
                <w:sz w:val="24"/>
                <w:szCs w:val="24"/>
                <w:highlight w:val="none"/>
              </w:rPr>
              <w:t>支持院方对订单全方位跟踪，订单状态包括：未通知、已通知、已确认、已配送、已验收等，以及相关单据查询；</w:t>
            </w:r>
            <w:r>
              <w:rPr>
                <w:rFonts w:hint="eastAsia" w:ascii="宋体" w:hAnsi="宋体" w:cs="宋体"/>
                <w:color w:val="auto"/>
                <w:sz w:val="24"/>
                <w:szCs w:val="24"/>
                <w:highlight w:val="none"/>
                <w:lang w:eastAsia="zh-CN"/>
              </w:rPr>
              <w:t>支持医院根据带量耗材项目查询，如‘</w:t>
            </w:r>
            <w:r>
              <w:rPr>
                <w:rFonts w:hint="eastAsia" w:ascii="宋体" w:hAnsi="宋体" w:cs="宋体"/>
                <w:color w:val="auto"/>
                <w:sz w:val="24"/>
                <w:szCs w:val="24"/>
                <w:highlight w:val="none"/>
                <w:lang w:val="en-US" w:eastAsia="zh-CN"/>
              </w:rPr>
              <w:t>xx联盟</w:t>
            </w:r>
            <w:r>
              <w:rPr>
                <w:rFonts w:hint="eastAsia" w:ascii="宋体" w:hAnsi="宋体" w:cs="宋体"/>
                <w:color w:val="auto"/>
                <w:sz w:val="24"/>
                <w:szCs w:val="24"/>
                <w:highlight w:val="none"/>
                <w:lang w:eastAsia="zh-CN"/>
              </w:rPr>
              <w:t>’进行数据查询；</w:t>
            </w:r>
          </w:p>
        </w:tc>
        <w:tc>
          <w:tcPr>
            <w:tcW w:w="622" w:type="pct"/>
            <w:vAlign w:val="center"/>
          </w:tcPr>
          <w:p w14:paraId="126238B8">
            <w:pPr>
              <w:rPr>
                <w:rFonts w:hint="eastAsia" w:ascii="宋体" w:hAnsi="宋体" w:cs="宋体"/>
                <w:color w:val="auto"/>
                <w:sz w:val="24"/>
                <w:szCs w:val="24"/>
                <w:highlight w:val="none"/>
              </w:rPr>
            </w:pPr>
          </w:p>
        </w:tc>
      </w:tr>
      <w:tr w14:paraId="6FE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D1EF63B">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4113" w:type="pct"/>
            <w:vAlign w:val="center"/>
          </w:tcPr>
          <w:p w14:paraId="366663E8">
            <w:pPr>
              <w:pStyle w:val="31"/>
              <w:keepNext w:val="0"/>
              <w:keepLines w:val="0"/>
              <w:widowControl/>
              <w:suppressLineNumbers w:val="0"/>
              <w:spacing w:before="0" w:beforeAutospacing="0" w:after="0" w:afterAutospacing="0"/>
              <w:ind w:right="0"/>
              <w:rPr>
                <w:rFonts w:ascii="宋体" w:hAnsi="宋体" w:cs="宋体"/>
                <w:color w:val="auto"/>
                <w:sz w:val="24"/>
                <w:szCs w:val="24"/>
                <w:highlight w:val="none"/>
              </w:rPr>
            </w:pPr>
            <w:r>
              <w:rPr>
                <w:rFonts w:hint="eastAsia" w:ascii="宋体" w:hAnsi="宋体" w:cs="宋体"/>
                <w:color w:val="auto"/>
                <w:sz w:val="24"/>
                <w:szCs w:val="24"/>
                <w:highlight w:val="none"/>
              </w:rPr>
              <w:t>供货商确认或拒配送订单须有相应反馈信息；</w:t>
            </w:r>
            <w:r>
              <w:rPr>
                <w:rFonts w:hint="eastAsia" w:ascii="宋体" w:hAnsi="宋体" w:eastAsia="宋体" w:cs="宋体"/>
                <w:color w:val="auto"/>
                <w:kern w:val="2"/>
                <w:sz w:val="24"/>
                <w:szCs w:val="24"/>
                <w:highlight w:val="none"/>
                <w:lang w:val="en-US" w:eastAsia="zh-CN" w:bidi="ar-SA"/>
              </w:rPr>
              <w:t>HRP生成的采购订单（PO）需实时同步至SPD系统，SPD根据订单执行物流配送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SPD需将订单执行状态（已发货、在途、已签收）回传至HRP</w:t>
            </w:r>
            <w:r>
              <w:rPr>
                <w:rFonts w:hint="eastAsia" w:ascii="宋体" w:hAnsi="宋体" w:cs="宋体"/>
                <w:color w:val="auto"/>
                <w:kern w:val="2"/>
                <w:sz w:val="24"/>
                <w:szCs w:val="24"/>
                <w:highlight w:val="none"/>
                <w:lang w:val="en-US" w:eastAsia="zh-CN" w:bidi="ar-SA"/>
              </w:rPr>
              <w:t>；</w:t>
            </w:r>
          </w:p>
        </w:tc>
        <w:tc>
          <w:tcPr>
            <w:tcW w:w="622" w:type="pct"/>
            <w:vAlign w:val="center"/>
          </w:tcPr>
          <w:p w14:paraId="62E9653A">
            <w:pPr>
              <w:pStyle w:val="31"/>
              <w:keepNext w:val="0"/>
              <w:keepLines w:val="0"/>
              <w:widowControl/>
              <w:suppressLineNumbers w:val="0"/>
              <w:spacing w:before="0" w:beforeAutospacing="0" w:after="0" w:afterAutospacing="0"/>
              <w:ind w:right="0"/>
              <w:rPr>
                <w:rFonts w:hint="eastAsia" w:ascii="宋体" w:hAnsi="宋体" w:cs="宋体"/>
                <w:color w:val="auto"/>
                <w:sz w:val="24"/>
                <w:szCs w:val="24"/>
                <w:highlight w:val="none"/>
              </w:rPr>
            </w:pPr>
          </w:p>
        </w:tc>
      </w:tr>
      <w:tr w14:paraId="0475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95A94AD">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113" w:type="pct"/>
            <w:vAlign w:val="center"/>
          </w:tcPr>
          <w:p w14:paraId="35DF3ABD">
            <w:pPr>
              <w:rPr>
                <w:rFonts w:ascii="宋体" w:hAnsi="宋体" w:cs="宋体"/>
                <w:color w:val="auto"/>
                <w:sz w:val="24"/>
                <w:szCs w:val="24"/>
                <w:highlight w:val="none"/>
              </w:rPr>
            </w:pPr>
            <w:r>
              <w:rPr>
                <w:rFonts w:hint="eastAsia" w:ascii="宋体" w:hAnsi="宋体" w:cs="宋体"/>
                <w:color w:val="auto"/>
                <w:sz w:val="24"/>
                <w:szCs w:val="24"/>
                <w:highlight w:val="none"/>
              </w:rPr>
              <w:t>权限明确，院方可以查看所有订单信息，供货商只能操作及查看自己的订单信息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如有子账户，主账户可设置子账户权限；</w:t>
            </w:r>
          </w:p>
        </w:tc>
        <w:tc>
          <w:tcPr>
            <w:tcW w:w="622" w:type="pct"/>
            <w:vAlign w:val="center"/>
          </w:tcPr>
          <w:p w14:paraId="16664C5C">
            <w:pPr>
              <w:rPr>
                <w:rFonts w:hint="eastAsia" w:ascii="宋体" w:hAnsi="宋体" w:cs="宋体"/>
                <w:color w:val="auto"/>
                <w:sz w:val="24"/>
                <w:szCs w:val="24"/>
                <w:highlight w:val="none"/>
              </w:rPr>
            </w:pPr>
          </w:p>
        </w:tc>
      </w:tr>
      <w:tr w14:paraId="427F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DAA8D02">
            <w:pP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4113" w:type="pct"/>
            <w:vAlign w:val="center"/>
          </w:tcPr>
          <w:p w14:paraId="58477100">
            <w:pPr>
              <w:rPr>
                <w:rFonts w:ascii="宋体" w:hAnsi="宋体" w:cs="宋体"/>
                <w:color w:val="auto"/>
                <w:sz w:val="24"/>
                <w:szCs w:val="24"/>
                <w:highlight w:val="none"/>
              </w:rPr>
            </w:pPr>
            <w:r>
              <w:rPr>
                <w:rFonts w:hint="eastAsia" w:ascii="宋体" w:hAnsi="宋体" w:cs="宋体"/>
                <w:color w:val="auto"/>
                <w:sz w:val="24"/>
                <w:szCs w:val="24"/>
                <w:highlight w:val="none"/>
              </w:rPr>
              <w:t>医院方经审核的采购订单能被供应商即时通过信息系统和移动终端（如手机微信或自研app等）接收并组织供货</w:t>
            </w:r>
            <w:r>
              <w:rPr>
                <w:rFonts w:hint="eastAsia" w:ascii="宋体" w:hAnsi="宋体" w:cs="宋体"/>
                <w:color w:val="auto"/>
                <w:sz w:val="24"/>
                <w:szCs w:val="24"/>
                <w:highlight w:val="none"/>
                <w:lang w:eastAsia="zh-CN"/>
              </w:rPr>
              <w:t>；支持供应商能通过微信小程序或</w:t>
            </w:r>
            <w:r>
              <w:rPr>
                <w:rFonts w:hint="eastAsia" w:ascii="宋体" w:hAnsi="宋体" w:cs="宋体"/>
                <w:color w:val="auto"/>
                <w:sz w:val="24"/>
                <w:szCs w:val="24"/>
                <w:highlight w:val="none"/>
                <w:lang w:val="en-US" w:eastAsia="zh-CN"/>
              </w:rPr>
              <w:t>APP接收采购计划、结算数据，在平台能够查询供应商的库存明细，方便对账；</w:t>
            </w:r>
          </w:p>
        </w:tc>
        <w:tc>
          <w:tcPr>
            <w:tcW w:w="622" w:type="pct"/>
            <w:vAlign w:val="center"/>
          </w:tcPr>
          <w:p w14:paraId="214E14D2">
            <w:pPr>
              <w:rPr>
                <w:rFonts w:hint="eastAsia" w:ascii="宋体" w:hAnsi="宋体" w:cs="宋体"/>
                <w:color w:val="auto"/>
                <w:sz w:val="24"/>
                <w:szCs w:val="24"/>
                <w:highlight w:val="none"/>
              </w:rPr>
            </w:pPr>
          </w:p>
        </w:tc>
      </w:tr>
      <w:tr w14:paraId="3FAB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AA6A25A">
            <w:pP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4113" w:type="pct"/>
            <w:vAlign w:val="center"/>
          </w:tcPr>
          <w:p w14:paraId="033813E2">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具有统计分析功能，支持对一种或多种耗材按不同规格、供货单位、供货量、供货时间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医保编码、流水号、注册证号</w:t>
            </w:r>
            <w:r>
              <w:rPr>
                <w:rFonts w:hint="eastAsia" w:ascii="宋体" w:hAnsi="宋体" w:cs="宋体"/>
                <w:color w:val="auto"/>
                <w:sz w:val="24"/>
                <w:szCs w:val="24"/>
                <w:highlight w:val="none"/>
              </w:rPr>
              <w:t>等要素查询统计、打印、导出等</w:t>
            </w:r>
            <w:r>
              <w:rPr>
                <w:rFonts w:hint="eastAsia" w:ascii="宋体" w:hAnsi="宋体" w:cs="宋体"/>
                <w:color w:val="auto"/>
                <w:sz w:val="24"/>
                <w:szCs w:val="24"/>
                <w:highlight w:val="none"/>
                <w:lang w:eastAsia="zh-CN"/>
              </w:rPr>
              <w:t>；</w:t>
            </w:r>
          </w:p>
        </w:tc>
        <w:tc>
          <w:tcPr>
            <w:tcW w:w="622" w:type="pct"/>
            <w:vAlign w:val="center"/>
          </w:tcPr>
          <w:p w14:paraId="41391D14">
            <w:pPr>
              <w:rPr>
                <w:rFonts w:hint="eastAsia" w:ascii="宋体" w:hAnsi="宋体" w:cs="宋体"/>
                <w:color w:val="auto"/>
                <w:sz w:val="24"/>
                <w:szCs w:val="24"/>
                <w:highlight w:val="none"/>
              </w:rPr>
            </w:pPr>
          </w:p>
        </w:tc>
      </w:tr>
      <w:tr w14:paraId="6C5A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4" w:type="pct"/>
            <w:vAlign w:val="center"/>
          </w:tcPr>
          <w:p w14:paraId="20CD25AE">
            <w:pP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4113" w:type="pct"/>
            <w:vAlign w:val="center"/>
          </w:tcPr>
          <w:p w14:paraId="4C0719D5">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对于该系统中所涉及数据库信息的更改，须有院内相关流程审批</w:t>
            </w:r>
            <w:r>
              <w:rPr>
                <w:rFonts w:hint="eastAsia" w:ascii="宋体" w:hAnsi="宋体" w:cs="宋体"/>
                <w:color w:val="auto"/>
                <w:sz w:val="24"/>
                <w:szCs w:val="24"/>
                <w:highlight w:val="none"/>
                <w:lang w:eastAsia="zh-CN"/>
              </w:rPr>
              <w:t>；</w:t>
            </w:r>
          </w:p>
        </w:tc>
        <w:tc>
          <w:tcPr>
            <w:tcW w:w="622" w:type="pct"/>
            <w:vAlign w:val="center"/>
          </w:tcPr>
          <w:p w14:paraId="523AB193">
            <w:pPr>
              <w:rPr>
                <w:rFonts w:hint="eastAsia" w:ascii="宋体" w:hAnsi="宋体" w:cs="宋体"/>
                <w:color w:val="auto"/>
                <w:sz w:val="24"/>
                <w:szCs w:val="24"/>
                <w:highlight w:val="none"/>
              </w:rPr>
            </w:pPr>
          </w:p>
        </w:tc>
      </w:tr>
      <w:tr w14:paraId="3179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7361AA1">
            <w:pPr>
              <w:rPr>
                <w:rFonts w:ascii="宋体" w:hAnsi="宋体" w:cs="宋体"/>
                <w:color w:val="auto"/>
                <w:sz w:val="24"/>
                <w:szCs w:val="24"/>
                <w:highlight w:val="none"/>
              </w:rPr>
            </w:pPr>
          </w:p>
        </w:tc>
        <w:tc>
          <w:tcPr>
            <w:tcW w:w="4113" w:type="pct"/>
            <w:vAlign w:val="center"/>
          </w:tcPr>
          <w:p w14:paraId="6890252E">
            <w:pPr>
              <w:rPr>
                <w:rFonts w:ascii="宋体" w:hAnsi="宋体" w:cs="宋体"/>
                <w:color w:val="auto"/>
                <w:sz w:val="24"/>
                <w:szCs w:val="24"/>
                <w:highlight w:val="none"/>
              </w:rPr>
            </w:pPr>
            <w:r>
              <w:rPr>
                <w:rFonts w:hint="eastAsia" w:ascii="宋体" w:hAnsi="宋体" w:cs="宋体"/>
                <w:b/>
                <w:bCs/>
                <w:color w:val="auto"/>
                <w:sz w:val="24"/>
                <w:szCs w:val="24"/>
                <w:highlight w:val="none"/>
              </w:rPr>
              <w:t>内部供应精细化管理</w:t>
            </w:r>
          </w:p>
        </w:tc>
        <w:tc>
          <w:tcPr>
            <w:tcW w:w="622" w:type="pct"/>
            <w:vAlign w:val="center"/>
          </w:tcPr>
          <w:p w14:paraId="56583986">
            <w:pPr>
              <w:rPr>
                <w:rFonts w:hint="eastAsia" w:ascii="宋体" w:hAnsi="宋体" w:cs="宋体"/>
                <w:b/>
                <w:bCs/>
                <w:color w:val="auto"/>
                <w:sz w:val="24"/>
                <w:szCs w:val="24"/>
                <w:highlight w:val="none"/>
              </w:rPr>
            </w:pPr>
          </w:p>
        </w:tc>
      </w:tr>
      <w:tr w14:paraId="018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018C173">
            <w:pPr>
              <w:rPr>
                <w:rFonts w:ascii="宋体" w:hAnsi="宋体" w:cs="宋体"/>
                <w:b/>
                <w:bCs/>
                <w:color w:val="auto"/>
                <w:sz w:val="24"/>
                <w:szCs w:val="24"/>
                <w:highlight w:val="none"/>
              </w:rPr>
            </w:pPr>
          </w:p>
        </w:tc>
        <w:tc>
          <w:tcPr>
            <w:tcW w:w="4113" w:type="pct"/>
            <w:vAlign w:val="center"/>
          </w:tcPr>
          <w:p w14:paraId="3E22B8FD">
            <w:pPr>
              <w:rPr>
                <w:rFonts w:ascii="宋体" w:hAnsi="宋体" w:cs="宋体"/>
                <w:b/>
                <w:bCs/>
                <w:color w:val="auto"/>
                <w:sz w:val="24"/>
                <w:szCs w:val="24"/>
                <w:highlight w:val="none"/>
              </w:rPr>
            </w:pPr>
            <w:r>
              <w:rPr>
                <w:rFonts w:hint="eastAsia" w:ascii="宋体" w:hAnsi="宋体" w:cs="宋体"/>
                <w:b/>
                <w:color w:val="auto"/>
                <w:sz w:val="24"/>
                <w:szCs w:val="24"/>
                <w:highlight w:val="none"/>
              </w:rPr>
              <w:t>中心库建设：</w:t>
            </w:r>
          </w:p>
        </w:tc>
        <w:tc>
          <w:tcPr>
            <w:tcW w:w="622" w:type="pct"/>
            <w:vAlign w:val="center"/>
          </w:tcPr>
          <w:p w14:paraId="63B261C6">
            <w:pPr>
              <w:rPr>
                <w:rFonts w:hint="eastAsia" w:ascii="宋体" w:hAnsi="宋体" w:cs="宋体"/>
                <w:b/>
                <w:color w:val="auto"/>
                <w:sz w:val="24"/>
                <w:szCs w:val="24"/>
                <w:highlight w:val="none"/>
              </w:rPr>
            </w:pPr>
          </w:p>
        </w:tc>
      </w:tr>
      <w:tr w14:paraId="6451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DC4EE15">
            <w:pPr>
              <w:rPr>
                <w:rFonts w:ascii="宋体" w:hAnsi="宋体" w:cs="宋体"/>
                <w:b/>
                <w:color w:val="auto"/>
                <w:sz w:val="24"/>
                <w:szCs w:val="24"/>
                <w:highlight w:val="none"/>
              </w:rPr>
            </w:pPr>
            <w:r>
              <w:rPr>
                <w:rFonts w:hint="eastAsia" w:ascii="宋体" w:hAnsi="宋体" w:cs="宋体"/>
                <w:color w:val="auto"/>
                <w:sz w:val="24"/>
                <w:szCs w:val="24"/>
                <w:highlight w:val="none"/>
              </w:rPr>
              <w:t>14</w:t>
            </w:r>
          </w:p>
        </w:tc>
        <w:tc>
          <w:tcPr>
            <w:tcW w:w="4113" w:type="pct"/>
            <w:vAlign w:val="center"/>
          </w:tcPr>
          <w:p w14:paraId="69D57D5B">
            <w:pPr>
              <w:rPr>
                <w:rFonts w:ascii="宋体" w:hAnsi="宋体" w:cs="宋体"/>
                <w:b/>
                <w:color w:val="auto"/>
                <w:sz w:val="24"/>
                <w:szCs w:val="24"/>
                <w:highlight w:val="none"/>
              </w:rPr>
            </w:pPr>
            <w:r>
              <w:rPr>
                <w:rFonts w:hint="eastAsia" w:ascii="宋体" w:hAnsi="宋体" w:cs="宋体"/>
                <w:color w:val="auto"/>
                <w:sz w:val="24"/>
                <w:szCs w:val="24"/>
                <w:highlight w:val="none"/>
              </w:rPr>
              <w:t>合理划分各功能区，确保各项流程合理有序；</w:t>
            </w:r>
          </w:p>
        </w:tc>
        <w:tc>
          <w:tcPr>
            <w:tcW w:w="622" w:type="pct"/>
            <w:vAlign w:val="center"/>
          </w:tcPr>
          <w:p w14:paraId="5DD8D75D">
            <w:pPr>
              <w:rPr>
                <w:rFonts w:hint="eastAsia" w:ascii="宋体" w:hAnsi="宋体" w:cs="宋体"/>
                <w:color w:val="auto"/>
                <w:sz w:val="24"/>
                <w:szCs w:val="24"/>
                <w:highlight w:val="none"/>
              </w:rPr>
            </w:pPr>
          </w:p>
        </w:tc>
      </w:tr>
      <w:tr w14:paraId="1F42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E5DB0F0">
            <w:pP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4113" w:type="pct"/>
            <w:vAlign w:val="center"/>
          </w:tcPr>
          <w:p w14:paraId="7F893C3E">
            <w:pPr>
              <w:rPr>
                <w:rFonts w:ascii="宋体" w:hAnsi="宋体" w:cs="宋体"/>
                <w:color w:val="auto"/>
                <w:sz w:val="24"/>
                <w:szCs w:val="24"/>
                <w:highlight w:val="none"/>
              </w:rPr>
            </w:pPr>
            <w:r>
              <w:rPr>
                <w:rFonts w:hint="eastAsia" w:ascii="宋体" w:hAnsi="宋体" w:cs="宋体"/>
                <w:color w:val="auto"/>
                <w:sz w:val="24"/>
                <w:szCs w:val="24"/>
                <w:highlight w:val="none"/>
              </w:rPr>
              <w:t>支持条码（包括二维码）管理，确保条码包含必要信息，便于查询和溯源管理；</w:t>
            </w:r>
          </w:p>
        </w:tc>
        <w:tc>
          <w:tcPr>
            <w:tcW w:w="622" w:type="pct"/>
            <w:vAlign w:val="center"/>
          </w:tcPr>
          <w:p w14:paraId="4776F269">
            <w:pPr>
              <w:rPr>
                <w:rFonts w:hint="eastAsia" w:ascii="宋体" w:hAnsi="宋体" w:cs="宋体"/>
                <w:color w:val="auto"/>
                <w:sz w:val="24"/>
                <w:szCs w:val="24"/>
                <w:highlight w:val="none"/>
              </w:rPr>
            </w:pPr>
          </w:p>
        </w:tc>
      </w:tr>
      <w:tr w14:paraId="5EB8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B986541">
            <w:pP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4113" w:type="pct"/>
            <w:vAlign w:val="center"/>
          </w:tcPr>
          <w:p w14:paraId="32D14FFC">
            <w:pPr>
              <w:rPr>
                <w:rFonts w:ascii="宋体" w:hAnsi="宋体" w:cs="宋体"/>
                <w:color w:val="auto"/>
                <w:sz w:val="24"/>
                <w:szCs w:val="24"/>
                <w:highlight w:val="none"/>
              </w:rPr>
            </w:pPr>
            <w:r>
              <w:rPr>
                <w:rFonts w:hint="eastAsia" w:ascii="宋体" w:hAnsi="宋体" w:cs="宋体"/>
                <w:color w:val="auto"/>
                <w:sz w:val="24"/>
                <w:szCs w:val="24"/>
                <w:highlight w:val="none"/>
              </w:rPr>
              <w:t>支持定数包加工管理，可按科室、商品进行定数包加工，并打印唯一标签，科室加工任务完成打印该科室配送清单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支持多加工任务并行管理；</w:t>
            </w:r>
          </w:p>
        </w:tc>
        <w:tc>
          <w:tcPr>
            <w:tcW w:w="622" w:type="pct"/>
            <w:vAlign w:val="center"/>
          </w:tcPr>
          <w:p w14:paraId="499514A4">
            <w:pPr>
              <w:rPr>
                <w:rFonts w:hint="eastAsia" w:ascii="宋体" w:hAnsi="宋体" w:cs="宋体"/>
                <w:color w:val="auto"/>
                <w:sz w:val="24"/>
                <w:szCs w:val="24"/>
                <w:highlight w:val="none"/>
              </w:rPr>
            </w:pPr>
          </w:p>
        </w:tc>
      </w:tr>
      <w:tr w14:paraId="2891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F068D3F">
            <w:pP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4113" w:type="pct"/>
            <w:vAlign w:val="center"/>
          </w:tcPr>
          <w:p w14:paraId="584D4076">
            <w:pPr>
              <w:rPr>
                <w:rFonts w:ascii="宋体" w:hAnsi="宋体" w:cs="宋体"/>
                <w:color w:val="auto"/>
                <w:sz w:val="24"/>
                <w:szCs w:val="24"/>
                <w:highlight w:val="none"/>
              </w:rPr>
            </w:pPr>
            <w:r>
              <w:rPr>
                <w:rFonts w:hint="eastAsia" w:ascii="宋体" w:hAnsi="宋体" w:cs="宋体"/>
                <w:color w:val="auto"/>
                <w:sz w:val="24"/>
                <w:szCs w:val="24"/>
                <w:highlight w:val="none"/>
              </w:rPr>
              <w:t>支持整箱货物、定数包、手术套包收货管理，即可以通过扫码枪对定数包或套包进行验收、上架等操作；</w:t>
            </w:r>
          </w:p>
        </w:tc>
        <w:tc>
          <w:tcPr>
            <w:tcW w:w="622" w:type="pct"/>
            <w:vAlign w:val="center"/>
          </w:tcPr>
          <w:p w14:paraId="36F7084F">
            <w:pPr>
              <w:rPr>
                <w:rFonts w:hint="eastAsia" w:ascii="宋体" w:hAnsi="宋体" w:cs="宋体"/>
                <w:color w:val="auto"/>
                <w:sz w:val="24"/>
                <w:szCs w:val="24"/>
                <w:highlight w:val="none"/>
              </w:rPr>
            </w:pPr>
          </w:p>
        </w:tc>
      </w:tr>
      <w:tr w14:paraId="6B94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3ECDB61">
            <w:pP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4113" w:type="pct"/>
            <w:vAlign w:val="center"/>
          </w:tcPr>
          <w:p w14:paraId="1A44369F">
            <w:pPr>
              <w:rPr>
                <w:rFonts w:ascii="宋体" w:hAnsi="宋体" w:cs="宋体"/>
                <w:color w:val="auto"/>
                <w:sz w:val="24"/>
                <w:szCs w:val="24"/>
                <w:highlight w:val="none"/>
              </w:rPr>
            </w:pPr>
            <w:r>
              <w:rPr>
                <w:rFonts w:hint="eastAsia" w:ascii="宋体" w:hAnsi="宋体" w:cs="宋体"/>
                <w:color w:val="auto"/>
                <w:sz w:val="24"/>
                <w:szCs w:val="24"/>
                <w:highlight w:val="none"/>
              </w:rPr>
              <w:t>支持二级库及周转库退货管理，定数包商品退货、条码管控商品退货管理；支持设置安全库存、补货点、最大库存量等库存管理功能；</w:t>
            </w:r>
          </w:p>
        </w:tc>
        <w:tc>
          <w:tcPr>
            <w:tcW w:w="622" w:type="pct"/>
            <w:vAlign w:val="center"/>
          </w:tcPr>
          <w:p w14:paraId="4DF56795">
            <w:pPr>
              <w:rPr>
                <w:rFonts w:hint="eastAsia" w:ascii="宋体" w:hAnsi="宋体" w:cs="宋体"/>
                <w:color w:val="auto"/>
                <w:sz w:val="24"/>
                <w:szCs w:val="24"/>
                <w:highlight w:val="none"/>
              </w:rPr>
            </w:pPr>
          </w:p>
        </w:tc>
      </w:tr>
      <w:tr w14:paraId="7FFE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58BE264">
            <w:pP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4113" w:type="pct"/>
            <w:vAlign w:val="center"/>
          </w:tcPr>
          <w:p w14:paraId="0D089349">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支持物资系统实时监控库存情况（含整箱货和定数包货品）；</w:t>
            </w:r>
          </w:p>
        </w:tc>
        <w:tc>
          <w:tcPr>
            <w:tcW w:w="622" w:type="pct"/>
            <w:vAlign w:val="center"/>
          </w:tcPr>
          <w:p w14:paraId="085593D7">
            <w:pPr>
              <w:rPr>
                <w:rFonts w:hint="eastAsia" w:ascii="宋体" w:hAnsi="宋体" w:cs="宋体"/>
                <w:color w:val="auto"/>
                <w:sz w:val="24"/>
                <w:szCs w:val="24"/>
                <w:highlight w:val="none"/>
              </w:rPr>
            </w:pPr>
          </w:p>
        </w:tc>
      </w:tr>
      <w:tr w14:paraId="4E4E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81DA47C">
            <w:pP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4113" w:type="pct"/>
            <w:vAlign w:val="center"/>
          </w:tcPr>
          <w:p w14:paraId="761AC24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具有统计分析功能，支持对一种或多种耗材按科室消耗量查询统计、打印、导出等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SPD的物资消耗数据与HRP的财务、运营数据整合，生成统一的分析报表（如科室成本分析、供应商绩效评估）</w:t>
            </w:r>
            <w:r>
              <w:rPr>
                <w:rFonts w:hint="eastAsia" w:ascii="宋体" w:hAnsi="宋体" w:cs="宋体"/>
                <w:color w:val="auto"/>
                <w:sz w:val="24"/>
                <w:szCs w:val="24"/>
                <w:highlight w:val="none"/>
                <w:lang w:eastAsia="zh-CN"/>
              </w:rPr>
              <w:t>；</w:t>
            </w:r>
          </w:p>
        </w:tc>
        <w:tc>
          <w:tcPr>
            <w:tcW w:w="622" w:type="pct"/>
            <w:vAlign w:val="center"/>
          </w:tcPr>
          <w:p w14:paraId="12F5B49B">
            <w:pPr>
              <w:rPr>
                <w:rFonts w:hint="eastAsia" w:ascii="宋体" w:hAnsi="宋体" w:cs="宋体"/>
                <w:color w:val="auto"/>
                <w:sz w:val="24"/>
                <w:szCs w:val="24"/>
                <w:highlight w:val="none"/>
              </w:rPr>
            </w:pPr>
          </w:p>
        </w:tc>
      </w:tr>
      <w:tr w14:paraId="3DB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1B2F329">
            <w:pPr>
              <w:rPr>
                <w:rFonts w:ascii="宋体" w:hAnsi="宋体" w:cs="宋体"/>
                <w:color w:val="auto"/>
                <w:sz w:val="24"/>
                <w:szCs w:val="24"/>
                <w:highlight w:val="none"/>
              </w:rPr>
            </w:pPr>
          </w:p>
        </w:tc>
        <w:tc>
          <w:tcPr>
            <w:tcW w:w="4113" w:type="pct"/>
            <w:vAlign w:val="center"/>
          </w:tcPr>
          <w:p w14:paraId="4BCEE212">
            <w:pPr>
              <w:rPr>
                <w:rFonts w:ascii="宋体" w:hAnsi="宋体" w:cs="宋体"/>
                <w:color w:val="auto"/>
                <w:sz w:val="24"/>
                <w:szCs w:val="24"/>
                <w:highlight w:val="none"/>
              </w:rPr>
            </w:pPr>
            <w:r>
              <w:rPr>
                <w:rFonts w:hint="eastAsia" w:ascii="宋体" w:hAnsi="宋体" w:cs="宋体"/>
                <w:b/>
                <w:color w:val="auto"/>
                <w:sz w:val="24"/>
                <w:szCs w:val="24"/>
                <w:highlight w:val="none"/>
              </w:rPr>
              <w:t>二级库建设：</w:t>
            </w:r>
          </w:p>
        </w:tc>
        <w:tc>
          <w:tcPr>
            <w:tcW w:w="622" w:type="pct"/>
            <w:vAlign w:val="center"/>
          </w:tcPr>
          <w:p w14:paraId="2A65D908">
            <w:pPr>
              <w:rPr>
                <w:rFonts w:hint="eastAsia" w:ascii="宋体" w:hAnsi="宋体" w:cs="宋体"/>
                <w:b/>
                <w:color w:val="auto"/>
                <w:sz w:val="24"/>
                <w:szCs w:val="24"/>
                <w:highlight w:val="none"/>
              </w:rPr>
            </w:pPr>
          </w:p>
        </w:tc>
      </w:tr>
      <w:tr w14:paraId="0DCE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E8BD71A">
            <w:pP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4113" w:type="pct"/>
            <w:vAlign w:val="center"/>
          </w:tcPr>
          <w:p w14:paraId="02ED7710">
            <w:pPr>
              <w:rPr>
                <w:rFonts w:ascii="宋体" w:hAnsi="宋体" w:cs="宋体"/>
                <w:b/>
                <w:color w:val="auto"/>
                <w:sz w:val="24"/>
                <w:szCs w:val="24"/>
                <w:highlight w:val="none"/>
              </w:rPr>
            </w:pPr>
            <w:r>
              <w:rPr>
                <w:rFonts w:hint="eastAsia" w:ascii="宋体" w:hAnsi="宋体" w:cs="宋体"/>
                <w:color w:val="auto"/>
                <w:sz w:val="24"/>
                <w:szCs w:val="24"/>
                <w:highlight w:val="none"/>
              </w:rPr>
              <w:t>提出对各病区二级库进行智能化改造的方案，确保各类物资的有效管理；</w:t>
            </w:r>
          </w:p>
        </w:tc>
        <w:tc>
          <w:tcPr>
            <w:tcW w:w="622" w:type="pct"/>
            <w:vAlign w:val="center"/>
          </w:tcPr>
          <w:p w14:paraId="42655589">
            <w:pPr>
              <w:rPr>
                <w:rFonts w:hint="eastAsia" w:ascii="宋体" w:hAnsi="宋体" w:cs="宋体"/>
                <w:color w:val="auto"/>
                <w:sz w:val="24"/>
                <w:szCs w:val="24"/>
                <w:highlight w:val="none"/>
              </w:rPr>
            </w:pPr>
          </w:p>
        </w:tc>
      </w:tr>
      <w:tr w14:paraId="1EF1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4C0BC7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4113" w:type="pct"/>
            <w:vAlign w:val="center"/>
          </w:tcPr>
          <w:p w14:paraId="427CFAE6">
            <w:pPr>
              <w:rPr>
                <w:rFonts w:ascii="宋体" w:hAnsi="宋体" w:cs="宋体"/>
                <w:color w:val="auto"/>
                <w:sz w:val="24"/>
                <w:szCs w:val="24"/>
                <w:highlight w:val="none"/>
              </w:rPr>
            </w:pPr>
            <w:r>
              <w:rPr>
                <w:rFonts w:hint="eastAsia" w:ascii="宋体" w:hAnsi="宋体" w:cs="宋体"/>
                <w:color w:val="auto"/>
                <w:sz w:val="24"/>
                <w:szCs w:val="24"/>
                <w:highlight w:val="none"/>
              </w:rPr>
              <w:t>针对手术室、导管室、供应室、内镜室、检验科、输血科等特殊科室二级库智能化改造，需根据我院目前情况，配备智能柜</w:t>
            </w:r>
            <w:r>
              <w:rPr>
                <w:rFonts w:hint="eastAsia" w:ascii="宋体" w:hAnsi="宋体" w:cs="宋体"/>
                <w:color w:val="auto"/>
                <w:sz w:val="24"/>
                <w:szCs w:val="24"/>
                <w:highlight w:val="none"/>
                <w:lang w:eastAsia="zh-CN"/>
              </w:rPr>
              <w:t>不少于</w:t>
            </w:r>
            <w:r>
              <w:rPr>
                <w:rFonts w:hint="eastAsia" w:ascii="宋体" w:hAnsi="宋体" w:cs="宋体"/>
                <w:color w:val="auto"/>
                <w:sz w:val="24"/>
                <w:szCs w:val="24"/>
                <w:highlight w:val="none"/>
                <w:lang w:val="en-US" w:eastAsia="zh-CN"/>
              </w:rPr>
              <w:t>12个，</w:t>
            </w:r>
            <w:r>
              <w:rPr>
                <w:rFonts w:hint="eastAsia" w:ascii="宋体" w:hAnsi="宋体" w:cs="宋体"/>
                <w:color w:val="auto"/>
                <w:sz w:val="24"/>
                <w:szCs w:val="24"/>
                <w:highlight w:val="none"/>
              </w:rPr>
              <w:t>冷柜</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智能冷柜</w:t>
            </w:r>
            <w:r>
              <w:rPr>
                <w:rFonts w:hint="eastAsia" w:ascii="宋体" w:hAnsi="宋体" w:cs="宋体"/>
                <w:color w:val="auto"/>
                <w:sz w:val="24"/>
                <w:szCs w:val="24"/>
                <w:highlight w:val="none"/>
                <w:lang w:eastAsia="zh-CN"/>
              </w:rPr>
              <w:t>不少于</w:t>
            </w:r>
            <w:r>
              <w:rPr>
                <w:rFonts w:hint="eastAsia" w:ascii="宋体" w:hAnsi="宋体" w:cs="宋体"/>
                <w:color w:val="auto"/>
                <w:sz w:val="24"/>
                <w:szCs w:val="24"/>
                <w:highlight w:val="none"/>
                <w:lang w:val="en-US" w:eastAsia="zh-CN"/>
              </w:rPr>
              <w:t>30立方米</w:t>
            </w:r>
            <w:r>
              <w:rPr>
                <w:rFonts w:hint="eastAsia" w:ascii="宋体" w:hAnsi="宋体" w:cs="宋体"/>
                <w:color w:val="auto"/>
                <w:sz w:val="24"/>
                <w:szCs w:val="24"/>
                <w:highlight w:val="none"/>
              </w:rPr>
              <w:t>，提供物资管理具体可实施解决方案；</w:t>
            </w:r>
          </w:p>
        </w:tc>
        <w:tc>
          <w:tcPr>
            <w:tcW w:w="622" w:type="pct"/>
            <w:vAlign w:val="center"/>
          </w:tcPr>
          <w:p w14:paraId="49AFAC22">
            <w:pPr>
              <w:rPr>
                <w:rFonts w:hint="eastAsia" w:ascii="宋体" w:hAnsi="宋体" w:cs="宋体"/>
                <w:color w:val="auto"/>
                <w:sz w:val="24"/>
                <w:szCs w:val="24"/>
                <w:highlight w:val="none"/>
              </w:rPr>
            </w:pPr>
          </w:p>
        </w:tc>
      </w:tr>
      <w:tr w14:paraId="29CD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159696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4113" w:type="pct"/>
            <w:vAlign w:val="center"/>
          </w:tcPr>
          <w:p w14:paraId="06D2FC8E">
            <w:pPr>
              <w:rPr>
                <w:rFonts w:ascii="宋体" w:hAnsi="宋体" w:cs="宋体"/>
                <w:color w:val="auto"/>
                <w:sz w:val="24"/>
                <w:szCs w:val="24"/>
                <w:highlight w:val="none"/>
              </w:rPr>
            </w:pPr>
            <w:r>
              <w:rPr>
                <w:rFonts w:hint="eastAsia" w:ascii="宋体" w:hAnsi="宋体" w:cs="宋体"/>
                <w:color w:val="auto"/>
                <w:sz w:val="24"/>
                <w:szCs w:val="24"/>
                <w:highlight w:val="none"/>
              </w:rPr>
              <w:t>消耗管理，送货到使用部门，明确物权转移交接点在临床扫描消耗后，实现零库存，并支持相关查询；</w:t>
            </w:r>
          </w:p>
        </w:tc>
        <w:tc>
          <w:tcPr>
            <w:tcW w:w="622" w:type="pct"/>
            <w:vAlign w:val="center"/>
          </w:tcPr>
          <w:p w14:paraId="6B06399A">
            <w:pPr>
              <w:rPr>
                <w:rFonts w:hint="eastAsia" w:ascii="宋体" w:hAnsi="宋体" w:cs="宋体"/>
                <w:color w:val="auto"/>
                <w:sz w:val="24"/>
                <w:szCs w:val="24"/>
                <w:highlight w:val="none"/>
              </w:rPr>
            </w:pPr>
          </w:p>
        </w:tc>
      </w:tr>
      <w:tr w14:paraId="505D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43E784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p>
        </w:tc>
        <w:tc>
          <w:tcPr>
            <w:tcW w:w="4113" w:type="pct"/>
            <w:vAlign w:val="center"/>
          </w:tcPr>
          <w:p w14:paraId="432036C9">
            <w:pPr>
              <w:rPr>
                <w:rFonts w:ascii="宋体" w:hAnsi="宋体" w:cs="宋体"/>
                <w:color w:val="auto"/>
                <w:sz w:val="24"/>
                <w:szCs w:val="24"/>
                <w:highlight w:val="none"/>
              </w:rPr>
            </w:pPr>
            <w:r>
              <w:rPr>
                <w:rFonts w:hint="eastAsia" w:ascii="宋体" w:hAnsi="宋体" w:cs="宋体"/>
                <w:color w:val="auto"/>
                <w:sz w:val="24"/>
                <w:szCs w:val="24"/>
                <w:highlight w:val="none"/>
              </w:rPr>
              <w:t>根据科室情况设置定数包数量；支持科室定数包库存设置、库存盘点、管控商品库存设置，支持上架确认管理；</w:t>
            </w:r>
          </w:p>
        </w:tc>
        <w:tc>
          <w:tcPr>
            <w:tcW w:w="622" w:type="pct"/>
            <w:vAlign w:val="center"/>
          </w:tcPr>
          <w:p w14:paraId="77D372AA">
            <w:pPr>
              <w:rPr>
                <w:rFonts w:hint="eastAsia" w:ascii="宋体" w:hAnsi="宋体" w:cs="宋体"/>
                <w:color w:val="auto"/>
                <w:sz w:val="24"/>
                <w:szCs w:val="24"/>
                <w:highlight w:val="none"/>
              </w:rPr>
            </w:pPr>
          </w:p>
        </w:tc>
      </w:tr>
      <w:tr w14:paraId="6C92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66DB18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p>
        </w:tc>
        <w:tc>
          <w:tcPr>
            <w:tcW w:w="4113" w:type="pct"/>
            <w:vAlign w:val="center"/>
          </w:tcPr>
          <w:p w14:paraId="133747E3">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支持科室高值耗材手工请领管理，支持高值耗材接收确认管理，支持拆零库管理，支持医嘱收费记录查询，支持高值耗材使用确认管理；</w:t>
            </w:r>
            <w:r>
              <w:rPr>
                <w:rFonts w:hint="eastAsia" w:ascii="宋体" w:hAnsi="宋体" w:cs="宋体"/>
                <w:color w:val="auto"/>
                <w:sz w:val="24"/>
                <w:szCs w:val="24"/>
                <w:highlight w:val="none"/>
                <w:lang w:eastAsia="zh-CN"/>
              </w:rPr>
              <w:t>支持根据医院对高值耗材使用量的考核，按自定义时间段可汇总出高值耗材的使用排名、同比、环比使用数据分析；</w:t>
            </w:r>
          </w:p>
        </w:tc>
        <w:tc>
          <w:tcPr>
            <w:tcW w:w="622" w:type="pct"/>
            <w:vAlign w:val="center"/>
          </w:tcPr>
          <w:p w14:paraId="63DFA424">
            <w:pPr>
              <w:rPr>
                <w:rFonts w:hint="eastAsia" w:ascii="宋体" w:hAnsi="宋体" w:cs="宋体"/>
                <w:color w:val="auto"/>
                <w:sz w:val="24"/>
                <w:szCs w:val="24"/>
                <w:highlight w:val="none"/>
              </w:rPr>
            </w:pPr>
          </w:p>
        </w:tc>
      </w:tr>
      <w:tr w14:paraId="1666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B5680C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p>
        </w:tc>
        <w:tc>
          <w:tcPr>
            <w:tcW w:w="4113" w:type="pct"/>
            <w:vAlign w:val="center"/>
          </w:tcPr>
          <w:p w14:paraId="6C01E288">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支持耗材用量预警管理，当该耗材日消耗量超出设置范围，通过信息手段向科室耗材使用负责人发送通知，当月消耗量超出设置范围，向科室耗材使用负责人和医院耗材管理人员发送通知；</w:t>
            </w:r>
            <w:r>
              <w:rPr>
                <w:rFonts w:hint="eastAsia" w:ascii="宋体" w:hAnsi="宋体" w:cs="宋体"/>
                <w:color w:val="auto"/>
                <w:sz w:val="24"/>
                <w:szCs w:val="24"/>
                <w:highlight w:val="none"/>
                <w:lang w:eastAsia="zh-CN"/>
              </w:rPr>
              <w:t>支持根据医院对医用耗材使用科室的考核，每月科室数据进行统计，包括：当月耗材使用量、同比、环比使用数据、收费耗材及不收费耗材的数据比例等；</w:t>
            </w:r>
            <w:r>
              <w:rPr>
                <w:rFonts w:hint="eastAsia" w:ascii="宋体" w:hAnsi="宋体" w:cs="宋体"/>
                <w:color w:val="auto"/>
                <w:sz w:val="24"/>
                <w:szCs w:val="24"/>
                <w:highlight w:val="none"/>
              </w:rPr>
              <w:t>SPD触发库存预警（低于安全库存）时，自动推送补货请求至HRP，触发采购流程</w:t>
            </w:r>
            <w:r>
              <w:rPr>
                <w:rFonts w:hint="eastAsia" w:ascii="宋体" w:hAnsi="宋体" w:cs="宋体"/>
                <w:color w:val="auto"/>
                <w:sz w:val="24"/>
                <w:szCs w:val="24"/>
                <w:highlight w:val="none"/>
                <w:lang w:eastAsia="zh-CN"/>
              </w:rPr>
              <w:t>；</w:t>
            </w:r>
          </w:p>
        </w:tc>
        <w:tc>
          <w:tcPr>
            <w:tcW w:w="622" w:type="pct"/>
            <w:vAlign w:val="center"/>
          </w:tcPr>
          <w:p w14:paraId="1CE11702">
            <w:pPr>
              <w:rPr>
                <w:rFonts w:hint="eastAsia" w:ascii="宋体" w:hAnsi="宋体" w:cs="宋体"/>
                <w:color w:val="auto"/>
                <w:sz w:val="24"/>
                <w:szCs w:val="24"/>
                <w:highlight w:val="none"/>
              </w:rPr>
            </w:pPr>
          </w:p>
        </w:tc>
      </w:tr>
      <w:tr w14:paraId="702F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AB3309B">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p>
        </w:tc>
        <w:tc>
          <w:tcPr>
            <w:tcW w:w="4113" w:type="pct"/>
            <w:vAlign w:val="center"/>
          </w:tcPr>
          <w:p w14:paraId="5DD47F2D">
            <w:pPr>
              <w:rPr>
                <w:rFonts w:ascii="宋体" w:hAnsi="宋体" w:cs="宋体"/>
                <w:color w:val="auto"/>
                <w:sz w:val="24"/>
                <w:szCs w:val="24"/>
                <w:highlight w:val="none"/>
              </w:rPr>
            </w:pPr>
            <w:r>
              <w:rPr>
                <w:rFonts w:hint="eastAsia" w:ascii="宋体" w:hAnsi="宋体" w:cs="宋体"/>
                <w:color w:val="auto"/>
                <w:sz w:val="24"/>
                <w:szCs w:val="24"/>
                <w:highlight w:val="none"/>
              </w:rPr>
              <w:t>特定物资支持控量管理，</w:t>
            </w:r>
            <w:r>
              <w:rPr>
                <w:rFonts w:hint="eastAsia" w:ascii="宋体" w:hAnsi="宋体" w:cs="宋体"/>
                <w:color w:val="auto"/>
                <w:sz w:val="24"/>
                <w:szCs w:val="24"/>
                <w:highlight w:val="none"/>
                <w:lang w:eastAsia="zh-CN"/>
              </w:rPr>
              <w:t>支持限量耗材精细化管理功能，可根据科室实际需求或带量采购的目标数量，在系统中预先设定耗材使用上限，限制科室使用量；</w:t>
            </w:r>
          </w:p>
        </w:tc>
        <w:tc>
          <w:tcPr>
            <w:tcW w:w="622" w:type="pct"/>
            <w:vAlign w:val="center"/>
          </w:tcPr>
          <w:p w14:paraId="683362B7">
            <w:pPr>
              <w:rPr>
                <w:rFonts w:hint="eastAsia" w:ascii="宋体" w:hAnsi="宋体" w:cs="宋体"/>
                <w:color w:val="auto"/>
                <w:sz w:val="24"/>
                <w:szCs w:val="24"/>
                <w:highlight w:val="none"/>
              </w:rPr>
            </w:pPr>
          </w:p>
        </w:tc>
      </w:tr>
      <w:tr w14:paraId="7800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A580DFB">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8</w:t>
            </w:r>
          </w:p>
        </w:tc>
        <w:tc>
          <w:tcPr>
            <w:tcW w:w="4113" w:type="pct"/>
            <w:vAlign w:val="center"/>
          </w:tcPr>
          <w:p w14:paraId="35F22A36">
            <w:pPr>
              <w:rPr>
                <w:rFonts w:ascii="宋体" w:hAnsi="宋体" w:cs="宋体"/>
                <w:color w:val="auto"/>
                <w:sz w:val="24"/>
                <w:szCs w:val="24"/>
                <w:highlight w:val="none"/>
              </w:rPr>
            </w:pPr>
            <w:r>
              <w:rPr>
                <w:rFonts w:hint="eastAsia" w:ascii="宋体" w:hAnsi="宋体" w:cs="宋体"/>
                <w:color w:val="auto"/>
                <w:sz w:val="24"/>
                <w:szCs w:val="24"/>
                <w:highlight w:val="none"/>
              </w:rPr>
              <w:t>收费耗材出库后，超过12小时未收费且未退回，需有提醒功能；</w:t>
            </w:r>
          </w:p>
        </w:tc>
        <w:tc>
          <w:tcPr>
            <w:tcW w:w="622" w:type="pct"/>
            <w:vAlign w:val="center"/>
          </w:tcPr>
          <w:p w14:paraId="348BE08E">
            <w:pPr>
              <w:rPr>
                <w:rFonts w:hint="eastAsia" w:ascii="宋体" w:hAnsi="宋体" w:cs="宋体"/>
                <w:color w:val="auto"/>
                <w:sz w:val="24"/>
                <w:szCs w:val="24"/>
                <w:highlight w:val="none"/>
              </w:rPr>
            </w:pPr>
          </w:p>
        </w:tc>
      </w:tr>
      <w:tr w14:paraId="2FBE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CADCC7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9</w:t>
            </w:r>
          </w:p>
        </w:tc>
        <w:tc>
          <w:tcPr>
            <w:tcW w:w="4113" w:type="pct"/>
            <w:vAlign w:val="center"/>
          </w:tcPr>
          <w:p w14:paraId="74971A7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支持系统制作医嘱核销单管理，核销单支持批量核销，核销单展现当前期间接收明细、消耗明细、库存明细、条码等相关信息，支持条码耗材收费再退费确认管理</w:t>
            </w:r>
            <w:r>
              <w:rPr>
                <w:rFonts w:hint="eastAsia" w:ascii="宋体" w:hAnsi="宋体" w:cs="宋体"/>
                <w:color w:val="auto"/>
                <w:sz w:val="24"/>
                <w:szCs w:val="24"/>
                <w:highlight w:val="none"/>
                <w:lang w:eastAsia="zh-CN"/>
              </w:rPr>
              <w:t>；支持根据科室领用的可收费耗材数量，控制科室收费数量，杜绝科室多收费、串收费的情况，符合飞检要求；</w:t>
            </w:r>
          </w:p>
        </w:tc>
        <w:tc>
          <w:tcPr>
            <w:tcW w:w="622" w:type="pct"/>
            <w:vAlign w:val="center"/>
          </w:tcPr>
          <w:p w14:paraId="2C7CAF42">
            <w:pPr>
              <w:rPr>
                <w:rFonts w:hint="eastAsia" w:ascii="宋体" w:hAnsi="宋体" w:cs="宋体"/>
                <w:color w:val="auto"/>
                <w:sz w:val="24"/>
                <w:szCs w:val="24"/>
                <w:highlight w:val="none"/>
              </w:rPr>
            </w:pPr>
          </w:p>
        </w:tc>
      </w:tr>
      <w:tr w14:paraId="6E1F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EDE7EDA">
            <w:pP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30</w:t>
            </w:r>
          </w:p>
        </w:tc>
        <w:tc>
          <w:tcPr>
            <w:tcW w:w="4113" w:type="pct"/>
            <w:vAlign w:val="center"/>
          </w:tcPr>
          <w:p w14:paraId="724F648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三级库管理：从二级库房扫码出库，纳入三级库管理的医用物资在病区的具体使用形成追溯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具体是指医嘱收费和诊疗项目消耗耗材在病区病人使用过程中的流向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其目的是为了规范医务人员使用耗材的准确性和规范性</w:t>
            </w:r>
            <w:r>
              <w:rPr>
                <w:rFonts w:hint="eastAsia" w:ascii="宋体" w:hAnsi="宋体" w:cs="宋体"/>
                <w:color w:val="auto"/>
                <w:sz w:val="24"/>
                <w:szCs w:val="24"/>
                <w:highlight w:val="none"/>
                <w:lang w:eastAsia="zh-CN"/>
              </w:rPr>
              <w:t>；</w:t>
            </w:r>
          </w:p>
        </w:tc>
        <w:tc>
          <w:tcPr>
            <w:tcW w:w="622" w:type="pct"/>
            <w:vAlign w:val="center"/>
          </w:tcPr>
          <w:p w14:paraId="2CB457B3">
            <w:pPr>
              <w:rPr>
                <w:rFonts w:hint="eastAsia" w:ascii="宋体" w:hAnsi="宋体" w:cs="宋体"/>
                <w:color w:val="auto"/>
                <w:sz w:val="24"/>
                <w:szCs w:val="24"/>
                <w:highlight w:val="none"/>
              </w:rPr>
            </w:pPr>
          </w:p>
        </w:tc>
      </w:tr>
      <w:tr w14:paraId="5BEB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5E9AFF1">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1</w:t>
            </w:r>
          </w:p>
        </w:tc>
        <w:tc>
          <w:tcPr>
            <w:tcW w:w="4113" w:type="pct"/>
            <w:vAlign w:val="center"/>
          </w:tcPr>
          <w:p w14:paraId="4DE5F90A">
            <w:pPr>
              <w:rPr>
                <w:rFonts w:hint="default" w:eastAsia="宋体"/>
                <w:color w:val="auto"/>
                <w:sz w:val="24"/>
                <w:szCs w:val="24"/>
                <w:highlight w:val="none"/>
                <w:lang w:val="en-US" w:eastAsia="zh-CN"/>
              </w:rPr>
            </w:pPr>
            <w:r>
              <w:rPr>
                <w:rFonts w:hint="eastAsia"/>
                <w:color w:val="auto"/>
                <w:sz w:val="24"/>
                <w:szCs w:val="24"/>
                <w:highlight w:val="none"/>
              </w:rPr>
              <w:t>手术室管理人员通过手术管理对医院的手术分类及定义、手术明细和手术类型进行个性化设置</w:t>
            </w:r>
            <w:r>
              <w:rPr>
                <w:rFonts w:hint="eastAsia"/>
                <w:color w:val="auto"/>
                <w:sz w:val="24"/>
                <w:szCs w:val="24"/>
                <w:highlight w:val="none"/>
                <w:lang w:eastAsia="zh-CN"/>
              </w:rPr>
              <w:t>，</w:t>
            </w:r>
            <w:r>
              <w:rPr>
                <w:rFonts w:hint="eastAsia"/>
                <w:color w:val="auto"/>
                <w:sz w:val="24"/>
                <w:szCs w:val="24"/>
                <w:highlight w:val="none"/>
                <w:lang w:val="en-US" w:eastAsia="zh-CN"/>
              </w:rPr>
              <w:t>具体按手术室要求执行；</w:t>
            </w:r>
          </w:p>
          <w:p w14:paraId="0B68A768">
            <w:pPr>
              <w:rPr>
                <w:rFonts w:hint="eastAsia"/>
                <w:color w:val="auto"/>
                <w:sz w:val="24"/>
                <w:szCs w:val="24"/>
                <w:highlight w:val="none"/>
                <w:lang w:eastAsia="zh-CN"/>
              </w:rPr>
            </w:pPr>
            <w:r>
              <w:rPr>
                <w:rFonts w:hint="eastAsia"/>
                <w:color w:val="auto"/>
                <w:sz w:val="24"/>
                <w:szCs w:val="24"/>
                <w:highlight w:val="none"/>
              </w:rPr>
              <w:t>术式套包维护功能：手术室管理人员通过对术式套包进行手术对照、库位设置、箱号维护、箱号对照等完成套包在手术室管理全流程操作节点的设置</w:t>
            </w:r>
            <w:r>
              <w:rPr>
                <w:rFonts w:hint="eastAsia"/>
                <w:color w:val="auto"/>
                <w:sz w:val="24"/>
                <w:szCs w:val="24"/>
                <w:highlight w:val="none"/>
                <w:lang w:eastAsia="zh-CN"/>
              </w:rPr>
              <w:t>；</w:t>
            </w:r>
          </w:p>
          <w:p w14:paraId="685A4395">
            <w:pPr>
              <w:rPr>
                <w:rFonts w:hint="eastAsia" w:eastAsia="宋体"/>
                <w:color w:val="auto"/>
                <w:sz w:val="24"/>
                <w:szCs w:val="24"/>
                <w:highlight w:val="none"/>
                <w:lang w:eastAsia="zh-CN"/>
              </w:rPr>
            </w:pPr>
            <w:r>
              <w:rPr>
                <w:rFonts w:hint="eastAsia"/>
                <w:color w:val="auto"/>
                <w:sz w:val="24"/>
                <w:szCs w:val="24"/>
                <w:highlight w:val="none"/>
              </w:rPr>
              <w:t>术式套包领取管理功能：该功能通过对接手术室手麻系统，提前接收手术排程及手术信息，套包领用时能够准确定位患者姓名、住院号、术间、台次、巡回护士、洗手护士、主刀医生等信息，节约护士单独配取一台手术所有耗材的时间，同时记录信息，使得被领取的套包能够实现全程追溯</w:t>
            </w:r>
            <w:r>
              <w:rPr>
                <w:rFonts w:hint="eastAsia"/>
                <w:color w:val="auto"/>
                <w:sz w:val="24"/>
                <w:szCs w:val="24"/>
                <w:highlight w:val="none"/>
                <w:lang w:eastAsia="zh-CN"/>
              </w:rPr>
              <w:t>；</w:t>
            </w:r>
          </w:p>
          <w:p w14:paraId="7D1FC693">
            <w:pPr>
              <w:rPr>
                <w:rFonts w:hint="eastAsia" w:eastAsia="宋体"/>
                <w:color w:val="auto"/>
                <w:sz w:val="24"/>
                <w:szCs w:val="24"/>
                <w:highlight w:val="none"/>
                <w:lang w:eastAsia="zh-CN"/>
              </w:rPr>
            </w:pPr>
            <w:r>
              <w:rPr>
                <w:rFonts w:hint="eastAsia"/>
                <w:color w:val="auto"/>
                <w:sz w:val="24"/>
                <w:szCs w:val="24"/>
                <w:highlight w:val="none"/>
              </w:rPr>
              <w:t>术式套包回库功能：手术结束，套包进行回库，系统自动展现套包明细、使用明细、回库明细，与手术巡回单进行核对，使得回库操作更加快捷、有序、无误，从而确保耗材流通安全</w:t>
            </w:r>
            <w:r>
              <w:rPr>
                <w:rFonts w:hint="eastAsia"/>
                <w:color w:val="auto"/>
                <w:sz w:val="24"/>
                <w:szCs w:val="24"/>
                <w:highlight w:val="none"/>
                <w:lang w:eastAsia="zh-CN"/>
              </w:rPr>
              <w:t>；</w:t>
            </w:r>
          </w:p>
          <w:p w14:paraId="55FADAEE">
            <w:pPr>
              <w:rPr>
                <w:rFonts w:hint="eastAsia" w:eastAsia="宋体"/>
                <w:color w:val="auto"/>
                <w:sz w:val="24"/>
                <w:szCs w:val="24"/>
                <w:highlight w:val="none"/>
                <w:lang w:eastAsia="zh-CN"/>
              </w:rPr>
            </w:pPr>
            <w:r>
              <w:rPr>
                <w:rFonts w:hint="eastAsia"/>
                <w:color w:val="auto"/>
                <w:sz w:val="24"/>
                <w:szCs w:val="24"/>
                <w:highlight w:val="none"/>
              </w:rPr>
              <w:t>术式套包补货功能：系统根据已回库套包的使用明细作为该套包的补货明细，方便手术室操作，套包循环利用，使得套包在手术室能够高效运转</w:t>
            </w:r>
            <w:r>
              <w:rPr>
                <w:rFonts w:hint="eastAsia"/>
                <w:color w:val="auto"/>
                <w:sz w:val="24"/>
                <w:szCs w:val="24"/>
                <w:highlight w:val="none"/>
                <w:lang w:eastAsia="zh-CN"/>
              </w:rPr>
              <w:t>；</w:t>
            </w:r>
          </w:p>
          <w:p w14:paraId="143EF6C3">
            <w:pPr>
              <w:tabs>
                <w:tab w:val="center" w:pos="3957"/>
              </w:tabs>
              <w:rPr>
                <w:rFonts w:hint="eastAsia" w:eastAsia="宋体"/>
                <w:color w:val="auto"/>
                <w:sz w:val="24"/>
                <w:szCs w:val="24"/>
                <w:highlight w:val="none"/>
                <w:lang w:eastAsia="zh-CN"/>
              </w:rPr>
            </w:pPr>
            <w:r>
              <w:rPr>
                <w:rFonts w:hint="eastAsia"/>
                <w:color w:val="auto"/>
                <w:sz w:val="24"/>
                <w:szCs w:val="24"/>
                <w:highlight w:val="none"/>
              </w:rPr>
              <w:t>术式套包更换住院号功能：该功能主要针对手术临时更换，方便巡回护士无需再次到手术室无菌室进行套包的回库和领用操作，直接在术间进行更换住院号，节省巡回护士时间，提高工作效率,提高翻台率</w:t>
            </w:r>
            <w:r>
              <w:rPr>
                <w:rFonts w:hint="eastAsia"/>
                <w:color w:val="auto"/>
                <w:sz w:val="24"/>
                <w:szCs w:val="24"/>
                <w:highlight w:val="none"/>
                <w:lang w:eastAsia="zh-CN"/>
              </w:rPr>
              <w:t>；</w:t>
            </w:r>
          </w:p>
          <w:p w14:paraId="4F3F609F">
            <w:pPr>
              <w:pStyle w:val="34"/>
              <w:ind w:left="0" w:leftChars="0" w:firstLine="0" w:firstLineChars="0"/>
              <w:rPr>
                <w:rFonts w:hint="eastAsia" w:eastAsia="宋体"/>
                <w:color w:val="auto"/>
                <w:highlight w:val="none"/>
                <w:lang w:eastAsia="zh-CN"/>
              </w:rPr>
            </w:pPr>
            <w:r>
              <w:rPr>
                <w:rFonts w:hint="eastAsia" w:ascii="宋体" w:hAnsi="宋体" w:cs="宋体"/>
                <w:color w:val="auto"/>
                <w:sz w:val="24"/>
                <w:szCs w:val="24"/>
                <w:highlight w:val="none"/>
                <w:lang w:eastAsia="zh-CN"/>
              </w:rPr>
              <w:t>支持骨科跟台耗材管理，术中可直接扫码计费，无需后补码计费；</w:t>
            </w:r>
          </w:p>
        </w:tc>
        <w:tc>
          <w:tcPr>
            <w:tcW w:w="622" w:type="pct"/>
            <w:vAlign w:val="center"/>
          </w:tcPr>
          <w:p w14:paraId="75E5D067">
            <w:pPr>
              <w:pStyle w:val="34"/>
              <w:ind w:left="0" w:leftChars="0" w:firstLine="0" w:firstLineChars="0"/>
              <w:rPr>
                <w:rFonts w:hint="eastAsia" w:ascii="宋体" w:hAnsi="宋体" w:cs="宋体"/>
                <w:color w:val="auto"/>
                <w:sz w:val="24"/>
                <w:szCs w:val="24"/>
                <w:highlight w:val="none"/>
                <w:lang w:eastAsia="zh-CN"/>
              </w:rPr>
            </w:pPr>
          </w:p>
        </w:tc>
      </w:tr>
      <w:tr w14:paraId="2315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3B58BA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p>
        </w:tc>
        <w:tc>
          <w:tcPr>
            <w:tcW w:w="4113" w:type="pct"/>
            <w:vAlign w:val="center"/>
          </w:tcPr>
          <w:p w14:paraId="72CD5697">
            <w:pPr>
              <w:rPr>
                <w:rFonts w:ascii="宋体" w:hAnsi="宋体" w:cs="宋体"/>
                <w:color w:val="auto"/>
                <w:sz w:val="24"/>
                <w:szCs w:val="24"/>
                <w:highlight w:val="none"/>
              </w:rPr>
            </w:pPr>
            <w:r>
              <w:rPr>
                <w:rFonts w:hint="eastAsia" w:ascii="宋体" w:hAnsi="宋体" w:cs="宋体"/>
                <w:color w:val="auto"/>
                <w:sz w:val="24"/>
                <w:szCs w:val="24"/>
                <w:highlight w:val="none"/>
              </w:rPr>
              <w:t>支持高值医用耗材单件管理，实现一物一码，</w:t>
            </w:r>
            <w:r>
              <w:rPr>
                <w:rFonts w:hint="eastAsia" w:ascii="宋体" w:hAnsi="宋体" w:cs="宋体"/>
                <w:color w:val="auto"/>
                <w:sz w:val="24"/>
                <w:szCs w:val="24"/>
                <w:highlight w:val="none"/>
                <w:lang w:eastAsia="zh-CN"/>
              </w:rPr>
              <w:t>可追溯病人信息，</w:t>
            </w:r>
            <w:r>
              <w:rPr>
                <w:rFonts w:hint="eastAsia" w:ascii="宋体" w:hAnsi="宋体" w:cs="宋体"/>
                <w:color w:val="auto"/>
                <w:sz w:val="24"/>
                <w:szCs w:val="24"/>
                <w:highlight w:val="none"/>
              </w:rPr>
              <w:t>并对应收费条目；</w:t>
            </w:r>
          </w:p>
        </w:tc>
        <w:tc>
          <w:tcPr>
            <w:tcW w:w="622" w:type="pct"/>
            <w:vAlign w:val="center"/>
          </w:tcPr>
          <w:p w14:paraId="14B0A91E">
            <w:pPr>
              <w:rPr>
                <w:rFonts w:hint="eastAsia" w:ascii="宋体" w:hAnsi="宋体" w:cs="宋体"/>
                <w:color w:val="auto"/>
                <w:sz w:val="24"/>
                <w:szCs w:val="24"/>
                <w:highlight w:val="none"/>
              </w:rPr>
            </w:pPr>
          </w:p>
        </w:tc>
      </w:tr>
      <w:tr w14:paraId="3EE5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99AB4BD">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p>
        </w:tc>
        <w:tc>
          <w:tcPr>
            <w:tcW w:w="4113" w:type="pct"/>
            <w:vAlign w:val="center"/>
          </w:tcPr>
          <w:p w14:paraId="3355F3F2">
            <w:pPr>
              <w:rPr>
                <w:rFonts w:ascii="宋体" w:hAnsi="宋体" w:cs="宋体"/>
                <w:color w:val="auto"/>
                <w:sz w:val="24"/>
                <w:szCs w:val="24"/>
                <w:highlight w:val="none"/>
              </w:rPr>
            </w:pPr>
            <w:r>
              <w:rPr>
                <w:rFonts w:hint="eastAsia" w:ascii="宋体" w:hAnsi="宋体" w:cs="宋体"/>
                <w:color w:val="auto"/>
                <w:sz w:val="24"/>
                <w:szCs w:val="24"/>
                <w:highlight w:val="none"/>
              </w:rPr>
              <w:t>高值耗材的申领、使用到结算，利用现代化物流存储设备及信息系统，实现从使用到结算全程可追溯管理；</w:t>
            </w:r>
          </w:p>
        </w:tc>
        <w:tc>
          <w:tcPr>
            <w:tcW w:w="622" w:type="pct"/>
            <w:vAlign w:val="center"/>
          </w:tcPr>
          <w:p w14:paraId="431673F6">
            <w:pPr>
              <w:rPr>
                <w:rFonts w:hint="eastAsia" w:ascii="宋体" w:hAnsi="宋体" w:cs="宋体"/>
                <w:color w:val="auto"/>
                <w:sz w:val="24"/>
                <w:szCs w:val="24"/>
                <w:highlight w:val="none"/>
              </w:rPr>
            </w:pPr>
          </w:p>
        </w:tc>
      </w:tr>
      <w:tr w14:paraId="6A28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1811EC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p>
        </w:tc>
        <w:tc>
          <w:tcPr>
            <w:tcW w:w="4113" w:type="pct"/>
            <w:vAlign w:val="center"/>
          </w:tcPr>
          <w:p w14:paraId="2AF08FE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针对医院将来新入医院采购目录的高值收费产品，加入系统目录前应有相关审批程序或专人授权</w:t>
            </w:r>
            <w:r>
              <w:rPr>
                <w:rFonts w:hint="eastAsia" w:ascii="宋体" w:hAnsi="宋体" w:cs="宋体"/>
                <w:color w:val="auto"/>
                <w:sz w:val="24"/>
                <w:szCs w:val="24"/>
                <w:highlight w:val="none"/>
                <w:lang w:eastAsia="zh-CN"/>
              </w:rPr>
              <w:t>；</w:t>
            </w:r>
          </w:p>
        </w:tc>
        <w:tc>
          <w:tcPr>
            <w:tcW w:w="622" w:type="pct"/>
            <w:vAlign w:val="center"/>
          </w:tcPr>
          <w:p w14:paraId="134E417D">
            <w:pPr>
              <w:rPr>
                <w:rFonts w:hint="eastAsia" w:ascii="宋体" w:hAnsi="宋体" w:cs="宋体"/>
                <w:color w:val="auto"/>
                <w:sz w:val="24"/>
                <w:szCs w:val="24"/>
                <w:highlight w:val="none"/>
              </w:rPr>
            </w:pPr>
          </w:p>
        </w:tc>
      </w:tr>
      <w:tr w14:paraId="1AC5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F31E710">
            <w:pPr>
              <w:rPr>
                <w:rFonts w:ascii="宋体" w:hAnsi="宋体" w:cs="宋体"/>
                <w:color w:val="auto"/>
                <w:sz w:val="24"/>
                <w:szCs w:val="24"/>
                <w:highlight w:val="none"/>
              </w:rPr>
            </w:pPr>
          </w:p>
        </w:tc>
        <w:tc>
          <w:tcPr>
            <w:tcW w:w="4113" w:type="pct"/>
            <w:vAlign w:val="center"/>
          </w:tcPr>
          <w:p w14:paraId="634A34F1">
            <w:pPr>
              <w:rPr>
                <w:rFonts w:ascii="宋体" w:hAnsi="宋体" w:cs="宋体"/>
                <w:color w:val="auto"/>
                <w:sz w:val="24"/>
                <w:szCs w:val="24"/>
                <w:highlight w:val="none"/>
              </w:rPr>
            </w:pPr>
            <w:r>
              <w:rPr>
                <w:rFonts w:hint="eastAsia" w:ascii="宋体" w:hAnsi="宋体" w:cs="宋体"/>
                <w:b/>
                <w:color w:val="auto"/>
                <w:sz w:val="24"/>
                <w:szCs w:val="24"/>
                <w:highlight w:val="none"/>
              </w:rPr>
              <w:t>试剂管理：</w:t>
            </w:r>
          </w:p>
        </w:tc>
        <w:tc>
          <w:tcPr>
            <w:tcW w:w="622" w:type="pct"/>
            <w:vAlign w:val="center"/>
          </w:tcPr>
          <w:p w14:paraId="4866AFE9">
            <w:pPr>
              <w:rPr>
                <w:rFonts w:hint="eastAsia" w:ascii="宋体" w:hAnsi="宋体" w:cs="宋体"/>
                <w:b/>
                <w:color w:val="auto"/>
                <w:sz w:val="24"/>
                <w:szCs w:val="24"/>
                <w:highlight w:val="none"/>
              </w:rPr>
            </w:pPr>
          </w:p>
        </w:tc>
      </w:tr>
      <w:tr w14:paraId="6BF6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CDB0B5A">
            <w:pPr>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p>
        </w:tc>
        <w:tc>
          <w:tcPr>
            <w:tcW w:w="4113" w:type="pct"/>
            <w:vAlign w:val="center"/>
          </w:tcPr>
          <w:p w14:paraId="1D9EB2E1">
            <w:pP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rPr>
              <w:t>根据我院现有库存条件改造，实现库存计数统计，根据消耗量做到按周或按月计划补货，避免计划杂乱</w:t>
            </w:r>
            <w:r>
              <w:rPr>
                <w:rFonts w:hint="eastAsia" w:ascii="宋体" w:hAnsi="宋体" w:cs="宋体"/>
                <w:color w:val="auto"/>
                <w:sz w:val="24"/>
                <w:szCs w:val="24"/>
                <w:highlight w:val="none"/>
                <w:lang w:eastAsia="zh-CN"/>
              </w:rPr>
              <w:t>；</w:t>
            </w:r>
          </w:p>
        </w:tc>
        <w:tc>
          <w:tcPr>
            <w:tcW w:w="622" w:type="pct"/>
            <w:vAlign w:val="center"/>
          </w:tcPr>
          <w:p w14:paraId="3DBE1E7E">
            <w:pPr>
              <w:rPr>
                <w:rFonts w:hint="eastAsia" w:ascii="宋体" w:hAnsi="宋体" w:cs="宋体"/>
                <w:color w:val="auto"/>
                <w:sz w:val="24"/>
                <w:szCs w:val="24"/>
                <w:highlight w:val="none"/>
              </w:rPr>
            </w:pPr>
          </w:p>
        </w:tc>
      </w:tr>
      <w:tr w14:paraId="5D5C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207C8F3">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p>
        </w:tc>
        <w:tc>
          <w:tcPr>
            <w:tcW w:w="4113" w:type="pct"/>
            <w:vAlign w:val="center"/>
          </w:tcPr>
          <w:p w14:paraId="774F33FA">
            <w:pPr>
              <w:rPr>
                <w:rFonts w:ascii="宋体" w:hAnsi="宋体" w:cs="宋体"/>
                <w:color w:val="auto"/>
                <w:sz w:val="24"/>
                <w:szCs w:val="24"/>
                <w:highlight w:val="none"/>
              </w:rPr>
            </w:pPr>
            <w:r>
              <w:rPr>
                <w:rFonts w:hint="eastAsia" w:ascii="宋体" w:hAnsi="宋体" w:cs="宋体"/>
                <w:color w:val="auto"/>
                <w:sz w:val="24"/>
                <w:szCs w:val="24"/>
                <w:highlight w:val="none"/>
              </w:rPr>
              <w:t>确保冷链要求，</w:t>
            </w:r>
            <w:r>
              <w:rPr>
                <w:rFonts w:hint="eastAsia" w:ascii="宋体" w:hAnsi="宋体" w:cs="宋体"/>
                <w:color w:val="auto"/>
                <w:sz w:val="24"/>
                <w:szCs w:val="24"/>
                <w:highlight w:val="none"/>
                <w:lang w:eastAsia="zh-CN"/>
              </w:rPr>
              <w:t>完善电子登记，</w:t>
            </w:r>
            <w:r>
              <w:rPr>
                <w:rFonts w:hint="eastAsia" w:ascii="宋体" w:hAnsi="宋体" w:cs="宋体"/>
                <w:color w:val="auto"/>
                <w:sz w:val="24"/>
                <w:szCs w:val="24"/>
                <w:highlight w:val="none"/>
              </w:rPr>
              <w:t>可追溯</w:t>
            </w:r>
            <w:r>
              <w:rPr>
                <w:rFonts w:hint="eastAsia" w:ascii="宋体" w:hAnsi="宋体" w:cs="宋体"/>
                <w:color w:val="auto"/>
                <w:sz w:val="24"/>
                <w:szCs w:val="24"/>
                <w:highlight w:val="none"/>
                <w:lang w:eastAsia="zh-CN"/>
              </w:rPr>
              <w:t>查询；</w:t>
            </w:r>
          </w:p>
        </w:tc>
        <w:tc>
          <w:tcPr>
            <w:tcW w:w="622" w:type="pct"/>
            <w:vAlign w:val="center"/>
          </w:tcPr>
          <w:p w14:paraId="6846F6CA">
            <w:pPr>
              <w:rPr>
                <w:rFonts w:hint="eastAsia" w:ascii="宋体" w:hAnsi="宋体" w:cs="宋体"/>
                <w:color w:val="auto"/>
                <w:sz w:val="24"/>
                <w:szCs w:val="24"/>
                <w:highlight w:val="none"/>
              </w:rPr>
            </w:pPr>
          </w:p>
        </w:tc>
      </w:tr>
      <w:tr w14:paraId="5DC5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DB638B5">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7</w:t>
            </w:r>
          </w:p>
        </w:tc>
        <w:tc>
          <w:tcPr>
            <w:tcW w:w="4113" w:type="pct"/>
            <w:vAlign w:val="center"/>
          </w:tcPr>
          <w:p w14:paraId="6B02468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办公、后勤等物资管理方案。根据简洁、高效的原则，提供解决方案</w:t>
            </w:r>
            <w:r>
              <w:rPr>
                <w:rFonts w:hint="eastAsia" w:ascii="宋体" w:hAnsi="宋体" w:cs="宋体"/>
                <w:color w:val="auto"/>
                <w:sz w:val="24"/>
                <w:szCs w:val="24"/>
                <w:highlight w:val="none"/>
                <w:lang w:eastAsia="zh-CN"/>
              </w:rPr>
              <w:t>；</w:t>
            </w:r>
          </w:p>
        </w:tc>
        <w:tc>
          <w:tcPr>
            <w:tcW w:w="622" w:type="pct"/>
            <w:vAlign w:val="center"/>
          </w:tcPr>
          <w:p w14:paraId="2D491585">
            <w:pPr>
              <w:rPr>
                <w:rFonts w:hint="eastAsia" w:ascii="宋体" w:hAnsi="宋体" w:cs="宋体"/>
                <w:color w:val="auto"/>
                <w:sz w:val="24"/>
                <w:szCs w:val="24"/>
                <w:highlight w:val="none"/>
              </w:rPr>
            </w:pPr>
          </w:p>
        </w:tc>
      </w:tr>
      <w:tr w14:paraId="50D0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DB60247">
            <w:pPr>
              <w:rPr>
                <w:rFonts w:ascii="宋体" w:hAnsi="宋体" w:cs="宋体"/>
                <w:color w:val="auto"/>
                <w:sz w:val="24"/>
                <w:szCs w:val="24"/>
                <w:highlight w:val="none"/>
              </w:rPr>
            </w:pPr>
          </w:p>
        </w:tc>
        <w:tc>
          <w:tcPr>
            <w:tcW w:w="4113" w:type="pct"/>
            <w:vAlign w:val="center"/>
          </w:tcPr>
          <w:p w14:paraId="3733E050">
            <w:pPr>
              <w:rPr>
                <w:rFonts w:ascii="宋体" w:hAnsi="宋体" w:cs="宋体"/>
                <w:color w:val="auto"/>
                <w:sz w:val="24"/>
                <w:szCs w:val="24"/>
                <w:highlight w:val="none"/>
              </w:rPr>
            </w:pPr>
            <w:r>
              <w:rPr>
                <w:rFonts w:hint="eastAsia" w:ascii="宋体" w:hAnsi="宋体" w:cs="宋体"/>
                <w:b/>
                <w:color w:val="auto"/>
                <w:sz w:val="24"/>
                <w:szCs w:val="24"/>
                <w:highlight w:val="none"/>
              </w:rPr>
              <w:t>结算管理：</w:t>
            </w:r>
          </w:p>
        </w:tc>
        <w:tc>
          <w:tcPr>
            <w:tcW w:w="622" w:type="pct"/>
            <w:vAlign w:val="center"/>
          </w:tcPr>
          <w:p w14:paraId="4F5212EB">
            <w:pPr>
              <w:rPr>
                <w:rFonts w:hint="eastAsia" w:ascii="宋体" w:hAnsi="宋体" w:cs="宋体"/>
                <w:b/>
                <w:color w:val="auto"/>
                <w:sz w:val="24"/>
                <w:szCs w:val="24"/>
                <w:highlight w:val="none"/>
              </w:rPr>
            </w:pPr>
          </w:p>
        </w:tc>
      </w:tr>
      <w:tr w14:paraId="51F8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04AD64D">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8</w:t>
            </w:r>
          </w:p>
        </w:tc>
        <w:tc>
          <w:tcPr>
            <w:tcW w:w="4113" w:type="pct"/>
            <w:vAlign w:val="center"/>
          </w:tcPr>
          <w:p w14:paraId="4EE5E4DF">
            <w:pPr>
              <w:pStyle w:val="31"/>
              <w:keepNext w:val="0"/>
              <w:keepLines w:val="0"/>
              <w:widowControl/>
              <w:suppressLineNumbers w:val="0"/>
              <w:spacing w:before="0" w:beforeAutospacing="0" w:after="0" w:afterAutospacing="0"/>
              <w:ind w:right="0"/>
              <w:rPr>
                <w:rFonts w:ascii="宋体" w:hAnsi="宋体" w:cs="宋体"/>
                <w:b/>
                <w:color w:val="auto"/>
                <w:sz w:val="24"/>
                <w:szCs w:val="24"/>
                <w:highlight w:val="none"/>
              </w:rPr>
            </w:pPr>
            <w:r>
              <w:rPr>
                <w:rFonts w:hint="eastAsia" w:ascii="宋体" w:hAnsi="宋体" w:cs="宋体"/>
                <w:color w:val="auto"/>
                <w:sz w:val="24"/>
                <w:szCs w:val="24"/>
                <w:highlight w:val="none"/>
              </w:rPr>
              <w:t>实现院方各类物资用后结算模式，保证结算准确；</w:t>
            </w:r>
          </w:p>
        </w:tc>
        <w:tc>
          <w:tcPr>
            <w:tcW w:w="622" w:type="pct"/>
            <w:vAlign w:val="center"/>
          </w:tcPr>
          <w:p w14:paraId="767DC5FC">
            <w:pPr>
              <w:pStyle w:val="31"/>
              <w:keepNext w:val="0"/>
              <w:keepLines w:val="0"/>
              <w:widowControl/>
              <w:suppressLineNumbers w:val="0"/>
              <w:spacing w:before="0" w:beforeAutospacing="0" w:after="0" w:afterAutospacing="0"/>
              <w:ind w:right="0"/>
              <w:rPr>
                <w:rFonts w:hint="eastAsia" w:ascii="宋体" w:hAnsi="宋体" w:cs="宋体"/>
                <w:color w:val="auto"/>
                <w:sz w:val="24"/>
                <w:szCs w:val="24"/>
                <w:highlight w:val="none"/>
              </w:rPr>
            </w:pPr>
          </w:p>
        </w:tc>
      </w:tr>
      <w:tr w14:paraId="0F24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98F16F3">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9</w:t>
            </w:r>
          </w:p>
        </w:tc>
        <w:tc>
          <w:tcPr>
            <w:tcW w:w="4113" w:type="pct"/>
            <w:vAlign w:val="center"/>
          </w:tcPr>
          <w:p w14:paraId="79903CE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支持月结算管理，根据全院各个科室的耗材消耗数据进行对应供货商生成结算单，支持结算单审核；</w:t>
            </w:r>
            <w:r>
              <w:rPr>
                <w:rFonts w:hint="eastAsia" w:ascii="宋体" w:hAnsi="宋体" w:cs="宋体"/>
                <w:color w:val="auto"/>
                <w:sz w:val="24"/>
                <w:szCs w:val="24"/>
                <w:highlight w:val="none"/>
                <w:lang w:eastAsia="zh-CN"/>
              </w:rPr>
              <w:t>消耗日清月结机制，与医院财务管理系统数据完整对接对联，无需二次操作，科室成本清晰可查；</w:t>
            </w:r>
          </w:p>
        </w:tc>
        <w:tc>
          <w:tcPr>
            <w:tcW w:w="622" w:type="pct"/>
            <w:vAlign w:val="center"/>
          </w:tcPr>
          <w:p w14:paraId="300C8886">
            <w:pPr>
              <w:rPr>
                <w:rFonts w:hint="eastAsia" w:ascii="宋体" w:hAnsi="宋体" w:cs="宋体"/>
                <w:color w:val="auto"/>
                <w:sz w:val="24"/>
                <w:szCs w:val="24"/>
                <w:highlight w:val="none"/>
              </w:rPr>
            </w:pPr>
          </w:p>
        </w:tc>
      </w:tr>
      <w:tr w14:paraId="0A37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696F1A8">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4113" w:type="pct"/>
            <w:vAlign w:val="center"/>
          </w:tcPr>
          <w:p w14:paraId="40FBCC01">
            <w:pPr>
              <w:pStyle w:val="31"/>
              <w:keepNext w:val="0"/>
              <w:keepLines w:val="0"/>
              <w:widowControl/>
              <w:suppressLineNumbers w:val="0"/>
              <w:spacing w:before="0" w:beforeAutospacing="0" w:after="0" w:afterAutospacing="0"/>
              <w:ind w:right="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结算单展现供货商本月到货信息、消耗信息、库存剩余信息等等功能</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支持供应商收到结算明细，开具发票并维护发票信息后，打印发票二维码，直接扫码自动录入发票信息，无需手工录入，减少录入差异；</w:t>
            </w:r>
            <w:r>
              <w:rPr>
                <w:rFonts w:hint="eastAsia" w:ascii="宋体" w:hAnsi="宋体" w:eastAsia="宋体" w:cs="宋体"/>
                <w:color w:val="auto"/>
                <w:kern w:val="2"/>
                <w:sz w:val="24"/>
                <w:szCs w:val="24"/>
                <w:highlight w:val="none"/>
                <w:lang w:val="en-US" w:eastAsia="zh-CN" w:bidi="ar-SA"/>
              </w:rPr>
              <w:t>SPD推送物资消耗明细、发票信息至HRP，HRP完成应付账款核对</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HRP返回结算状态（已付款、挂账）及结算单号</w:t>
            </w:r>
            <w:r>
              <w:rPr>
                <w:rFonts w:hint="eastAsia" w:ascii="宋体" w:hAnsi="宋体" w:cs="宋体"/>
                <w:color w:val="auto"/>
                <w:kern w:val="2"/>
                <w:sz w:val="24"/>
                <w:szCs w:val="24"/>
                <w:highlight w:val="none"/>
                <w:lang w:val="en-US" w:eastAsia="zh-CN" w:bidi="ar-SA"/>
              </w:rPr>
              <w:t>；</w:t>
            </w:r>
          </w:p>
        </w:tc>
        <w:tc>
          <w:tcPr>
            <w:tcW w:w="622" w:type="pct"/>
            <w:vAlign w:val="center"/>
          </w:tcPr>
          <w:p w14:paraId="46ACDD64">
            <w:pPr>
              <w:pStyle w:val="31"/>
              <w:keepNext w:val="0"/>
              <w:keepLines w:val="0"/>
              <w:widowControl/>
              <w:suppressLineNumbers w:val="0"/>
              <w:spacing w:before="0" w:beforeAutospacing="0" w:after="0" w:afterAutospacing="0"/>
              <w:ind w:right="0"/>
              <w:rPr>
                <w:rFonts w:hint="eastAsia" w:ascii="宋体" w:hAnsi="宋体" w:cs="宋体"/>
                <w:color w:val="auto"/>
                <w:sz w:val="24"/>
                <w:szCs w:val="24"/>
                <w:highlight w:val="none"/>
              </w:rPr>
            </w:pPr>
          </w:p>
        </w:tc>
      </w:tr>
      <w:tr w14:paraId="7CC8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3C83C9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1</w:t>
            </w:r>
          </w:p>
        </w:tc>
        <w:tc>
          <w:tcPr>
            <w:tcW w:w="4113" w:type="pct"/>
            <w:vAlign w:val="center"/>
          </w:tcPr>
          <w:p w14:paraId="633BC80F">
            <w:pPr>
              <w:rPr>
                <w:rFonts w:ascii="宋体" w:hAnsi="宋体" w:cs="宋体"/>
                <w:color w:val="auto"/>
                <w:sz w:val="24"/>
                <w:szCs w:val="24"/>
                <w:highlight w:val="none"/>
              </w:rPr>
            </w:pPr>
            <w:r>
              <w:rPr>
                <w:rFonts w:hint="eastAsia" w:ascii="宋体" w:hAnsi="宋体" w:cs="宋体"/>
                <w:color w:val="auto"/>
                <w:sz w:val="24"/>
                <w:szCs w:val="24"/>
                <w:highlight w:val="none"/>
              </w:rPr>
              <w:t>不收费耗材以科室实际消耗作为结算依据，系统能自动汇总月消耗数额及供应商明细，便于按月结算；</w:t>
            </w:r>
          </w:p>
        </w:tc>
        <w:tc>
          <w:tcPr>
            <w:tcW w:w="622" w:type="pct"/>
            <w:vAlign w:val="center"/>
          </w:tcPr>
          <w:p w14:paraId="2480EBE8">
            <w:pPr>
              <w:rPr>
                <w:rFonts w:hint="eastAsia" w:ascii="宋体" w:hAnsi="宋体" w:cs="宋体"/>
                <w:color w:val="auto"/>
                <w:sz w:val="24"/>
                <w:szCs w:val="24"/>
                <w:highlight w:val="none"/>
              </w:rPr>
            </w:pPr>
          </w:p>
        </w:tc>
      </w:tr>
      <w:tr w14:paraId="3574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FF44373">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2</w:t>
            </w:r>
          </w:p>
        </w:tc>
        <w:tc>
          <w:tcPr>
            <w:tcW w:w="4113" w:type="pct"/>
            <w:vAlign w:val="center"/>
          </w:tcPr>
          <w:p w14:paraId="4833A213">
            <w:pPr>
              <w:rPr>
                <w:rFonts w:ascii="宋体" w:hAnsi="宋体" w:cs="宋体"/>
                <w:color w:val="auto"/>
                <w:sz w:val="24"/>
                <w:szCs w:val="24"/>
                <w:highlight w:val="none"/>
              </w:rPr>
            </w:pPr>
            <w:r>
              <w:rPr>
                <w:rFonts w:hint="eastAsia" w:ascii="宋体" w:hAnsi="宋体" w:cs="宋体"/>
                <w:color w:val="auto"/>
                <w:sz w:val="24"/>
                <w:szCs w:val="24"/>
                <w:highlight w:val="none"/>
              </w:rPr>
              <w:t>高值医用耗材实现一物一码对应一收费条目，系统能自动汇总月消耗数额、月收费金额及供应商明细，便于按月结算；</w:t>
            </w:r>
          </w:p>
        </w:tc>
        <w:tc>
          <w:tcPr>
            <w:tcW w:w="622" w:type="pct"/>
            <w:vAlign w:val="center"/>
          </w:tcPr>
          <w:p w14:paraId="1322E2B4">
            <w:pPr>
              <w:rPr>
                <w:rFonts w:hint="eastAsia" w:ascii="宋体" w:hAnsi="宋体" w:cs="宋体"/>
                <w:color w:val="auto"/>
                <w:sz w:val="24"/>
                <w:szCs w:val="24"/>
                <w:highlight w:val="none"/>
              </w:rPr>
            </w:pPr>
          </w:p>
        </w:tc>
      </w:tr>
      <w:tr w14:paraId="6E3B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43F3AB0">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3</w:t>
            </w:r>
          </w:p>
        </w:tc>
        <w:tc>
          <w:tcPr>
            <w:tcW w:w="4113" w:type="pct"/>
            <w:vAlign w:val="center"/>
          </w:tcPr>
          <w:p w14:paraId="12E6A1B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支持全院耗材按品种与供货商分类汇总生成月结算单，并能够设置账期，实现灵活管理</w:t>
            </w:r>
            <w:r>
              <w:rPr>
                <w:rFonts w:hint="eastAsia" w:ascii="宋体" w:hAnsi="宋体" w:cs="宋体"/>
                <w:color w:val="auto"/>
                <w:sz w:val="24"/>
                <w:szCs w:val="24"/>
                <w:highlight w:val="none"/>
                <w:lang w:eastAsia="zh-CN"/>
              </w:rPr>
              <w:t>；根据耗材目录中设置的回款账期，系统生成每月耗材回款计划，</w:t>
            </w:r>
            <w:r>
              <w:rPr>
                <w:rFonts w:hint="eastAsia" w:ascii="宋体" w:hAnsi="宋体" w:cs="宋体"/>
                <w:color w:val="auto"/>
                <w:sz w:val="24"/>
                <w:szCs w:val="24"/>
                <w:highlight w:val="none"/>
                <w:lang w:val="en-US" w:eastAsia="zh-CN"/>
              </w:rPr>
              <w:t>供医院参考</w:t>
            </w:r>
            <w:r>
              <w:rPr>
                <w:rFonts w:hint="eastAsia" w:ascii="宋体" w:hAnsi="宋体" w:cs="宋体"/>
                <w:color w:val="auto"/>
                <w:sz w:val="24"/>
                <w:szCs w:val="24"/>
                <w:highlight w:val="none"/>
                <w:lang w:eastAsia="zh-CN"/>
              </w:rPr>
              <w:t>；</w:t>
            </w:r>
          </w:p>
        </w:tc>
        <w:tc>
          <w:tcPr>
            <w:tcW w:w="622" w:type="pct"/>
            <w:vAlign w:val="center"/>
          </w:tcPr>
          <w:p w14:paraId="3565FEE1">
            <w:pPr>
              <w:rPr>
                <w:rFonts w:hint="eastAsia" w:ascii="宋体" w:hAnsi="宋体" w:cs="宋体"/>
                <w:color w:val="auto"/>
                <w:sz w:val="24"/>
                <w:szCs w:val="24"/>
                <w:highlight w:val="none"/>
              </w:rPr>
            </w:pPr>
          </w:p>
        </w:tc>
      </w:tr>
      <w:tr w14:paraId="5ED5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607862B">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4</w:t>
            </w:r>
          </w:p>
        </w:tc>
        <w:tc>
          <w:tcPr>
            <w:tcW w:w="4113" w:type="pct"/>
            <w:vAlign w:val="center"/>
          </w:tcPr>
          <w:p w14:paraId="7282DBE5">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查询汇总功能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可收费耗材进销存查询、低值不可收费耗材进销存查询、结算单状态跟踪查询、入出库发票查询、结算单数据核对查询、控量耗材剩余量查询等等功能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另外，</w:t>
            </w:r>
            <w:r>
              <w:rPr>
                <w:rFonts w:hint="eastAsia" w:ascii="宋体" w:hAnsi="宋体" w:cs="宋体"/>
                <w:color w:val="auto"/>
                <w:sz w:val="24"/>
                <w:szCs w:val="24"/>
                <w:highlight w:val="none"/>
                <w:lang w:eastAsia="zh-CN"/>
              </w:rPr>
              <w:t>科室发现耗材产品质量问题时，直接在系统中填报相关信息，系统提交物流管理部上报不良事件；</w:t>
            </w:r>
          </w:p>
        </w:tc>
        <w:tc>
          <w:tcPr>
            <w:tcW w:w="622" w:type="pct"/>
            <w:vAlign w:val="center"/>
          </w:tcPr>
          <w:p w14:paraId="44A188B4">
            <w:pPr>
              <w:rPr>
                <w:rFonts w:hint="eastAsia" w:ascii="宋体" w:hAnsi="宋体" w:cs="宋体"/>
                <w:color w:val="auto"/>
                <w:sz w:val="24"/>
                <w:szCs w:val="24"/>
                <w:highlight w:val="none"/>
              </w:rPr>
            </w:pPr>
          </w:p>
        </w:tc>
      </w:tr>
      <w:tr w14:paraId="287A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C4136D9">
            <w:pPr>
              <w:rPr>
                <w:rFonts w:ascii="宋体" w:hAnsi="宋体" w:cs="宋体"/>
                <w:color w:val="auto"/>
                <w:sz w:val="24"/>
                <w:szCs w:val="24"/>
                <w:highlight w:val="none"/>
              </w:rPr>
            </w:pPr>
          </w:p>
        </w:tc>
        <w:tc>
          <w:tcPr>
            <w:tcW w:w="4113" w:type="pct"/>
            <w:vAlign w:val="center"/>
          </w:tcPr>
          <w:p w14:paraId="34FD489D">
            <w:pPr>
              <w:rPr>
                <w:rFonts w:ascii="宋体" w:hAnsi="宋体" w:cs="宋体"/>
                <w:color w:val="auto"/>
                <w:sz w:val="24"/>
                <w:szCs w:val="24"/>
                <w:highlight w:val="none"/>
              </w:rPr>
            </w:pPr>
            <w:r>
              <w:rPr>
                <w:rFonts w:hint="eastAsia" w:ascii="宋体" w:hAnsi="宋体" w:cs="宋体"/>
                <w:b/>
                <w:bCs/>
                <w:color w:val="auto"/>
                <w:sz w:val="24"/>
                <w:szCs w:val="24"/>
                <w:highlight w:val="none"/>
              </w:rPr>
              <w:t>信息化建设</w:t>
            </w:r>
          </w:p>
        </w:tc>
        <w:tc>
          <w:tcPr>
            <w:tcW w:w="622" w:type="pct"/>
            <w:vAlign w:val="center"/>
          </w:tcPr>
          <w:p w14:paraId="2619A3E0">
            <w:pPr>
              <w:rPr>
                <w:rFonts w:hint="eastAsia" w:ascii="宋体" w:hAnsi="宋体" w:cs="宋体"/>
                <w:b/>
                <w:bCs/>
                <w:color w:val="auto"/>
                <w:sz w:val="24"/>
                <w:szCs w:val="24"/>
                <w:highlight w:val="none"/>
              </w:rPr>
            </w:pPr>
          </w:p>
        </w:tc>
      </w:tr>
      <w:tr w14:paraId="3D6E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1B4A43F">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5</w:t>
            </w:r>
          </w:p>
        </w:tc>
        <w:tc>
          <w:tcPr>
            <w:tcW w:w="4113" w:type="pct"/>
            <w:vAlign w:val="center"/>
          </w:tcPr>
          <w:p w14:paraId="0331F15A">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相关信息系统能提供国家相关部门授予的相关资质证明文件，并能负责将相关软件</w:t>
            </w:r>
            <w:r>
              <w:rPr>
                <w:rFonts w:hint="eastAsia" w:ascii="宋体" w:hAnsi="宋体" w:cs="宋体"/>
                <w:color w:val="auto"/>
                <w:sz w:val="24"/>
                <w:szCs w:val="24"/>
                <w:highlight w:val="none"/>
                <w:lang w:eastAsia="zh-CN"/>
              </w:rPr>
              <w:t>免费</w:t>
            </w:r>
            <w:r>
              <w:rPr>
                <w:rFonts w:hint="eastAsia" w:ascii="宋体" w:hAnsi="宋体" w:cs="宋体"/>
                <w:color w:val="auto"/>
                <w:sz w:val="24"/>
                <w:szCs w:val="24"/>
                <w:highlight w:val="none"/>
              </w:rPr>
              <w:t>与医院信息系统连接</w:t>
            </w:r>
            <w:r>
              <w:rPr>
                <w:rFonts w:hint="eastAsia" w:ascii="宋体" w:hAnsi="宋体" w:cs="宋体"/>
                <w:color w:val="auto"/>
                <w:sz w:val="24"/>
                <w:szCs w:val="24"/>
                <w:highlight w:val="none"/>
                <w:lang w:eastAsia="zh-CN"/>
              </w:rPr>
              <w:t>；</w:t>
            </w:r>
          </w:p>
        </w:tc>
        <w:tc>
          <w:tcPr>
            <w:tcW w:w="622" w:type="pct"/>
            <w:vAlign w:val="center"/>
          </w:tcPr>
          <w:p w14:paraId="63370780">
            <w:pPr>
              <w:rPr>
                <w:rFonts w:hint="eastAsia" w:ascii="宋体" w:hAnsi="宋体" w:cs="宋体"/>
                <w:color w:val="auto"/>
                <w:sz w:val="24"/>
                <w:szCs w:val="24"/>
                <w:highlight w:val="none"/>
              </w:rPr>
            </w:pPr>
          </w:p>
        </w:tc>
      </w:tr>
      <w:tr w14:paraId="6BA1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7932684">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6</w:t>
            </w:r>
          </w:p>
        </w:tc>
        <w:tc>
          <w:tcPr>
            <w:tcW w:w="4113" w:type="pct"/>
            <w:vAlign w:val="center"/>
          </w:tcPr>
          <w:p w14:paraId="6BB24D4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根据医院现有信息网络条件完成物资信息化改造、实现物资全面信息化管理</w:t>
            </w:r>
            <w:r>
              <w:rPr>
                <w:rFonts w:hint="eastAsia" w:ascii="宋体" w:hAnsi="宋体" w:cs="宋体"/>
                <w:color w:val="auto"/>
                <w:sz w:val="24"/>
                <w:szCs w:val="24"/>
                <w:highlight w:val="none"/>
                <w:lang w:eastAsia="zh-CN"/>
              </w:rPr>
              <w:t>；根据政策及甲方（医院）需求</w:t>
            </w:r>
            <w:r>
              <w:rPr>
                <w:rFonts w:hint="eastAsia" w:ascii="宋体" w:hAnsi="宋体" w:cs="宋体"/>
                <w:color w:val="auto"/>
                <w:sz w:val="24"/>
                <w:szCs w:val="24"/>
                <w:highlight w:val="none"/>
                <w:lang w:val="en-US" w:eastAsia="zh-CN"/>
              </w:rPr>
              <w:t>SPD软件提供定制化服务；</w:t>
            </w:r>
          </w:p>
        </w:tc>
        <w:tc>
          <w:tcPr>
            <w:tcW w:w="622" w:type="pct"/>
            <w:vAlign w:val="center"/>
          </w:tcPr>
          <w:p w14:paraId="0CFEE52C">
            <w:pPr>
              <w:rPr>
                <w:rFonts w:hint="eastAsia" w:ascii="宋体" w:hAnsi="宋体" w:cs="宋体"/>
                <w:color w:val="auto"/>
                <w:sz w:val="24"/>
                <w:szCs w:val="24"/>
                <w:highlight w:val="none"/>
              </w:rPr>
            </w:pPr>
          </w:p>
        </w:tc>
      </w:tr>
      <w:tr w14:paraId="5E16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640F934">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7</w:t>
            </w:r>
          </w:p>
        </w:tc>
        <w:tc>
          <w:tcPr>
            <w:tcW w:w="4113" w:type="pct"/>
            <w:shd w:val="clear" w:color="auto" w:fill="FFFFFF"/>
            <w:vAlign w:val="center"/>
          </w:tcPr>
          <w:p w14:paraId="69B2EE18">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为保证医院统一的信息化管理，需提供与本项目有关的数据库属地化管理方案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建立</w:t>
            </w:r>
            <w:r>
              <w:rPr>
                <w:rFonts w:hint="eastAsia" w:ascii="宋体" w:hAnsi="宋体" w:cs="宋体"/>
                <w:color w:val="auto"/>
                <w:sz w:val="24"/>
                <w:szCs w:val="24"/>
                <w:highlight w:val="none"/>
                <w:lang w:val="en-US" w:eastAsia="zh-CN"/>
              </w:rPr>
              <w:t>医</w:t>
            </w:r>
            <w:r>
              <w:rPr>
                <w:rFonts w:hint="eastAsia" w:ascii="宋体" w:hAnsi="宋体" w:cs="宋体"/>
                <w:color w:val="auto"/>
                <w:sz w:val="24"/>
                <w:szCs w:val="24"/>
                <w:highlight w:val="none"/>
              </w:rPr>
              <w:t>院耗材、试剂等物资数据库，包含信息全面，如耗材类别、管理级别、风险类别、用途、集采流水号、注册证类别等，其他包含信息须符合《</w:t>
            </w:r>
            <w:r>
              <w:rPr>
                <w:color w:val="auto"/>
                <w:highlight w:val="none"/>
              </w:rPr>
              <w:fldChar w:fldCharType="begin"/>
            </w:r>
            <w:r>
              <w:rPr>
                <w:color w:val="auto"/>
                <w:highlight w:val="none"/>
              </w:rPr>
              <w:instrText xml:space="preserve"> HYPERLINK "http://www.waizi.org.cn/doc/64626.html" \t "http://www.waizi.org.cn/doc/_blank" \o "国卫医发〔2019〕43号《关于印发医疗机构医用耗材管理办法（试行）的通知》" </w:instrText>
            </w:r>
            <w:r>
              <w:rPr>
                <w:color w:val="auto"/>
                <w:highlight w:val="none"/>
              </w:rPr>
              <w:fldChar w:fldCharType="separate"/>
            </w:r>
            <w:r>
              <w:rPr>
                <w:rFonts w:hint="eastAsia" w:ascii="宋体" w:hAnsi="宋体" w:cs="宋体"/>
                <w:color w:val="auto"/>
                <w:sz w:val="24"/>
                <w:szCs w:val="24"/>
                <w:highlight w:val="none"/>
              </w:rPr>
              <w:t>医疗机构医用耗材管理办法（试行）</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》（国卫医发[2019]43号）等有关政策规定</w:t>
            </w:r>
            <w:r>
              <w:rPr>
                <w:rFonts w:hint="eastAsia" w:ascii="宋体" w:hAnsi="宋体" w:cs="宋体"/>
                <w:color w:val="auto"/>
                <w:sz w:val="24"/>
                <w:szCs w:val="24"/>
                <w:highlight w:val="none"/>
                <w:lang w:eastAsia="zh-CN"/>
              </w:rPr>
              <w:t>；</w:t>
            </w:r>
          </w:p>
        </w:tc>
        <w:tc>
          <w:tcPr>
            <w:tcW w:w="622" w:type="pct"/>
            <w:shd w:val="clear" w:color="auto" w:fill="FFFFFF"/>
            <w:vAlign w:val="center"/>
          </w:tcPr>
          <w:p w14:paraId="7A2705E1">
            <w:pPr>
              <w:rPr>
                <w:rFonts w:hint="eastAsia" w:ascii="宋体" w:hAnsi="宋体" w:cs="宋体"/>
                <w:color w:val="auto"/>
                <w:sz w:val="24"/>
                <w:szCs w:val="24"/>
                <w:highlight w:val="none"/>
              </w:rPr>
            </w:pPr>
          </w:p>
        </w:tc>
      </w:tr>
      <w:tr w14:paraId="4E24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7E50FA2">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8</w:t>
            </w:r>
          </w:p>
        </w:tc>
        <w:tc>
          <w:tcPr>
            <w:tcW w:w="4113" w:type="pct"/>
            <w:vAlign w:val="center"/>
          </w:tcPr>
          <w:p w14:paraId="1BBCC05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供应链解决方案中所提供的条码，针对所对应产品包装必须是唯一标识，其中必须包含产品主档编号、名称、规格、型号、生产日期、批号效期、计量单位、医保编码(如有)等信息，可实现标签与实物的视觉核对</w:t>
            </w:r>
            <w:r>
              <w:rPr>
                <w:rFonts w:hint="eastAsia" w:ascii="宋体" w:hAnsi="宋体" w:cs="宋体"/>
                <w:color w:val="auto"/>
                <w:sz w:val="24"/>
                <w:szCs w:val="24"/>
                <w:highlight w:val="none"/>
                <w:lang w:eastAsia="zh-CN"/>
              </w:rPr>
              <w:t>；</w:t>
            </w:r>
          </w:p>
        </w:tc>
        <w:tc>
          <w:tcPr>
            <w:tcW w:w="622" w:type="pct"/>
            <w:vAlign w:val="center"/>
          </w:tcPr>
          <w:p w14:paraId="0AEB981F">
            <w:pPr>
              <w:rPr>
                <w:rFonts w:hint="eastAsia" w:ascii="宋体" w:hAnsi="宋体" w:cs="宋体"/>
                <w:color w:val="auto"/>
                <w:sz w:val="24"/>
                <w:szCs w:val="24"/>
                <w:highlight w:val="none"/>
              </w:rPr>
            </w:pPr>
          </w:p>
        </w:tc>
      </w:tr>
      <w:tr w14:paraId="6C18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74EE3AA">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9</w:t>
            </w:r>
          </w:p>
        </w:tc>
        <w:tc>
          <w:tcPr>
            <w:tcW w:w="4113" w:type="pct"/>
            <w:vAlign w:val="center"/>
          </w:tcPr>
          <w:p w14:paraId="269C48F1">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移动终端通知服务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支持一种或多种通讯手段在手持移动终端（手机微信或自研app）的通知服务，包括但不限于以下通知功能：院内订单审批通知、采购订单供应商通知、证照效期报警通知、供货商到货验收通知、供货商结算开票通知、新进品种变动通知等，此项服务所产生的各项费用均由中标人承担</w:t>
            </w:r>
            <w:r>
              <w:rPr>
                <w:rFonts w:hint="eastAsia" w:ascii="宋体" w:hAnsi="宋体" w:cs="宋体"/>
                <w:color w:val="auto"/>
                <w:sz w:val="24"/>
                <w:szCs w:val="24"/>
                <w:highlight w:val="none"/>
                <w:lang w:eastAsia="zh-CN"/>
              </w:rPr>
              <w:t>；</w:t>
            </w:r>
          </w:p>
        </w:tc>
        <w:tc>
          <w:tcPr>
            <w:tcW w:w="622" w:type="pct"/>
            <w:vAlign w:val="center"/>
          </w:tcPr>
          <w:p w14:paraId="5E48B5C8">
            <w:pPr>
              <w:rPr>
                <w:rFonts w:hint="eastAsia" w:ascii="宋体" w:hAnsi="宋体" w:cs="宋体"/>
                <w:color w:val="auto"/>
                <w:sz w:val="24"/>
                <w:szCs w:val="24"/>
                <w:highlight w:val="none"/>
              </w:rPr>
            </w:pPr>
          </w:p>
        </w:tc>
      </w:tr>
      <w:tr w14:paraId="2F0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2D7C37C">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4113" w:type="pct"/>
            <w:vAlign w:val="center"/>
          </w:tcPr>
          <w:p w14:paraId="1FD3BFF5">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根据院方需求提供多种展现方式的供医院分析使用的自定义数据报表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基于医院现有的数据，为医院引入智能系统，可进行基础报表、多维分析、分析报告、数据挖掘等工作，能提供物品规格、型号、厂家、供应单价、供应数量、金额、使用部门、验收日期时间、业务量等可用于二次分析的报表，如自动统计集中审批表、使用量红线预警等；各年度每月每季度出库额比对分析，业务增长数据与幅度一目了然，实现耗材精细化管理</w:t>
            </w:r>
            <w:r>
              <w:rPr>
                <w:rFonts w:hint="eastAsia" w:ascii="宋体" w:hAnsi="宋体" w:cs="宋体"/>
                <w:color w:val="auto"/>
                <w:sz w:val="24"/>
                <w:szCs w:val="24"/>
                <w:highlight w:val="none"/>
                <w:lang w:eastAsia="zh-CN"/>
              </w:rPr>
              <w:t>；</w:t>
            </w:r>
          </w:p>
        </w:tc>
        <w:tc>
          <w:tcPr>
            <w:tcW w:w="622" w:type="pct"/>
            <w:vAlign w:val="center"/>
          </w:tcPr>
          <w:p w14:paraId="65C5F394">
            <w:pPr>
              <w:rPr>
                <w:rFonts w:hint="eastAsia" w:ascii="宋体" w:hAnsi="宋体" w:cs="宋体"/>
                <w:color w:val="auto"/>
                <w:sz w:val="24"/>
                <w:szCs w:val="24"/>
                <w:highlight w:val="none"/>
              </w:rPr>
            </w:pPr>
          </w:p>
        </w:tc>
      </w:tr>
      <w:tr w14:paraId="18C6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6AB14A1">
            <w:pPr>
              <w:rPr>
                <w:rFonts w:ascii="宋体" w:hAnsi="宋体" w:cs="宋体"/>
                <w:color w:val="auto"/>
                <w:sz w:val="24"/>
                <w:szCs w:val="24"/>
                <w:highlight w:val="none"/>
              </w:rPr>
            </w:pPr>
          </w:p>
        </w:tc>
        <w:tc>
          <w:tcPr>
            <w:tcW w:w="4113" w:type="pct"/>
            <w:vAlign w:val="center"/>
          </w:tcPr>
          <w:p w14:paraId="6F84E76F">
            <w:pPr>
              <w:rPr>
                <w:rFonts w:ascii="宋体" w:hAnsi="宋体" w:cs="宋体"/>
                <w:color w:val="auto"/>
                <w:sz w:val="24"/>
                <w:szCs w:val="24"/>
                <w:highlight w:val="none"/>
              </w:rPr>
            </w:pPr>
            <w:r>
              <w:rPr>
                <w:rFonts w:hint="eastAsia" w:ascii="宋体" w:hAnsi="宋体" w:cs="宋体"/>
                <w:b/>
                <w:bCs/>
                <w:color w:val="auto"/>
                <w:sz w:val="24"/>
                <w:szCs w:val="24"/>
                <w:highlight w:val="none"/>
              </w:rPr>
              <w:t>质量控制体系</w:t>
            </w:r>
          </w:p>
        </w:tc>
        <w:tc>
          <w:tcPr>
            <w:tcW w:w="622" w:type="pct"/>
            <w:vAlign w:val="center"/>
          </w:tcPr>
          <w:p w14:paraId="47AE797C">
            <w:pPr>
              <w:rPr>
                <w:rFonts w:hint="eastAsia" w:ascii="宋体" w:hAnsi="宋体" w:cs="宋体"/>
                <w:b/>
                <w:bCs/>
                <w:color w:val="auto"/>
                <w:sz w:val="24"/>
                <w:szCs w:val="24"/>
                <w:highlight w:val="none"/>
              </w:rPr>
            </w:pPr>
          </w:p>
        </w:tc>
      </w:tr>
      <w:tr w14:paraId="4C65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CBC5B2D">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1</w:t>
            </w:r>
          </w:p>
        </w:tc>
        <w:tc>
          <w:tcPr>
            <w:tcW w:w="4113" w:type="pct"/>
            <w:vAlign w:val="center"/>
          </w:tcPr>
          <w:p w14:paraId="4BAB507B">
            <w:pPr>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提供的相关服务须满足且不仅限于国家药监局和安徽省药监局质控标准(当质控标准有变更时，必须及时修正并满足)</w:t>
            </w:r>
            <w:r>
              <w:rPr>
                <w:rFonts w:hint="eastAsia" w:ascii="宋体" w:hAnsi="宋体" w:cs="宋体"/>
                <w:color w:val="auto"/>
                <w:sz w:val="24"/>
                <w:szCs w:val="24"/>
                <w:highlight w:val="none"/>
                <w:lang w:eastAsia="zh-CN"/>
              </w:rPr>
              <w:t>；</w:t>
            </w:r>
          </w:p>
        </w:tc>
        <w:tc>
          <w:tcPr>
            <w:tcW w:w="622" w:type="pct"/>
            <w:vAlign w:val="center"/>
          </w:tcPr>
          <w:p w14:paraId="5AC50041">
            <w:pPr>
              <w:rPr>
                <w:rFonts w:hint="eastAsia" w:ascii="宋体" w:hAnsi="宋体" w:cs="宋体"/>
                <w:color w:val="auto"/>
                <w:sz w:val="24"/>
                <w:szCs w:val="24"/>
                <w:highlight w:val="none"/>
              </w:rPr>
            </w:pPr>
          </w:p>
        </w:tc>
      </w:tr>
      <w:tr w14:paraId="0723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3A1CEDF">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2</w:t>
            </w:r>
          </w:p>
        </w:tc>
        <w:tc>
          <w:tcPr>
            <w:tcW w:w="4113" w:type="pct"/>
            <w:vAlign w:val="center"/>
          </w:tcPr>
          <w:p w14:paraId="4772A5F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提供包括医疗材料的证照管理、仓储、质量保证、有效期管理、灭菌消毒管理、领用消耗原始记录管理、一次性植入性医用耗材追溯管理在内的质控要求的响应方案</w:t>
            </w:r>
            <w:r>
              <w:rPr>
                <w:rFonts w:hint="eastAsia" w:ascii="宋体" w:hAnsi="宋体" w:cs="宋体"/>
                <w:color w:val="auto"/>
                <w:sz w:val="24"/>
                <w:szCs w:val="24"/>
                <w:highlight w:val="none"/>
                <w:lang w:eastAsia="zh-CN"/>
              </w:rPr>
              <w:t>；</w:t>
            </w:r>
          </w:p>
        </w:tc>
        <w:tc>
          <w:tcPr>
            <w:tcW w:w="622" w:type="pct"/>
            <w:vAlign w:val="center"/>
          </w:tcPr>
          <w:p w14:paraId="62CCB57D">
            <w:pPr>
              <w:rPr>
                <w:rFonts w:hint="eastAsia" w:ascii="宋体" w:hAnsi="宋体" w:cs="宋体"/>
                <w:color w:val="auto"/>
                <w:sz w:val="24"/>
                <w:szCs w:val="24"/>
                <w:highlight w:val="none"/>
              </w:rPr>
            </w:pPr>
          </w:p>
        </w:tc>
      </w:tr>
      <w:tr w14:paraId="2022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03BEB3C">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3</w:t>
            </w:r>
          </w:p>
        </w:tc>
        <w:tc>
          <w:tcPr>
            <w:tcW w:w="4113" w:type="pct"/>
            <w:vAlign w:val="center"/>
          </w:tcPr>
          <w:p w14:paraId="700B9B23">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提供证照信息化管理方案及功能模块，对于医院所使用的所有物资资质证照、授权做全面信息化管理，可提供资证的查询、下载、近效期提示、上传更新等功能，并提供相关界面</w:t>
            </w:r>
            <w:r>
              <w:rPr>
                <w:rFonts w:hint="eastAsia" w:ascii="宋体" w:hAnsi="宋体" w:cs="宋体"/>
                <w:color w:val="auto"/>
                <w:sz w:val="24"/>
                <w:szCs w:val="24"/>
                <w:highlight w:val="none"/>
                <w:lang w:eastAsia="zh-CN"/>
              </w:rPr>
              <w:t>；</w:t>
            </w:r>
          </w:p>
        </w:tc>
        <w:tc>
          <w:tcPr>
            <w:tcW w:w="622" w:type="pct"/>
            <w:vAlign w:val="center"/>
          </w:tcPr>
          <w:p w14:paraId="6FE54948">
            <w:pPr>
              <w:rPr>
                <w:rFonts w:hint="eastAsia" w:ascii="宋体" w:hAnsi="宋体" w:cs="宋体"/>
                <w:color w:val="auto"/>
                <w:sz w:val="24"/>
                <w:szCs w:val="24"/>
                <w:highlight w:val="none"/>
              </w:rPr>
            </w:pPr>
          </w:p>
        </w:tc>
      </w:tr>
      <w:tr w14:paraId="79F4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916D1D8">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4</w:t>
            </w:r>
          </w:p>
        </w:tc>
        <w:tc>
          <w:tcPr>
            <w:tcW w:w="4113" w:type="pct"/>
            <w:vAlign w:val="center"/>
          </w:tcPr>
          <w:p w14:paraId="60CD96DA">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服务流程质量管控，支持科室反馈、评价体系，对各环节起到监督优化作用</w:t>
            </w:r>
            <w:r>
              <w:rPr>
                <w:rFonts w:hint="eastAsia" w:ascii="宋体" w:hAnsi="宋体" w:cs="宋体"/>
                <w:color w:val="auto"/>
                <w:sz w:val="24"/>
                <w:szCs w:val="24"/>
                <w:highlight w:val="none"/>
                <w:lang w:eastAsia="zh-CN"/>
              </w:rPr>
              <w:t>；</w:t>
            </w:r>
          </w:p>
        </w:tc>
        <w:tc>
          <w:tcPr>
            <w:tcW w:w="622" w:type="pct"/>
            <w:vAlign w:val="center"/>
          </w:tcPr>
          <w:p w14:paraId="099C1E90">
            <w:pPr>
              <w:rPr>
                <w:rFonts w:hint="eastAsia" w:ascii="宋体" w:hAnsi="宋体" w:cs="宋体"/>
                <w:color w:val="auto"/>
                <w:sz w:val="24"/>
                <w:szCs w:val="24"/>
                <w:highlight w:val="none"/>
              </w:rPr>
            </w:pPr>
          </w:p>
        </w:tc>
      </w:tr>
      <w:tr w14:paraId="1B44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5167247">
            <w:pPr>
              <w:rPr>
                <w:rFonts w:ascii="宋体" w:hAnsi="宋体" w:cs="宋体"/>
                <w:color w:val="auto"/>
                <w:sz w:val="24"/>
                <w:szCs w:val="24"/>
                <w:highlight w:val="none"/>
              </w:rPr>
            </w:pPr>
          </w:p>
        </w:tc>
        <w:tc>
          <w:tcPr>
            <w:tcW w:w="4113" w:type="pct"/>
            <w:vAlign w:val="center"/>
          </w:tcPr>
          <w:p w14:paraId="3575AC13">
            <w:pPr>
              <w:rPr>
                <w:rFonts w:ascii="宋体" w:hAnsi="宋体" w:cs="宋体"/>
                <w:color w:val="auto"/>
                <w:sz w:val="24"/>
                <w:szCs w:val="24"/>
                <w:highlight w:val="none"/>
              </w:rPr>
            </w:pPr>
            <w:r>
              <w:rPr>
                <w:rFonts w:hint="eastAsia" w:ascii="宋体" w:hAnsi="宋体" w:cs="宋体"/>
                <w:b/>
                <w:color w:val="auto"/>
                <w:sz w:val="24"/>
                <w:szCs w:val="24"/>
                <w:highlight w:val="none"/>
              </w:rPr>
              <w:t>效期管理：</w:t>
            </w:r>
          </w:p>
        </w:tc>
        <w:tc>
          <w:tcPr>
            <w:tcW w:w="622" w:type="pct"/>
            <w:vAlign w:val="center"/>
          </w:tcPr>
          <w:p w14:paraId="1F57A331">
            <w:pPr>
              <w:rPr>
                <w:rFonts w:hint="eastAsia" w:ascii="宋体" w:hAnsi="宋体" w:cs="宋体"/>
                <w:b/>
                <w:color w:val="auto"/>
                <w:sz w:val="24"/>
                <w:szCs w:val="24"/>
                <w:highlight w:val="none"/>
              </w:rPr>
            </w:pPr>
          </w:p>
        </w:tc>
      </w:tr>
      <w:tr w14:paraId="4FDD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1484991">
            <w:pPr>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p>
        </w:tc>
        <w:tc>
          <w:tcPr>
            <w:tcW w:w="4113" w:type="pct"/>
            <w:vAlign w:val="center"/>
          </w:tcPr>
          <w:p w14:paraId="19D4C26E">
            <w:pPr>
              <w:rPr>
                <w:rFonts w:ascii="宋体" w:hAnsi="宋体" w:cs="宋体"/>
                <w:b/>
                <w:color w:val="auto"/>
                <w:sz w:val="24"/>
                <w:szCs w:val="24"/>
                <w:highlight w:val="none"/>
              </w:rPr>
            </w:pPr>
            <w:r>
              <w:rPr>
                <w:rFonts w:hint="eastAsia" w:ascii="宋体" w:hAnsi="宋体" w:cs="宋体"/>
                <w:color w:val="auto"/>
                <w:sz w:val="24"/>
                <w:szCs w:val="24"/>
                <w:highlight w:val="none"/>
              </w:rPr>
              <w:t>针对各种证照有近效期提醒，提醒通知向院方和证照提供方双向发送；</w:t>
            </w:r>
          </w:p>
        </w:tc>
        <w:tc>
          <w:tcPr>
            <w:tcW w:w="622" w:type="pct"/>
            <w:vAlign w:val="center"/>
          </w:tcPr>
          <w:p w14:paraId="414F7CE5">
            <w:pPr>
              <w:rPr>
                <w:rFonts w:hint="eastAsia" w:ascii="宋体" w:hAnsi="宋体" w:cs="宋体"/>
                <w:color w:val="auto"/>
                <w:sz w:val="24"/>
                <w:szCs w:val="24"/>
                <w:highlight w:val="none"/>
              </w:rPr>
            </w:pPr>
          </w:p>
        </w:tc>
      </w:tr>
      <w:tr w14:paraId="6669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6B7F84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6</w:t>
            </w:r>
          </w:p>
        </w:tc>
        <w:tc>
          <w:tcPr>
            <w:tcW w:w="4113" w:type="pct"/>
            <w:vAlign w:val="center"/>
          </w:tcPr>
          <w:p w14:paraId="13FD62E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针对中心库和二级库等有条码管理的库存货有近效期提醒，可提醒库管人员或者科室人员优先派发或者使用效期近的物资</w:t>
            </w:r>
            <w:r>
              <w:rPr>
                <w:rFonts w:hint="eastAsia" w:ascii="宋体" w:hAnsi="宋体" w:cs="宋体"/>
                <w:color w:val="auto"/>
                <w:sz w:val="24"/>
                <w:szCs w:val="24"/>
                <w:highlight w:val="none"/>
                <w:lang w:eastAsia="zh-CN"/>
              </w:rPr>
              <w:t>；</w:t>
            </w:r>
          </w:p>
        </w:tc>
        <w:tc>
          <w:tcPr>
            <w:tcW w:w="622" w:type="pct"/>
            <w:vAlign w:val="center"/>
          </w:tcPr>
          <w:p w14:paraId="1E819AA8">
            <w:pPr>
              <w:rPr>
                <w:rFonts w:hint="eastAsia" w:ascii="宋体" w:hAnsi="宋体" w:cs="宋体"/>
                <w:color w:val="auto"/>
                <w:sz w:val="24"/>
                <w:szCs w:val="24"/>
                <w:highlight w:val="none"/>
              </w:rPr>
            </w:pPr>
          </w:p>
        </w:tc>
      </w:tr>
      <w:tr w14:paraId="54E1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E5D96ED">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7</w:t>
            </w:r>
          </w:p>
        </w:tc>
        <w:tc>
          <w:tcPr>
            <w:tcW w:w="4113" w:type="pct"/>
            <w:vAlign w:val="center"/>
          </w:tcPr>
          <w:p w14:paraId="1AA6EA4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支持软硬件故障报警和系统内预警可查询功能</w:t>
            </w:r>
            <w:r>
              <w:rPr>
                <w:rFonts w:hint="eastAsia" w:ascii="宋体" w:hAnsi="宋体" w:cs="宋体"/>
                <w:color w:val="auto"/>
                <w:sz w:val="24"/>
                <w:szCs w:val="24"/>
                <w:highlight w:val="none"/>
                <w:lang w:eastAsia="zh-CN"/>
              </w:rPr>
              <w:t>；</w:t>
            </w:r>
          </w:p>
        </w:tc>
        <w:tc>
          <w:tcPr>
            <w:tcW w:w="622" w:type="pct"/>
            <w:vAlign w:val="center"/>
          </w:tcPr>
          <w:p w14:paraId="4BB233E4">
            <w:pPr>
              <w:rPr>
                <w:rFonts w:hint="eastAsia" w:ascii="宋体" w:hAnsi="宋体" w:cs="宋体"/>
                <w:color w:val="auto"/>
                <w:sz w:val="24"/>
                <w:szCs w:val="24"/>
                <w:highlight w:val="none"/>
              </w:rPr>
            </w:pPr>
          </w:p>
        </w:tc>
      </w:tr>
      <w:tr w14:paraId="29D6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894F48A">
            <w:pPr>
              <w:rPr>
                <w:rFonts w:ascii="宋体" w:hAnsi="宋体" w:cs="宋体"/>
                <w:color w:val="auto"/>
                <w:sz w:val="24"/>
                <w:szCs w:val="24"/>
                <w:highlight w:val="none"/>
              </w:rPr>
            </w:pPr>
          </w:p>
        </w:tc>
        <w:tc>
          <w:tcPr>
            <w:tcW w:w="4113" w:type="pct"/>
            <w:vAlign w:val="center"/>
          </w:tcPr>
          <w:p w14:paraId="455D04A5">
            <w:pPr>
              <w:rPr>
                <w:rFonts w:ascii="宋体" w:hAnsi="宋体" w:cs="宋体"/>
                <w:color w:val="auto"/>
                <w:sz w:val="24"/>
                <w:szCs w:val="24"/>
                <w:highlight w:val="none"/>
              </w:rPr>
            </w:pPr>
            <w:r>
              <w:rPr>
                <w:rFonts w:hint="eastAsia" w:ascii="宋体" w:hAnsi="宋体" w:cs="宋体"/>
                <w:b/>
                <w:color w:val="auto"/>
                <w:sz w:val="24"/>
                <w:szCs w:val="24"/>
                <w:highlight w:val="none"/>
              </w:rPr>
              <w:t>应急方案：</w:t>
            </w:r>
          </w:p>
        </w:tc>
        <w:tc>
          <w:tcPr>
            <w:tcW w:w="622" w:type="pct"/>
            <w:vAlign w:val="center"/>
          </w:tcPr>
          <w:p w14:paraId="6B680220">
            <w:pPr>
              <w:rPr>
                <w:rFonts w:hint="eastAsia" w:ascii="宋体" w:hAnsi="宋体" w:cs="宋体"/>
                <w:b/>
                <w:color w:val="auto"/>
                <w:sz w:val="24"/>
                <w:szCs w:val="24"/>
                <w:highlight w:val="none"/>
              </w:rPr>
            </w:pPr>
          </w:p>
        </w:tc>
      </w:tr>
      <w:tr w14:paraId="53B6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C31977C">
            <w:pPr>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8</w:t>
            </w:r>
          </w:p>
        </w:tc>
        <w:tc>
          <w:tcPr>
            <w:tcW w:w="4113" w:type="pct"/>
            <w:vAlign w:val="center"/>
          </w:tcPr>
          <w:p w14:paraId="6B4352CB">
            <w:pPr>
              <w:rPr>
                <w:rFonts w:ascii="宋体" w:hAnsi="宋体" w:cs="宋体"/>
                <w:b/>
                <w:color w:val="auto"/>
                <w:sz w:val="24"/>
                <w:szCs w:val="24"/>
                <w:highlight w:val="none"/>
              </w:rPr>
            </w:pPr>
            <w:r>
              <w:rPr>
                <w:rFonts w:hint="eastAsia" w:ascii="宋体" w:hAnsi="宋体" w:cs="宋体"/>
                <w:color w:val="auto"/>
                <w:sz w:val="24"/>
                <w:szCs w:val="24"/>
                <w:highlight w:val="none"/>
              </w:rPr>
              <w:t>供应链服务应急方案:发生医疗材料(包括一次性植入性器械)安全事件的应急预案，发生材料质量问题的应急措施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对于产品院内物流供应所导致的医疗器械不良事件由中标方承担赔偿责任；</w:t>
            </w:r>
          </w:p>
        </w:tc>
        <w:tc>
          <w:tcPr>
            <w:tcW w:w="622" w:type="pct"/>
            <w:vAlign w:val="center"/>
          </w:tcPr>
          <w:p w14:paraId="379B78F0">
            <w:pPr>
              <w:rPr>
                <w:rFonts w:hint="eastAsia" w:ascii="宋体" w:hAnsi="宋体" w:cs="宋体"/>
                <w:color w:val="auto"/>
                <w:sz w:val="24"/>
                <w:szCs w:val="24"/>
                <w:highlight w:val="none"/>
              </w:rPr>
            </w:pPr>
          </w:p>
        </w:tc>
      </w:tr>
      <w:tr w14:paraId="55F4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43A920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9</w:t>
            </w:r>
          </w:p>
        </w:tc>
        <w:tc>
          <w:tcPr>
            <w:tcW w:w="4113" w:type="pct"/>
            <w:vAlign w:val="center"/>
          </w:tcPr>
          <w:p w14:paraId="2BE03A97">
            <w:pPr>
              <w:rPr>
                <w:rFonts w:ascii="宋体" w:hAnsi="宋体" w:cs="宋体"/>
                <w:color w:val="auto"/>
                <w:sz w:val="24"/>
                <w:szCs w:val="24"/>
                <w:highlight w:val="none"/>
              </w:rPr>
            </w:pPr>
            <w:r>
              <w:rPr>
                <w:rFonts w:hint="eastAsia" w:ascii="宋体" w:hAnsi="宋体" w:cs="宋体"/>
                <w:color w:val="auto"/>
                <w:sz w:val="24"/>
                <w:szCs w:val="24"/>
                <w:highlight w:val="none"/>
              </w:rPr>
              <w:t>信息应急方案:提供信息系统故障的应急信息化预案，免费提供备用服务器保证信息数据的完整性和准确性；</w:t>
            </w:r>
          </w:p>
        </w:tc>
        <w:tc>
          <w:tcPr>
            <w:tcW w:w="622" w:type="pct"/>
            <w:vAlign w:val="center"/>
          </w:tcPr>
          <w:p w14:paraId="47C27F2B">
            <w:pPr>
              <w:rPr>
                <w:rFonts w:hint="eastAsia" w:ascii="宋体" w:hAnsi="宋体" w:cs="宋体"/>
                <w:color w:val="auto"/>
                <w:sz w:val="24"/>
                <w:szCs w:val="24"/>
                <w:highlight w:val="none"/>
              </w:rPr>
            </w:pPr>
          </w:p>
        </w:tc>
      </w:tr>
      <w:tr w14:paraId="2612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D7BE43A">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c>
          <w:tcPr>
            <w:tcW w:w="4113" w:type="pct"/>
            <w:vAlign w:val="center"/>
          </w:tcPr>
          <w:p w14:paraId="205ED7F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应急物品:提供相关应急物资储备服务及应急物品相关管理办法</w:t>
            </w:r>
            <w:r>
              <w:rPr>
                <w:rFonts w:hint="eastAsia" w:ascii="宋体" w:hAnsi="宋体" w:cs="宋体"/>
                <w:color w:val="auto"/>
                <w:sz w:val="24"/>
                <w:szCs w:val="24"/>
                <w:highlight w:val="none"/>
                <w:lang w:eastAsia="zh-CN"/>
              </w:rPr>
              <w:t>；</w:t>
            </w:r>
          </w:p>
        </w:tc>
        <w:tc>
          <w:tcPr>
            <w:tcW w:w="622" w:type="pct"/>
            <w:vAlign w:val="center"/>
          </w:tcPr>
          <w:p w14:paraId="2A682A65">
            <w:pPr>
              <w:rPr>
                <w:rFonts w:hint="eastAsia" w:ascii="宋体" w:hAnsi="宋体" w:cs="宋体"/>
                <w:color w:val="auto"/>
                <w:sz w:val="24"/>
                <w:szCs w:val="24"/>
                <w:highlight w:val="none"/>
              </w:rPr>
            </w:pPr>
          </w:p>
        </w:tc>
      </w:tr>
      <w:tr w14:paraId="3922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45DFF17">
            <w:pPr>
              <w:rPr>
                <w:rFonts w:ascii="宋体" w:hAnsi="宋体" w:cs="宋体"/>
                <w:color w:val="auto"/>
                <w:sz w:val="24"/>
                <w:szCs w:val="24"/>
                <w:highlight w:val="none"/>
              </w:rPr>
            </w:pPr>
          </w:p>
        </w:tc>
        <w:tc>
          <w:tcPr>
            <w:tcW w:w="4113" w:type="pct"/>
            <w:vAlign w:val="center"/>
          </w:tcPr>
          <w:p w14:paraId="44DE4547">
            <w:pPr>
              <w:rPr>
                <w:rFonts w:ascii="宋体" w:hAnsi="宋体" w:cs="宋体"/>
                <w:color w:val="auto"/>
                <w:sz w:val="24"/>
                <w:szCs w:val="24"/>
                <w:highlight w:val="none"/>
              </w:rPr>
            </w:pPr>
            <w:r>
              <w:rPr>
                <w:rFonts w:hint="eastAsia" w:ascii="宋体" w:hAnsi="宋体" w:cs="宋体"/>
                <w:b/>
                <w:bCs/>
                <w:color w:val="auto"/>
                <w:sz w:val="24"/>
                <w:szCs w:val="24"/>
                <w:highlight w:val="none"/>
              </w:rPr>
              <w:t>智能硬件设施建设</w:t>
            </w:r>
          </w:p>
        </w:tc>
        <w:tc>
          <w:tcPr>
            <w:tcW w:w="622" w:type="pct"/>
            <w:vAlign w:val="center"/>
          </w:tcPr>
          <w:p w14:paraId="16B6231D">
            <w:pPr>
              <w:rPr>
                <w:rFonts w:hint="eastAsia" w:ascii="宋体" w:hAnsi="宋体" w:cs="宋体"/>
                <w:b/>
                <w:bCs/>
                <w:color w:val="auto"/>
                <w:sz w:val="24"/>
                <w:szCs w:val="24"/>
                <w:highlight w:val="none"/>
              </w:rPr>
            </w:pPr>
          </w:p>
        </w:tc>
      </w:tr>
      <w:tr w14:paraId="54EB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5861F4F">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1</w:t>
            </w:r>
          </w:p>
        </w:tc>
        <w:tc>
          <w:tcPr>
            <w:tcW w:w="4113" w:type="pct"/>
            <w:vAlign w:val="center"/>
          </w:tcPr>
          <w:p w14:paraId="7890281A">
            <w:pPr>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中心库智能改造，</w:t>
            </w:r>
            <w:r>
              <w:rPr>
                <w:rFonts w:hint="eastAsia" w:ascii="宋体" w:hAnsi="宋体" w:cs="宋体"/>
                <w:color w:val="auto"/>
                <w:sz w:val="24"/>
                <w:szCs w:val="24"/>
                <w:highlight w:val="none"/>
                <w:lang w:eastAsia="zh-CN"/>
              </w:rPr>
              <w:t>满足</w:t>
            </w:r>
            <w:r>
              <w:rPr>
                <w:rFonts w:hint="eastAsia" w:ascii="宋体" w:hAnsi="宋体" w:cs="宋体"/>
                <w:color w:val="auto"/>
                <w:sz w:val="24"/>
                <w:szCs w:val="24"/>
                <w:highlight w:val="none"/>
                <w:lang w:val="en-US" w:eastAsia="zh-CN"/>
              </w:rPr>
              <w:t>SPD运行的必备的</w:t>
            </w:r>
            <w:r>
              <w:rPr>
                <w:rFonts w:hint="eastAsia" w:ascii="宋体" w:hAnsi="宋体" w:cs="宋体"/>
                <w:color w:val="auto"/>
                <w:sz w:val="24"/>
                <w:szCs w:val="24"/>
                <w:highlight w:val="none"/>
              </w:rPr>
              <w:t>硬件设施，</w:t>
            </w:r>
            <w:r>
              <w:rPr>
                <w:rFonts w:hint="eastAsia" w:ascii="宋体" w:hAnsi="宋体" w:cs="宋体"/>
                <w:color w:val="auto"/>
                <w:sz w:val="24"/>
                <w:szCs w:val="24"/>
                <w:highlight w:val="none"/>
                <w:lang w:eastAsia="zh-CN"/>
              </w:rPr>
              <w:t>包括但不限制电脑、办公桌、打印机、对讲机、</w:t>
            </w:r>
            <w:r>
              <w:rPr>
                <w:rFonts w:hint="eastAsia" w:ascii="宋体" w:hAnsi="宋体" w:cs="宋体"/>
                <w:color w:val="auto"/>
                <w:sz w:val="24"/>
                <w:szCs w:val="24"/>
                <w:highlight w:val="none"/>
              </w:rPr>
              <w:t>扫码枪、打印机，智能货架等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所配套软件均为正版软件</w:t>
            </w:r>
            <w:r>
              <w:rPr>
                <w:rFonts w:hint="eastAsia" w:ascii="宋体" w:hAnsi="宋体" w:cs="宋体"/>
                <w:color w:val="auto"/>
                <w:sz w:val="24"/>
                <w:szCs w:val="24"/>
                <w:highlight w:val="none"/>
                <w:lang w:eastAsia="zh-CN"/>
              </w:rPr>
              <w:t>；</w:t>
            </w:r>
          </w:p>
        </w:tc>
        <w:tc>
          <w:tcPr>
            <w:tcW w:w="622" w:type="pct"/>
            <w:vAlign w:val="center"/>
          </w:tcPr>
          <w:p w14:paraId="06585209">
            <w:pPr>
              <w:rPr>
                <w:rFonts w:hint="eastAsia" w:ascii="宋体" w:hAnsi="宋体" w:cs="宋体"/>
                <w:color w:val="auto"/>
                <w:sz w:val="24"/>
                <w:szCs w:val="24"/>
                <w:highlight w:val="none"/>
              </w:rPr>
            </w:pPr>
          </w:p>
        </w:tc>
      </w:tr>
      <w:tr w14:paraId="009C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3376B1D6">
            <w:pPr>
              <w:rPr>
                <w:rFonts w:ascii="宋体" w:hAnsi="宋体" w:cs="宋体"/>
                <w:color w:val="auto"/>
                <w:sz w:val="24"/>
                <w:szCs w:val="24"/>
                <w:highlight w:val="none"/>
              </w:rPr>
            </w:pPr>
          </w:p>
        </w:tc>
        <w:tc>
          <w:tcPr>
            <w:tcW w:w="4113" w:type="pct"/>
            <w:vAlign w:val="center"/>
          </w:tcPr>
          <w:p w14:paraId="7D8EF759">
            <w:pPr>
              <w:rPr>
                <w:rFonts w:ascii="宋体" w:hAnsi="宋体" w:cs="宋体"/>
                <w:color w:val="auto"/>
                <w:sz w:val="24"/>
                <w:szCs w:val="24"/>
                <w:highlight w:val="none"/>
              </w:rPr>
            </w:pPr>
            <w:r>
              <w:rPr>
                <w:rFonts w:hint="eastAsia" w:ascii="宋体" w:hAnsi="宋体" w:cs="宋体"/>
                <w:b/>
                <w:color w:val="auto"/>
                <w:sz w:val="24"/>
                <w:szCs w:val="24"/>
                <w:highlight w:val="none"/>
              </w:rPr>
              <w:t>智能柜基本要求：</w:t>
            </w:r>
          </w:p>
        </w:tc>
        <w:tc>
          <w:tcPr>
            <w:tcW w:w="622" w:type="pct"/>
            <w:vAlign w:val="center"/>
          </w:tcPr>
          <w:p w14:paraId="22776086">
            <w:pPr>
              <w:rPr>
                <w:rFonts w:hint="eastAsia" w:ascii="宋体" w:hAnsi="宋体" w:cs="宋体"/>
                <w:b/>
                <w:color w:val="auto"/>
                <w:sz w:val="24"/>
                <w:szCs w:val="24"/>
                <w:highlight w:val="none"/>
              </w:rPr>
            </w:pPr>
          </w:p>
        </w:tc>
      </w:tr>
      <w:tr w14:paraId="11CA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B04772E">
            <w:pPr>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2</w:t>
            </w:r>
          </w:p>
        </w:tc>
        <w:tc>
          <w:tcPr>
            <w:tcW w:w="4113" w:type="pct"/>
            <w:vAlign w:val="center"/>
          </w:tcPr>
          <w:p w14:paraId="2C0B3E8E">
            <w:pPr>
              <w:rPr>
                <w:rFonts w:ascii="宋体" w:hAnsi="宋体" w:cs="宋体"/>
                <w:b/>
                <w:color w:val="auto"/>
                <w:sz w:val="24"/>
                <w:szCs w:val="24"/>
                <w:highlight w:val="none"/>
              </w:rPr>
            </w:pPr>
            <w:r>
              <w:rPr>
                <w:rFonts w:hint="eastAsia" w:ascii="宋体" w:hAnsi="宋体" w:cs="宋体"/>
                <w:color w:val="auto"/>
                <w:sz w:val="24"/>
                <w:szCs w:val="24"/>
                <w:highlight w:val="none"/>
              </w:rPr>
              <w:t>具有液晶显示屏，与柜门集成，不浪费空间，并做到节能环保；</w:t>
            </w:r>
          </w:p>
        </w:tc>
        <w:tc>
          <w:tcPr>
            <w:tcW w:w="622" w:type="pct"/>
            <w:vAlign w:val="center"/>
          </w:tcPr>
          <w:p w14:paraId="0C35B4EE">
            <w:pPr>
              <w:rPr>
                <w:rFonts w:hint="eastAsia" w:ascii="宋体" w:hAnsi="宋体" w:cs="宋体"/>
                <w:color w:val="auto"/>
                <w:sz w:val="24"/>
                <w:szCs w:val="24"/>
                <w:highlight w:val="none"/>
              </w:rPr>
            </w:pPr>
          </w:p>
        </w:tc>
      </w:tr>
      <w:tr w14:paraId="426D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6F692CA">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3</w:t>
            </w:r>
          </w:p>
        </w:tc>
        <w:tc>
          <w:tcPr>
            <w:tcW w:w="4113" w:type="pct"/>
            <w:vAlign w:val="center"/>
          </w:tcPr>
          <w:p w14:paraId="12D6D931">
            <w:pPr>
              <w:rPr>
                <w:rFonts w:ascii="宋体" w:hAnsi="宋体" w:cs="宋体"/>
                <w:color w:val="auto"/>
                <w:sz w:val="24"/>
                <w:szCs w:val="24"/>
                <w:highlight w:val="none"/>
              </w:rPr>
            </w:pPr>
            <w:r>
              <w:rPr>
                <w:rFonts w:hint="eastAsia" w:ascii="宋体" w:hAnsi="宋体" w:cs="宋体"/>
                <w:color w:val="auto"/>
                <w:sz w:val="24"/>
                <w:szCs w:val="24"/>
                <w:highlight w:val="none"/>
              </w:rPr>
              <w:t>具有温湿度检测，当温湿度超过设定范围，系统报警；</w:t>
            </w:r>
          </w:p>
        </w:tc>
        <w:tc>
          <w:tcPr>
            <w:tcW w:w="622" w:type="pct"/>
            <w:vAlign w:val="center"/>
          </w:tcPr>
          <w:p w14:paraId="291214AD">
            <w:pPr>
              <w:rPr>
                <w:rFonts w:hint="eastAsia" w:ascii="宋体" w:hAnsi="宋体" w:cs="宋体"/>
                <w:color w:val="auto"/>
                <w:sz w:val="24"/>
                <w:szCs w:val="24"/>
                <w:highlight w:val="none"/>
              </w:rPr>
            </w:pPr>
          </w:p>
        </w:tc>
      </w:tr>
      <w:tr w14:paraId="0A9D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8E2EA8B">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4</w:t>
            </w:r>
          </w:p>
        </w:tc>
        <w:tc>
          <w:tcPr>
            <w:tcW w:w="4113" w:type="pct"/>
            <w:vAlign w:val="center"/>
          </w:tcPr>
          <w:p w14:paraId="6C969790">
            <w:pPr>
              <w:rPr>
                <w:rFonts w:ascii="宋体" w:hAnsi="宋体" w:cs="宋体"/>
                <w:color w:val="auto"/>
                <w:sz w:val="24"/>
                <w:szCs w:val="24"/>
                <w:highlight w:val="none"/>
              </w:rPr>
            </w:pPr>
            <w:r>
              <w:rPr>
                <w:rFonts w:hint="eastAsia" w:ascii="宋体" w:hAnsi="宋体" w:cs="宋体"/>
                <w:color w:val="auto"/>
                <w:sz w:val="24"/>
                <w:szCs w:val="24"/>
                <w:highlight w:val="none"/>
              </w:rPr>
              <w:t>单个智能柜存储空间不得小于400L（具有冷藏功能的检验试剂智能柜除外），具体大小、组数需根据消耗点确定，可分主柜、副柜，满足临床使用；</w:t>
            </w:r>
          </w:p>
        </w:tc>
        <w:tc>
          <w:tcPr>
            <w:tcW w:w="622" w:type="pct"/>
            <w:vAlign w:val="center"/>
          </w:tcPr>
          <w:p w14:paraId="0A06BC14">
            <w:pPr>
              <w:rPr>
                <w:rFonts w:hint="eastAsia" w:ascii="宋体" w:hAnsi="宋体" w:cs="宋体"/>
                <w:color w:val="auto"/>
                <w:sz w:val="24"/>
                <w:szCs w:val="24"/>
                <w:highlight w:val="none"/>
              </w:rPr>
            </w:pPr>
          </w:p>
        </w:tc>
      </w:tr>
      <w:tr w14:paraId="6720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01FA293">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5</w:t>
            </w:r>
          </w:p>
        </w:tc>
        <w:tc>
          <w:tcPr>
            <w:tcW w:w="4113" w:type="pct"/>
            <w:vAlign w:val="center"/>
          </w:tcPr>
          <w:p w14:paraId="54F798BE">
            <w:pPr>
              <w:rPr>
                <w:rFonts w:ascii="宋体" w:hAnsi="宋体" w:cs="宋体"/>
                <w:color w:val="auto"/>
                <w:sz w:val="24"/>
                <w:szCs w:val="24"/>
                <w:highlight w:val="none"/>
              </w:rPr>
            </w:pPr>
            <w:r>
              <w:rPr>
                <w:rFonts w:hint="eastAsia" w:ascii="宋体" w:hAnsi="宋体" w:cs="宋体"/>
                <w:color w:val="auto"/>
                <w:sz w:val="24"/>
                <w:szCs w:val="24"/>
                <w:highlight w:val="none"/>
              </w:rPr>
              <w:t>通过射频技术自动感知耗材存取（相邻智能柜之间不能串读），对应增加减少库存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可通过智能柜屏幕查看库存及出入库信息；</w:t>
            </w:r>
          </w:p>
        </w:tc>
        <w:tc>
          <w:tcPr>
            <w:tcW w:w="622" w:type="pct"/>
            <w:vAlign w:val="center"/>
          </w:tcPr>
          <w:p w14:paraId="1489C794">
            <w:pPr>
              <w:rPr>
                <w:rFonts w:hint="eastAsia" w:ascii="宋体" w:hAnsi="宋体" w:cs="宋体"/>
                <w:color w:val="auto"/>
                <w:sz w:val="24"/>
                <w:szCs w:val="24"/>
                <w:highlight w:val="none"/>
              </w:rPr>
            </w:pPr>
          </w:p>
        </w:tc>
      </w:tr>
      <w:tr w14:paraId="0C3C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9A3918F">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6</w:t>
            </w:r>
          </w:p>
        </w:tc>
        <w:tc>
          <w:tcPr>
            <w:tcW w:w="4113" w:type="pct"/>
            <w:vAlign w:val="center"/>
          </w:tcPr>
          <w:p w14:paraId="4D9A16F2">
            <w:pPr>
              <w:rPr>
                <w:rFonts w:ascii="宋体" w:hAnsi="宋体" w:cs="宋体"/>
                <w:color w:val="auto"/>
                <w:sz w:val="24"/>
                <w:szCs w:val="24"/>
                <w:highlight w:val="none"/>
              </w:rPr>
            </w:pPr>
            <w:r>
              <w:rPr>
                <w:rFonts w:hint="eastAsia" w:ascii="宋体" w:hAnsi="宋体" w:cs="宋体"/>
                <w:color w:val="auto"/>
                <w:sz w:val="24"/>
                <w:szCs w:val="24"/>
                <w:highlight w:val="none"/>
              </w:rPr>
              <w:t>要求具备自检功能，对柜子本身运行进行检测；具有看门狗机制，确保系统软件不死机；</w:t>
            </w:r>
          </w:p>
        </w:tc>
        <w:tc>
          <w:tcPr>
            <w:tcW w:w="622" w:type="pct"/>
            <w:vAlign w:val="center"/>
          </w:tcPr>
          <w:p w14:paraId="26754EF3">
            <w:pPr>
              <w:rPr>
                <w:rFonts w:hint="eastAsia" w:ascii="宋体" w:hAnsi="宋体" w:cs="宋体"/>
                <w:color w:val="auto"/>
                <w:sz w:val="24"/>
                <w:szCs w:val="24"/>
                <w:highlight w:val="none"/>
              </w:rPr>
            </w:pPr>
          </w:p>
        </w:tc>
      </w:tr>
      <w:tr w14:paraId="452F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58AB64B">
            <w:pPr>
              <w:rPr>
                <w:rFonts w:hint="eastAsia" w:ascii="宋体" w:hAnsi="宋体" w:eastAsia="宋体" w:cs="宋体"/>
                <w:color w:val="auto"/>
                <w:sz w:val="24"/>
                <w:szCs w:val="24"/>
                <w:highlight w:val="none"/>
                <w:lang w:val="en-US" w:eastAsia="zh-CN"/>
              </w:rPr>
            </w:pPr>
            <w:bookmarkStart w:id="0" w:name="_Toc17145_WPSOffice_Level1"/>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7</w:t>
            </w:r>
          </w:p>
          <w:bookmarkEnd w:id="0"/>
        </w:tc>
        <w:tc>
          <w:tcPr>
            <w:tcW w:w="4113" w:type="pct"/>
            <w:vAlign w:val="center"/>
          </w:tcPr>
          <w:p w14:paraId="270351B7">
            <w:pPr>
              <w:rPr>
                <w:rFonts w:ascii="宋体" w:hAnsi="宋体" w:cs="宋体"/>
                <w:color w:val="auto"/>
                <w:sz w:val="24"/>
                <w:szCs w:val="24"/>
                <w:highlight w:val="none"/>
              </w:rPr>
            </w:pPr>
            <w:r>
              <w:rPr>
                <w:rFonts w:hint="eastAsia" w:ascii="宋体" w:hAnsi="宋体" w:cs="宋体"/>
                <w:color w:val="auto"/>
                <w:sz w:val="24"/>
                <w:szCs w:val="24"/>
                <w:highlight w:val="none"/>
              </w:rPr>
              <w:t>具备控制系统监控，当智能柜上位机与智能柜控制系统通讯中断时，系统自动报警；</w:t>
            </w:r>
          </w:p>
        </w:tc>
        <w:tc>
          <w:tcPr>
            <w:tcW w:w="622" w:type="pct"/>
            <w:vAlign w:val="center"/>
          </w:tcPr>
          <w:p w14:paraId="1BEC9FC8">
            <w:pPr>
              <w:rPr>
                <w:rFonts w:hint="eastAsia" w:ascii="宋体" w:hAnsi="宋体" w:cs="宋体"/>
                <w:color w:val="auto"/>
                <w:sz w:val="24"/>
                <w:szCs w:val="24"/>
                <w:highlight w:val="none"/>
              </w:rPr>
            </w:pPr>
          </w:p>
        </w:tc>
      </w:tr>
      <w:tr w14:paraId="299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B0E9782">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8</w:t>
            </w:r>
          </w:p>
        </w:tc>
        <w:tc>
          <w:tcPr>
            <w:tcW w:w="4113" w:type="pct"/>
            <w:vAlign w:val="center"/>
          </w:tcPr>
          <w:p w14:paraId="36756B22">
            <w:pPr>
              <w:rPr>
                <w:rFonts w:ascii="宋体" w:hAnsi="宋体" w:cs="宋体"/>
                <w:color w:val="auto"/>
                <w:sz w:val="24"/>
                <w:szCs w:val="24"/>
                <w:highlight w:val="none"/>
              </w:rPr>
            </w:pPr>
            <w:r>
              <w:rPr>
                <w:rFonts w:hint="eastAsia" w:ascii="宋体" w:hAnsi="宋体" w:cs="宋体"/>
                <w:color w:val="auto"/>
                <w:sz w:val="24"/>
                <w:szCs w:val="24"/>
                <w:highlight w:val="none"/>
              </w:rPr>
              <w:t>具备耗材取用的权限访问控制，支持密码控制开门，支持IC卡、指纹、人脸识别等开门方式中的一种或多种；</w:t>
            </w:r>
          </w:p>
        </w:tc>
        <w:tc>
          <w:tcPr>
            <w:tcW w:w="622" w:type="pct"/>
            <w:vAlign w:val="center"/>
          </w:tcPr>
          <w:p w14:paraId="18BBC108">
            <w:pPr>
              <w:rPr>
                <w:rFonts w:hint="eastAsia" w:ascii="宋体" w:hAnsi="宋体" w:cs="宋体"/>
                <w:color w:val="auto"/>
                <w:sz w:val="24"/>
                <w:szCs w:val="24"/>
                <w:highlight w:val="none"/>
              </w:rPr>
            </w:pPr>
          </w:p>
        </w:tc>
      </w:tr>
      <w:tr w14:paraId="2F5E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10EBBD9">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9</w:t>
            </w:r>
          </w:p>
        </w:tc>
        <w:tc>
          <w:tcPr>
            <w:tcW w:w="4113" w:type="pct"/>
            <w:vAlign w:val="center"/>
          </w:tcPr>
          <w:p w14:paraId="0300E017">
            <w:pPr>
              <w:rPr>
                <w:rFonts w:ascii="宋体" w:hAnsi="宋体" w:cs="宋体"/>
                <w:color w:val="auto"/>
                <w:sz w:val="24"/>
                <w:szCs w:val="24"/>
                <w:highlight w:val="none"/>
              </w:rPr>
            </w:pPr>
            <w:r>
              <w:rPr>
                <w:rFonts w:hint="eastAsia" w:ascii="宋体" w:hAnsi="宋体" w:cs="宋体"/>
                <w:color w:val="auto"/>
                <w:sz w:val="24"/>
                <w:szCs w:val="24"/>
                <w:highlight w:val="none"/>
              </w:rPr>
              <w:t>智能柜人员权限管理，如添加或删除智能柜使用人员、用户权限调整；设置智能柜相关参数；监控智能柜门开启状态；</w:t>
            </w:r>
          </w:p>
        </w:tc>
        <w:tc>
          <w:tcPr>
            <w:tcW w:w="622" w:type="pct"/>
            <w:vAlign w:val="center"/>
          </w:tcPr>
          <w:p w14:paraId="77A3F155">
            <w:pPr>
              <w:rPr>
                <w:rFonts w:hint="eastAsia" w:ascii="宋体" w:hAnsi="宋体" w:cs="宋体"/>
                <w:color w:val="auto"/>
                <w:sz w:val="24"/>
                <w:szCs w:val="24"/>
                <w:highlight w:val="none"/>
              </w:rPr>
            </w:pPr>
          </w:p>
        </w:tc>
      </w:tr>
      <w:tr w14:paraId="651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AE4582E">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70</w:t>
            </w:r>
          </w:p>
        </w:tc>
        <w:tc>
          <w:tcPr>
            <w:tcW w:w="4113" w:type="pct"/>
            <w:vAlign w:val="center"/>
          </w:tcPr>
          <w:p w14:paraId="0EBECAD0">
            <w:pPr>
              <w:rPr>
                <w:rFonts w:ascii="宋体" w:hAnsi="宋体" w:cs="宋体"/>
                <w:color w:val="auto"/>
                <w:sz w:val="24"/>
                <w:szCs w:val="24"/>
                <w:highlight w:val="none"/>
              </w:rPr>
            </w:pPr>
            <w:r>
              <w:rPr>
                <w:rFonts w:hint="eastAsia" w:ascii="宋体" w:hAnsi="宋体" w:cs="宋体"/>
                <w:color w:val="auto"/>
                <w:sz w:val="24"/>
                <w:szCs w:val="24"/>
                <w:highlight w:val="none"/>
              </w:rPr>
              <w:t>提供标准化接口，与医院系统对接，并支持用户需求二次开发；</w:t>
            </w:r>
          </w:p>
        </w:tc>
        <w:tc>
          <w:tcPr>
            <w:tcW w:w="622" w:type="pct"/>
            <w:vAlign w:val="center"/>
          </w:tcPr>
          <w:p w14:paraId="7FA5ACD4">
            <w:pPr>
              <w:rPr>
                <w:rFonts w:hint="eastAsia" w:ascii="宋体" w:hAnsi="宋体" w:cs="宋体"/>
                <w:color w:val="auto"/>
                <w:sz w:val="24"/>
                <w:szCs w:val="24"/>
                <w:highlight w:val="none"/>
              </w:rPr>
            </w:pPr>
          </w:p>
        </w:tc>
      </w:tr>
      <w:tr w14:paraId="21BE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256E459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1</w:t>
            </w:r>
          </w:p>
        </w:tc>
        <w:tc>
          <w:tcPr>
            <w:tcW w:w="4113" w:type="pct"/>
            <w:vAlign w:val="center"/>
          </w:tcPr>
          <w:p w14:paraId="4EBCB3E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断网时有数据备份功能，基本功能可正常使用，网络恢复后能自动上传中断后数据</w:t>
            </w:r>
            <w:r>
              <w:rPr>
                <w:rFonts w:hint="eastAsia" w:ascii="宋体" w:hAnsi="宋体" w:cs="宋体"/>
                <w:color w:val="auto"/>
                <w:sz w:val="24"/>
                <w:szCs w:val="24"/>
                <w:highlight w:val="none"/>
                <w:lang w:eastAsia="zh-CN"/>
              </w:rPr>
              <w:t>；</w:t>
            </w:r>
          </w:p>
        </w:tc>
        <w:tc>
          <w:tcPr>
            <w:tcW w:w="622" w:type="pct"/>
            <w:vAlign w:val="center"/>
          </w:tcPr>
          <w:p w14:paraId="3083A78F">
            <w:pPr>
              <w:rPr>
                <w:rFonts w:hint="eastAsia" w:ascii="宋体" w:hAnsi="宋体" w:cs="宋体"/>
                <w:color w:val="auto"/>
                <w:sz w:val="24"/>
                <w:szCs w:val="24"/>
                <w:highlight w:val="none"/>
              </w:rPr>
            </w:pPr>
          </w:p>
        </w:tc>
      </w:tr>
      <w:tr w14:paraId="714E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01B74CC">
            <w:pPr>
              <w:rPr>
                <w:rFonts w:ascii="宋体" w:hAnsi="宋体" w:cs="宋体"/>
                <w:color w:val="auto"/>
                <w:sz w:val="24"/>
                <w:szCs w:val="24"/>
                <w:highlight w:val="none"/>
              </w:rPr>
            </w:pPr>
          </w:p>
        </w:tc>
        <w:tc>
          <w:tcPr>
            <w:tcW w:w="4113" w:type="pct"/>
            <w:vAlign w:val="center"/>
          </w:tcPr>
          <w:p w14:paraId="32041B24">
            <w:pPr>
              <w:rPr>
                <w:rFonts w:ascii="宋体" w:hAnsi="宋体" w:cs="宋体"/>
                <w:color w:val="auto"/>
                <w:sz w:val="24"/>
                <w:szCs w:val="24"/>
                <w:highlight w:val="none"/>
              </w:rPr>
            </w:pPr>
            <w:r>
              <w:rPr>
                <w:rFonts w:hint="eastAsia" w:ascii="宋体" w:hAnsi="宋体" w:cs="宋体"/>
                <w:b/>
                <w:color w:val="auto"/>
                <w:sz w:val="24"/>
                <w:szCs w:val="24"/>
                <w:highlight w:val="none"/>
              </w:rPr>
              <w:t>智能柜功能要求：</w:t>
            </w:r>
          </w:p>
        </w:tc>
        <w:tc>
          <w:tcPr>
            <w:tcW w:w="622" w:type="pct"/>
            <w:vAlign w:val="center"/>
          </w:tcPr>
          <w:p w14:paraId="34E7D80F">
            <w:pPr>
              <w:rPr>
                <w:rFonts w:hint="eastAsia" w:ascii="宋体" w:hAnsi="宋体" w:cs="宋体"/>
                <w:b/>
                <w:color w:val="auto"/>
                <w:sz w:val="24"/>
                <w:szCs w:val="24"/>
                <w:highlight w:val="none"/>
              </w:rPr>
            </w:pPr>
          </w:p>
        </w:tc>
      </w:tr>
      <w:tr w14:paraId="1531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1E6A1C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2</w:t>
            </w:r>
          </w:p>
        </w:tc>
        <w:tc>
          <w:tcPr>
            <w:tcW w:w="4113" w:type="pct"/>
            <w:vAlign w:val="center"/>
          </w:tcPr>
          <w:p w14:paraId="30B17E7B">
            <w:pPr>
              <w:rPr>
                <w:rFonts w:ascii="宋体" w:hAnsi="宋体" w:cs="宋体"/>
                <w:b/>
                <w:color w:val="auto"/>
                <w:sz w:val="24"/>
                <w:szCs w:val="24"/>
                <w:highlight w:val="none"/>
              </w:rPr>
            </w:pPr>
            <w:r>
              <w:rPr>
                <w:rFonts w:hint="eastAsia" w:ascii="宋体" w:hAnsi="宋体" w:cs="宋体"/>
                <w:color w:val="auto"/>
                <w:sz w:val="24"/>
                <w:szCs w:val="24"/>
                <w:highlight w:val="none"/>
              </w:rPr>
              <w:t>根据库存设置，实现智能补货；</w:t>
            </w:r>
          </w:p>
        </w:tc>
        <w:tc>
          <w:tcPr>
            <w:tcW w:w="622" w:type="pct"/>
            <w:vAlign w:val="center"/>
          </w:tcPr>
          <w:p w14:paraId="6855BD7A">
            <w:pPr>
              <w:rPr>
                <w:rFonts w:hint="eastAsia" w:ascii="宋体" w:hAnsi="宋体" w:cs="宋体"/>
                <w:color w:val="auto"/>
                <w:sz w:val="24"/>
                <w:szCs w:val="24"/>
                <w:highlight w:val="none"/>
              </w:rPr>
            </w:pPr>
          </w:p>
        </w:tc>
      </w:tr>
      <w:tr w14:paraId="07E7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BBB284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p>
        </w:tc>
        <w:tc>
          <w:tcPr>
            <w:tcW w:w="4113" w:type="pct"/>
            <w:vAlign w:val="center"/>
          </w:tcPr>
          <w:p w14:paraId="2B85B6B1">
            <w:pPr>
              <w:rPr>
                <w:rFonts w:ascii="宋体" w:hAnsi="宋体" w:cs="宋体"/>
                <w:color w:val="auto"/>
                <w:sz w:val="24"/>
                <w:szCs w:val="24"/>
                <w:highlight w:val="none"/>
              </w:rPr>
            </w:pPr>
            <w:r>
              <w:rPr>
                <w:rFonts w:hint="eastAsia" w:ascii="宋体" w:hAnsi="宋体" w:cs="宋体"/>
                <w:color w:val="auto"/>
                <w:sz w:val="24"/>
                <w:szCs w:val="24"/>
                <w:highlight w:val="none"/>
              </w:rPr>
              <w:t>自动收货功能（自动识别放入柜中物品，自动核对放入物品与配送单差别）；</w:t>
            </w:r>
          </w:p>
        </w:tc>
        <w:tc>
          <w:tcPr>
            <w:tcW w:w="622" w:type="pct"/>
            <w:vAlign w:val="center"/>
          </w:tcPr>
          <w:p w14:paraId="0D2A5EF5">
            <w:pPr>
              <w:rPr>
                <w:rFonts w:hint="eastAsia" w:ascii="宋体" w:hAnsi="宋体" w:cs="宋体"/>
                <w:color w:val="auto"/>
                <w:sz w:val="24"/>
                <w:szCs w:val="24"/>
                <w:highlight w:val="none"/>
              </w:rPr>
            </w:pPr>
          </w:p>
        </w:tc>
      </w:tr>
      <w:tr w14:paraId="0ED4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72010EA">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4</w:t>
            </w:r>
          </w:p>
        </w:tc>
        <w:tc>
          <w:tcPr>
            <w:tcW w:w="4113" w:type="pct"/>
            <w:vAlign w:val="center"/>
          </w:tcPr>
          <w:p w14:paraId="701AFA90">
            <w:pPr>
              <w:rPr>
                <w:rFonts w:ascii="宋体" w:hAnsi="宋体" w:cs="宋体"/>
                <w:color w:val="auto"/>
                <w:sz w:val="24"/>
                <w:szCs w:val="24"/>
                <w:highlight w:val="none"/>
              </w:rPr>
            </w:pPr>
            <w:r>
              <w:rPr>
                <w:rFonts w:hint="eastAsia" w:ascii="宋体" w:hAnsi="宋体" w:cs="宋体"/>
                <w:color w:val="auto"/>
                <w:sz w:val="24"/>
                <w:szCs w:val="24"/>
                <w:highlight w:val="none"/>
              </w:rPr>
              <w:t>归还和退货功能；</w:t>
            </w:r>
          </w:p>
        </w:tc>
        <w:tc>
          <w:tcPr>
            <w:tcW w:w="622" w:type="pct"/>
            <w:vAlign w:val="center"/>
          </w:tcPr>
          <w:p w14:paraId="58A873FF">
            <w:pPr>
              <w:rPr>
                <w:rFonts w:hint="eastAsia" w:ascii="宋体" w:hAnsi="宋体" w:cs="宋体"/>
                <w:color w:val="auto"/>
                <w:sz w:val="24"/>
                <w:szCs w:val="24"/>
                <w:highlight w:val="none"/>
              </w:rPr>
            </w:pPr>
          </w:p>
        </w:tc>
      </w:tr>
      <w:tr w14:paraId="52A2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4" w:type="pct"/>
            <w:vAlign w:val="center"/>
          </w:tcPr>
          <w:p w14:paraId="42AF83A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5</w:t>
            </w:r>
          </w:p>
        </w:tc>
        <w:tc>
          <w:tcPr>
            <w:tcW w:w="4113" w:type="pct"/>
            <w:vAlign w:val="center"/>
          </w:tcPr>
          <w:p w14:paraId="6B83CEA7">
            <w:pPr>
              <w:rPr>
                <w:rFonts w:ascii="宋体" w:hAnsi="宋体" w:cs="宋体"/>
                <w:color w:val="auto"/>
                <w:sz w:val="24"/>
                <w:szCs w:val="24"/>
                <w:highlight w:val="none"/>
              </w:rPr>
            </w:pPr>
            <w:r>
              <w:rPr>
                <w:rFonts w:hint="eastAsia" w:ascii="宋体" w:hAnsi="宋体" w:cs="宋体"/>
                <w:color w:val="auto"/>
                <w:sz w:val="24"/>
                <w:szCs w:val="24"/>
                <w:highlight w:val="none"/>
              </w:rPr>
              <w:t>自动盘点功能、日清报表功能；</w:t>
            </w:r>
          </w:p>
        </w:tc>
        <w:tc>
          <w:tcPr>
            <w:tcW w:w="622" w:type="pct"/>
            <w:vAlign w:val="center"/>
          </w:tcPr>
          <w:p w14:paraId="5C07ED52">
            <w:pPr>
              <w:rPr>
                <w:rFonts w:hint="eastAsia" w:ascii="宋体" w:hAnsi="宋体" w:cs="宋体"/>
                <w:color w:val="auto"/>
                <w:sz w:val="24"/>
                <w:szCs w:val="24"/>
                <w:highlight w:val="none"/>
              </w:rPr>
            </w:pPr>
          </w:p>
        </w:tc>
      </w:tr>
      <w:tr w14:paraId="508B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A30D635">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6</w:t>
            </w:r>
          </w:p>
        </w:tc>
        <w:tc>
          <w:tcPr>
            <w:tcW w:w="4113" w:type="pct"/>
            <w:vAlign w:val="center"/>
          </w:tcPr>
          <w:p w14:paraId="14051CF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近效期提醒功能</w:t>
            </w:r>
            <w:r>
              <w:rPr>
                <w:rFonts w:hint="eastAsia" w:ascii="宋体" w:hAnsi="宋体" w:cs="宋体"/>
                <w:color w:val="auto"/>
                <w:sz w:val="24"/>
                <w:szCs w:val="24"/>
                <w:highlight w:val="none"/>
                <w:lang w:eastAsia="zh-CN"/>
              </w:rPr>
              <w:t>；</w:t>
            </w:r>
          </w:p>
        </w:tc>
        <w:tc>
          <w:tcPr>
            <w:tcW w:w="622" w:type="pct"/>
            <w:vAlign w:val="center"/>
          </w:tcPr>
          <w:p w14:paraId="3DC7B643">
            <w:pPr>
              <w:rPr>
                <w:rFonts w:hint="eastAsia" w:ascii="宋体" w:hAnsi="宋体" w:cs="宋体"/>
                <w:color w:val="auto"/>
                <w:sz w:val="24"/>
                <w:szCs w:val="24"/>
                <w:highlight w:val="none"/>
              </w:rPr>
            </w:pPr>
          </w:p>
        </w:tc>
      </w:tr>
      <w:tr w14:paraId="30A4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2A5B619">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7</w:t>
            </w:r>
          </w:p>
        </w:tc>
        <w:tc>
          <w:tcPr>
            <w:tcW w:w="4113" w:type="pct"/>
            <w:vAlign w:val="center"/>
          </w:tcPr>
          <w:p w14:paraId="4C188B5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所有关键智能硬件应配有UPS电源和相关技术，以防断网、断电、设备故障等现象造成硬件损坏或者数据丢失</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如发生上述现象，造成的相应损失由中标方承担</w:t>
            </w:r>
            <w:r>
              <w:rPr>
                <w:rFonts w:hint="eastAsia" w:ascii="宋体" w:hAnsi="宋体" w:cs="宋体"/>
                <w:color w:val="auto"/>
                <w:sz w:val="24"/>
                <w:szCs w:val="24"/>
                <w:highlight w:val="none"/>
                <w:lang w:eastAsia="zh-CN"/>
              </w:rPr>
              <w:t>；</w:t>
            </w:r>
          </w:p>
        </w:tc>
        <w:tc>
          <w:tcPr>
            <w:tcW w:w="622" w:type="pct"/>
            <w:vAlign w:val="center"/>
          </w:tcPr>
          <w:p w14:paraId="08929F4E">
            <w:pPr>
              <w:rPr>
                <w:rFonts w:hint="eastAsia" w:ascii="宋体" w:hAnsi="宋体" w:cs="宋体"/>
                <w:color w:val="auto"/>
                <w:sz w:val="24"/>
                <w:szCs w:val="24"/>
                <w:highlight w:val="none"/>
              </w:rPr>
            </w:pPr>
          </w:p>
        </w:tc>
      </w:tr>
      <w:tr w14:paraId="6387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DF27D94">
            <w:pPr>
              <w:rPr>
                <w:rFonts w:ascii="宋体" w:hAnsi="宋体" w:cs="宋体"/>
                <w:color w:val="auto"/>
                <w:sz w:val="24"/>
                <w:szCs w:val="24"/>
                <w:highlight w:val="none"/>
              </w:rPr>
            </w:pPr>
          </w:p>
        </w:tc>
        <w:tc>
          <w:tcPr>
            <w:tcW w:w="4113" w:type="pct"/>
            <w:vAlign w:val="center"/>
          </w:tcPr>
          <w:p w14:paraId="5B5ABA56">
            <w:pPr>
              <w:rPr>
                <w:rFonts w:ascii="宋体" w:hAnsi="宋体" w:cs="宋体"/>
                <w:color w:val="auto"/>
                <w:sz w:val="24"/>
                <w:szCs w:val="24"/>
                <w:highlight w:val="none"/>
              </w:rPr>
            </w:pPr>
            <w:r>
              <w:rPr>
                <w:rFonts w:hint="eastAsia" w:ascii="宋体" w:hAnsi="宋体" w:cs="宋体"/>
                <w:b/>
                <w:bCs/>
                <w:color w:val="auto"/>
                <w:sz w:val="24"/>
                <w:szCs w:val="24"/>
                <w:highlight w:val="none"/>
              </w:rPr>
              <w:t>其他要求</w:t>
            </w:r>
          </w:p>
        </w:tc>
        <w:tc>
          <w:tcPr>
            <w:tcW w:w="622" w:type="pct"/>
            <w:vAlign w:val="center"/>
          </w:tcPr>
          <w:p w14:paraId="233C1A76">
            <w:pPr>
              <w:rPr>
                <w:rFonts w:hint="eastAsia" w:ascii="宋体" w:hAnsi="宋体" w:cs="宋体"/>
                <w:b/>
                <w:bCs/>
                <w:color w:val="auto"/>
                <w:sz w:val="24"/>
                <w:szCs w:val="24"/>
                <w:highlight w:val="none"/>
              </w:rPr>
            </w:pPr>
          </w:p>
        </w:tc>
      </w:tr>
      <w:tr w14:paraId="32E2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060825B">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8</w:t>
            </w:r>
          </w:p>
        </w:tc>
        <w:tc>
          <w:tcPr>
            <w:tcW w:w="4113" w:type="pct"/>
            <w:vAlign w:val="center"/>
          </w:tcPr>
          <w:p w14:paraId="57DC6743">
            <w:pPr>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中标方需提供满足要求的前置服务器至少两台，保证各环节流畅稳定运行，以确保数据中转，并安装正版操作系统与数据库软件</w:t>
            </w:r>
            <w:r>
              <w:rPr>
                <w:rFonts w:hint="eastAsia" w:ascii="宋体" w:hAnsi="宋体" w:cs="宋体"/>
                <w:color w:val="auto"/>
                <w:sz w:val="24"/>
                <w:szCs w:val="24"/>
                <w:highlight w:val="none"/>
                <w:lang w:eastAsia="zh-CN"/>
              </w:rPr>
              <w:t>；</w:t>
            </w:r>
          </w:p>
        </w:tc>
        <w:tc>
          <w:tcPr>
            <w:tcW w:w="622" w:type="pct"/>
            <w:vAlign w:val="center"/>
          </w:tcPr>
          <w:p w14:paraId="093F3DF0">
            <w:pPr>
              <w:rPr>
                <w:rFonts w:hint="eastAsia" w:ascii="宋体" w:hAnsi="宋体" w:cs="宋体"/>
                <w:color w:val="auto"/>
                <w:sz w:val="24"/>
                <w:szCs w:val="24"/>
                <w:highlight w:val="none"/>
              </w:rPr>
            </w:pPr>
          </w:p>
        </w:tc>
      </w:tr>
      <w:tr w14:paraId="368A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09C3881A">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9</w:t>
            </w:r>
          </w:p>
        </w:tc>
        <w:tc>
          <w:tcPr>
            <w:tcW w:w="4113" w:type="pct"/>
            <w:vAlign w:val="center"/>
          </w:tcPr>
          <w:p w14:paraId="4087416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系统平台应符合HL7标准协议，以确保我院电子病历及互联互通评审</w:t>
            </w:r>
            <w:r>
              <w:rPr>
                <w:rFonts w:hint="eastAsia" w:ascii="宋体" w:hAnsi="宋体" w:cs="宋体"/>
                <w:color w:val="auto"/>
                <w:sz w:val="24"/>
                <w:szCs w:val="24"/>
                <w:highlight w:val="none"/>
                <w:lang w:eastAsia="zh-CN"/>
              </w:rPr>
              <w:t>；</w:t>
            </w:r>
          </w:p>
        </w:tc>
        <w:tc>
          <w:tcPr>
            <w:tcW w:w="622" w:type="pct"/>
            <w:vAlign w:val="center"/>
          </w:tcPr>
          <w:p w14:paraId="2CB8D70D">
            <w:pPr>
              <w:rPr>
                <w:rFonts w:hint="eastAsia" w:ascii="宋体" w:hAnsi="宋体" w:cs="宋体"/>
                <w:color w:val="auto"/>
                <w:sz w:val="24"/>
                <w:szCs w:val="24"/>
                <w:highlight w:val="none"/>
              </w:rPr>
            </w:pPr>
          </w:p>
        </w:tc>
      </w:tr>
      <w:tr w14:paraId="20A8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E89B215">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w:t>
            </w:r>
          </w:p>
        </w:tc>
        <w:tc>
          <w:tcPr>
            <w:tcW w:w="4113" w:type="pct"/>
            <w:vAlign w:val="center"/>
          </w:tcPr>
          <w:p w14:paraId="3733243A">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系统部署及安装，必须符合信息安全三级等级保护要求</w:t>
            </w:r>
            <w:r>
              <w:rPr>
                <w:rFonts w:hint="eastAsia" w:ascii="宋体" w:hAnsi="宋体" w:cs="宋体"/>
                <w:color w:val="auto"/>
                <w:sz w:val="24"/>
                <w:szCs w:val="24"/>
                <w:highlight w:val="none"/>
                <w:lang w:eastAsia="zh-CN"/>
              </w:rPr>
              <w:t>；</w:t>
            </w:r>
          </w:p>
        </w:tc>
        <w:tc>
          <w:tcPr>
            <w:tcW w:w="622" w:type="pct"/>
            <w:vAlign w:val="center"/>
          </w:tcPr>
          <w:p w14:paraId="26BAA302">
            <w:pPr>
              <w:rPr>
                <w:rFonts w:hint="eastAsia" w:ascii="宋体" w:hAnsi="宋体" w:cs="宋体"/>
                <w:color w:val="auto"/>
                <w:sz w:val="24"/>
                <w:szCs w:val="24"/>
                <w:highlight w:val="none"/>
              </w:rPr>
            </w:pPr>
          </w:p>
        </w:tc>
      </w:tr>
      <w:tr w14:paraId="1D38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19CAF49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1</w:t>
            </w:r>
          </w:p>
        </w:tc>
        <w:tc>
          <w:tcPr>
            <w:tcW w:w="4113" w:type="pct"/>
            <w:vAlign w:val="center"/>
          </w:tcPr>
          <w:p w14:paraId="2754D395">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本次招标范围内各软、硬件以及配套耗材由中标方提供且负责日常维护、维修</w:t>
            </w:r>
            <w:r>
              <w:rPr>
                <w:rFonts w:hint="eastAsia" w:ascii="宋体" w:hAnsi="宋体" w:cs="宋体"/>
                <w:color w:val="auto"/>
                <w:sz w:val="24"/>
                <w:szCs w:val="24"/>
                <w:highlight w:val="none"/>
                <w:lang w:eastAsia="zh-CN"/>
              </w:rPr>
              <w:t>；</w:t>
            </w:r>
          </w:p>
        </w:tc>
        <w:tc>
          <w:tcPr>
            <w:tcW w:w="622" w:type="pct"/>
            <w:vAlign w:val="center"/>
          </w:tcPr>
          <w:p w14:paraId="635E9906">
            <w:pPr>
              <w:rPr>
                <w:rFonts w:hint="eastAsia" w:ascii="宋体" w:hAnsi="宋体" w:cs="宋体"/>
                <w:color w:val="auto"/>
                <w:sz w:val="24"/>
                <w:szCs w:val="24"/>
                <w:highlight w:val="none"/>
              </w:rPr>
            </w:pPr>
          </w:p>
        </w:tc>
      </w:tr>
      <w:tr w14:paraId="2AE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9B470D2">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2</w:t>
            </w:r>
          </w:p>
        </w:tc>
        <w:tc>
          <w:tcPr>
            <w:tcW w:w="4113" w:type="pct"/>
            <w:vAlign w:val="center"/>
          </w:tcPr>
          <w:p w14:paraId="45C283F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单件价格3万元及以上的耗材，结算基数均按3万元计算</w:t>
            </w:r>
            <w:r>
              <w:rPr>
                <w:rFonts w:hint="eastAsia" w:ascii="宋体" w:hAnsi="宋体" w:cs="宋体"/>
                <w:color w:val="auto"/>
                <w:sz w:val="24"/>
                <w:szCs w:val="24"/>
                <w:highlight w:val="none"/>
                <w:lang w:eastAsia="zh-CN"/>
              </w:rPr>
              <w:t>；</w:t>
            </w:r>
          </w:p>
        </w:tc>
        <w:tc>
          <w:tcPr>
            <w:tcW w:w="622" w:type="pct"/>
            <w:vAlign w:val="center"/>
          </w:tcPr>
          <w:p w14:paraId="2DC47AE5">
            <w:pPr>
              <w:rPr>
                <w:rFonts w:hint="eastAsia" w:ascii="宋体" w:hAnsi="宋体" w:cs="宋体"/>
                <w:color w:val="auto"/>
                <w:sz w:val="24"/>
                <w:szCs w:val="24"/>
                <w:highlight w:val="none"/>
              </w:rPr>
            </w:pPr>
          </w:p>
        </w:tc>
      </w:tr>
      <w:tr w14:paraId="21E4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42E490A0">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3</w:t>
            </w:r>
          </w:p>
        </w:tc>
        <w:tc>
          <w:tcPr>
            <w:tcW w:w="4113" w:type="pct"/>
            <w:vAlign w:val="center"/>
          </w:tcPr>
          <w:p w14:paraId="4D38A7C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提供针对医院现有情况，有关供应链管理实施的其他建议或补充</w:t>
            </w:r>
            <w:r>
              <w:rPr>
                <w:rFonts w:hint="eastAsia" w:ascii="宋体" w:hAnsi="宋体" w:cs="宋体"/>
                <w:color w:val="auto"/>
                <w:sz w:val="24"/>
                <w:szCs w:val="24"/>
                <w:highlight w:val="none"/>
                <w:lang w:eastAsia="zh-CN"/>
              </w:rPr>
              <w:t>；</w:t>
            </w:r>
          </w:p>
        </w:tc>
        <w:tc>
          <w:tcPr>
            <w:tcW w:w="622" w:type="pct"/>
            <w:vAlign w:val="center"/>
          </w:tcPr>
          <w:p w14:paraId="13459942">
            <w:pPr>
              <w:rPr>
                <w:rFonts w:hint="eastAsia" w:ascii="宋体" w:hAnsi="宋体" w:cs="宋体"/>
                <w:color w:val="auto"/>
                <w:sz w:val="24"/>
                <w:szCs w:val="24"/>
                <w:highlight w:val="none"/>
              </w:rPr>
            </w:pPr>
          </w:p>
        </w:tc>
      </w:tr>
      <w:tr w14:paraId="0BE8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1C5068D">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84</w:t>
            </w:r>
          </w:p>
        </w:tc>
        <w:tc>
          <w:tcPr>
            <w:tcW w:w="4113" w:type="pct"/>
            <w:vAlign w:val="center"/>
          </w:tcPr>
          <w:p w14:paraId="192227FF">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SPD驻点人员不少于11人（包含马店分院派驻不少于1人），若信息化提升后，满足甲方需求，经甲方评估同意后，可适当减员；并配备24小时值班人员。手术室安排专人负责1人（在手术室每日工作时间不得低于4小时）；</w:t>
            </w:r>
          </w:p>
        </w:tc>
        <w:tc>
          <w:tcPr>
            <w:tcW w:w="622" w:type="pct"/>
            <w:vAlign w:val="center"/>
          </w:tcPr>
          <w:p w14:paraId="25ADC50B">
            <w:pPr>
              <w:rPr>
                <w:rFonts w:hint="eastAsia" w:ascii="宋体" w:hAnsi="宋体" w:cs="宋体"/>
                <w:color w:val="auto"/>
                <w:sz w:val="24"/>
                <w:szCs w:val="24"/>
                <w:highlight w:val="none"/>
                <w:lang w:val="en-US" w:eastAsia="zh-CN"/>
              </w:rPr>
            </w:pPr>
          </w:p>
        </w:tc>
      </w:tr>
      <w:tr w14:paraId="2B66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6CA7440A">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85</w:t>
            </w:r>
          </w:p>
        </w:tc>
        <w:tc>
          <w:tcPr>
            <w:tcW w:w="4113" w:type="pct"/>
            <w:vAlign w:val="center"/>
          </w:tcPr>
          <w:p w14:paraId="2D7AA73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SPD库每季度定期进行库房盘存；SPD工作人员服从医院物流管理部、保卫、消防等相关部门的管理；SPD的入库、出库、盘点数据需实时同步至HRP，用于财务核算和成本分析；</w:t>
            </w:r>
          </w:p>
        </w:tc>
        <w:tc>
          <w:tcPr>
            <w:tcW w:w="622" w:type="pct"/>
            <w:vAlign w:val="center"/>
          </w:tcPr>
          <w:p w14:paraId="5809A6CE">
            <w:pPr>
              <w:rPr>
                <w:rFonts w:hint="eastAsia" w:ascii="宋体" w:hAnsi="宋体" w:cs="宋体"/>
                <w:color w:val="auto"/>
                <w:sz w:val="24"/>
                <w:szCs w:val="24"/>
                <w:highlight w:val="none"/>
                <w:lang w:val="en-US" w:eastAsia="zh-CN"/>
              </w:rPr>
            </w:pPr>
          </w:p>
        </w:tc>
      </w:tr>
      <w:tr w14:paraId="438B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797BE305">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86</w:t>
            </w:r>
          </w:p>
        </w:tc>
        <w:tc>
          <w:tcPr>
            <w:tcW w:w="4113" w:type="pct"/>
            <w:vAlign w:val="center"/>
          </w:tcPr>
          <w:p w14:paraId="3B6142B5">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物流管理部定期对SPD进行考核；</w:t>
            </w:r>
          </w:p>
        </w:tc>
        <w:tc>
          <w:tcPr>
            <w:tcW w:w="622" w:type="pct"/>
            <w:vAlign w:val="center"/>
          </w:tcPr>
          <w:p w14:paraId="2F01B433">
            <w:pPr>
              <w:rPr>
                <w:rFonts w:hint="eastAsia" w:ascii="宋体" w:hAnsi="宋体" w:cs="宋体"/>
                <w:color w:val="auto"/>
                <w:sz w:val="24"/>
                <w:szCs w:val="24"/>
                <w:highlight w:val="none"/>
                <w:lang w:val="en-US" w:eastAsia="zh-CN"/>
              </w:rPr>
            </w:pPr>
          </w:p>
        </w:tc>
      </w:tr>
      <w:tr w14:paraId="6AC3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4" w:type="pct"/>
            <w:vAlign w:val="center"/>
          </w:tcPr>
          <w:p w14:paraId="5F6D34E7">
            <w:pPr>
              <w:rPr>
                <w:rFonts w:hint="default"/>
                <w:color w:val="auto"/>
                <w:highlight w:val="none"/>
                <w:lang w:val="en-US" w:eastAsia="zh-CN"/>
              </w:rPr>
            </w:pPr>
            <w:r>
              <w:rPr>
                <w:rFonts w:hint="eastAsia" w:ascii="宋体" w:hAnsi="宋体" w:cs="宋体"/>
                <w:color w:val="auto"/>
                <w:sz w:val="24"/>
                <w:szCs w:val="24"/>
                <w:highlight w:val="none"/>
                <w:lang w:val="en-US" w:eastAsia="zh-CN"/>
              </w:rPr>
              <w:t>87</w:t>
            </w:r>
          </w:p>
        </w:tc>
        <w:tc>
          <w:tcPr>
            <w:tcW w:w="4113" w:type="pct"/>
            <w:vAlign w:val="center"/>
          </w:tcPr>
          <w:p w14:paraId="5A67EF06">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配合甲方（医院）做好医用耗材（包含试剂等）集采平台网采工作；配合做好甲方（医院）电子病历评级等相关工作，（比如免费开放接口、接入平台等）；</w:t>
            </w:r>
            <w:r>
              <w:rPr>
                <w:rFonts w:hint="eastAsia" w:ascii="宋体" w:hAnsi="宋体" w:cs="宋体"/>
                <w:color w:val="auto"/>
                <w:sz w:val="24"/>
                <w:szCs w:val="24"/>
                <w:highlight w:val="none"/>
                <w:lang w:eastAsia="zh-CN"/>
              </w:rPr>
              <w:t>协助医院各种医用耗材相关新政策的执行及医保对码</w:t>
            </w:r>
            <w:r>
              <w:rPr>
                <w:rFonts w:hint="eastAsia" w:ascii="宋体" w:hAnsi="宋体" w:cs="宋体"/>
                <w:color w:val="auto"/>
                <w:sz w:val="24"/>
                <w:szCs w:val="24"/>
                <w:highlight w:val="none"/>
                <w:lang w:val="en-US" w:eastAsia="zh-CN"/>
              </w:rPr>
              <w:t>等工作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配合甲方（医院）做好医保药品耗材追溯码工作（比如免费升级系统、开放接口、接入平台等）</w:t>
            </w:r>
          </w:p>
        </w:tc>
        <w:tc>
          <w:tcPr>
            <w:tcW w:w="622" w:type="pct"/>
            <w:vAlign w:val="center"/>
          </w:tcPr>
          <w:p w14:paraId="0125C1A2">
            <w:pPr>
              <w:rPr>
                <w:rFonts w:hint="eastAsia" w:ascii="宋体" w:hAnsi="宋体" w:cs="宋体"/>
                <w:color w:val="auto"/>
                <w:sz w:val="24"/>
                <w:szCs w:val="24"/>
                <w:highlight w:val="none"/>
                <w:lang w:val="en-US" w:eastAsia="zh-CN"/>
              </w:rPr>
            </w:pPr>
          </w:p>
        </w:tc>
      </w:tr>
    </w:tbl>
    <w:p w14:paraId="AE92A548">
      <w:pPr>
        <w:rPr>
          <w:rFonts w:ascii="宋体" w:hAnsi="宋体" w:cs="宋体"/>
          <w:color w:val="auto"/>
          <w:sz w:val="28"/>
          <w:szCs w:val="28"/>
          <w:highlight w:val="none"/>
        </w:rPr>
      </w:pPr>
      <w:bookmarkStart w:id="1" w:name="_GoBack"/>
      <w:bookmarkEnd w:id="1"/>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85D8">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117B2E2">
                          <w:pPr>
                            <w:pStyle w:val="20"/>
                          </w:pPr>
                          <w:r>
                            <w:t xml:space="preserve">— </w:t>
                          </w:r>
                          <w:r>
                            <w:fldChar w:fldCharType="begin"/>
                          </w:r>
                          <w:r>
                            <w:instrText xml:space="preserve"> PAGE  \* MERGEFORMAT </w:instrText>
                          </w:r>
                          <w:r>
                            <w:fldChar w:fldCharType="separate"/>
                          </w:r>
                          <w:r>
                            <w:t>32</w:t>
                          </w:r>
                          <w:r>
                            <w:fldChar w:fldCharType="end"/>
                          </w:r>
                          <w:r>
                            <w:t xml:space="preserve"> —</w:t>
                          </w:r>
                        </w:p>
                      </w:txbxContent>
                    </wps:txbx>
                    <wps:bodyPr rot="0"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4Ypuo+QBAADH&#10;AwAADgAAAAAAAAABACAAAAAiAQAAZHJzL2Uyb0RvYy54bWxQSwUGAAAAAAYABgBZAQAAeAUAAAAA&#10;">
              <v:fill on="f" focussize="0,0"/>
              <v:stroke on="f" weight="1pt"/>
              <v:imagedata o:title=""/>
              <o:lock v:ext="edit" aspectratio="f"/>
              <v:textbox inset="0mm,0mm,0mm,0mm" style="mso-fit-shape-to-text:t;">
                <w:txbxContent>
                  <w:p w14:paraId="6117B2E2">
                    <w:pPr>
                      <w:pStyle w:val="20"/>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C59C">
    <w:pPr>
      <w:pStyle w:val="20"/>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1AA6D47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C5D6">
    <w:pPr>
      <w:pStyle w:val="22"/>
      <w:pBdr>
        <w:bottom w:val="single" w:color="auto" w:sz="6" w:space="0"/>
      </w:pBdr>
      <w:tabs>
        <w:tab w:val="left" w:pos="8460"/>
        <w:tab w:val="left" w:pos="9180"/>
        <w:tab w:val="clear" w:pos="4153"/>
        <w:tab w:val="clear" w:pos="8306"/>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EB64">
    <w:pPr>
      <w:pStyle w:val="22"/>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63428D2F">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E4A163C"/>
    <w:multiLevelType w:val="singleLevel"/>
    <w:tmpl w:val="2E4A163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1E3618"/>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A36AD"/>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5F470E"/>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16A66"/>
    <w:rsid w:val="00821EE8"/>
    <w:rsid w:val="008448CD"/>
    <w:rsid w:val="0086536B"/>
    <w:rsid w:val="0089296C"/>
    <w:rsid w:val="008A0DF3"/>
    <w:rsid w:val="008A6D3D"/>
    <w:rsid w:val="008B0E3B"/>
    <w:rsid w:val="008C0ED2"/>
    <w:rsid w:val="008D216E"/>
    <w:rsid w:val="008D283D"/>
    <w:rsid w:val="008E0D41"/>
    <w:rsid w:val="0091302C"/>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11C8B"/>
    <w:rsid w:val="00B21075"/>
    <w:rsid w:val="00B27CFD"/>
    <w:rsid w:val="00B4726F"/>
    <w:rsid w:val="00B57818"/>
    <w:rsid w:val="00B578EB"/>
    <w:rsid w:val="00B7616C"/>
    <w:rsid w:val="00B77313"/>
    <w:rsid w:val="00B80346"/>
    <w:rsid w:val="00B861F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A7076"/>
    <w:rsid w:val="00CB2CE0"/>
    <w:rsid w:val="00CC390B"/>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336A"/>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97532E"/>
    <w:rsid w:val="01ED3B47"/>
    <w:rsid w:val="03062E20"/>
    <w:rsid w:val="03863E70"/>
    <w:rsid w:val="03B22505"/>
    <w:rsid w:val="03E56DE9"/>
    <w:rsid w:val="04067181"/>
    <w:rsid w:val="04103CCA"/>
    <w:rsid w:val="04EE7346"/>
    <w:rsid w:val="05045387"/>
    <w:rsid w:val="05104E6D"/>
    <w:rsid w:val="05ED76CD"/>
    <w:rsid w:val="05F41565"/>
    <w:rsid w:val="06262FF6"/>
    <w:rsid w:val="065B7F9D"/>
    <w:rsid w:val="07267565"/>
    <w:rsid w:val="078C18B4"/>
    <w:rsid w:val="07A20F5E"/>
    <w:rsid w:val="080B49C0"/>
    <w:rsid w:val="08531B86"/>
    <w:rsid w:val="0861256E"/>
    <w:rsid w:val="095F7F4C"/>
    <w:rsid w:val="0972111F"/>
    <w:rsid w:val="09A60123"/>
    <w:rsid w:val="09AE75F4"/>
    <w:rsid w:val="09B95F2A"/>
    <w:rsid w:val="0A0C7574"/>
    <w:rsid w:val="0A424E4D"/>
    <w:rsid w:val="0AF82AC1"/>
    <w:rsid w:val="0B66533A"/>
    <w:rsid w:val="0B84414D"/>
    <w:rsid w:val="0BA16E28"/>
    <w:rsid w:val="0BD46BAD"/>
    <w:rsid w:val="0BE120B2"/>
    <w:rsid w:val="0CEC43CA"/>
    <w:rsid w:val="0D50431A"/>
    <w:rsid w:val="0DF624E0"/>
    <w:rsid w:val="0E346850"/>
    <w:rsid w:val="0E404088"/>
    <w:rsid w:val="0EA113FA"/>
    <w:rsid w:val="0EC71E62"/>
    <w:rsid w:val="0ECA11CC"/>
    <w:rsid w:val="0F390E8E"/>
    <w:rsid w:val="0F707F75"/>
    <w:rsid w:val="0F8F57EF"/>
    <w:rsid w:val="0FC465FA"/>
    <w:rsid w:val="0FF97625"/>
    <w:rsid w:val="1018304A"/>
    <w:rsid w:val="106D43EE"/>
    <w:rsid w:val="110475FD"/>
    <w:rsid w:val="119066D9"/>
    <w:rsid w:val="11A335B5"/>
    <w:rsid w:val="1219428E"/>
    <w:rsid w:val="13490C7D"/>
    <w:rsid w:val="135C3D02"/>
    <w:rsid w:val="13D52CCE"/>
    <w:rsid w:val="142A0165"/>
    <w:rsid w:val="14E27C21"/>
    <w:rsid w:val="153B2049"/>
    <w:rsid w:val="15614DA8"/>
    <w:rsid w:val="15AD79BC"/>
    <w:rsid w:val="15B41E6B"/>
    <w:rsid w:val="15BE6BF9"/>
    <w:rsid w:val="16066864"/>
    <w:rsid w:val="166E290F"/>
    <w:rsid w:val="16991EF7"/>
    <w:rsid w:val="173850A7"/>
    <w:rsid w:val="174C0AC9"/>
    <w:rsid w:val="177B4CDC"/>
    <w:rsid w:val="17BA7FA6"/>
    <w:rsid w:val="18344781"/>
    <w:rsid w:val="18FD74C3"/>
    <w:rsid w:val="192B2CC7"/>
    <w:rsid w:val="198B1495"/>
    <w:rsid w:val="19FE6792"/>
    <w:rsid w:val="1A6C248D"/>
    <w:rsid w:val="1AF45622"/>
    <w:rsid w:val="1B5A7D5C"/>
    <w:rsid w:val="1B7B26E1"/>
    <w:rsid w:val="1BBFA30C"/>
    <w:rsid w:val="1C1A0C17"/>
    <w:rsid w:val="1C32741A"/>
    <w:rsid w:val="1C405AE5"/>
    <w:rsid w:val="1D960483"/>
    <w:rsid w:val="1DF15284"/>
    <w:rsid w:val="1E605F88"/>
    <w:rsid w:val="1F171CFB"/>
    <w:rsid w:val="1F244811"/>
    <w:rsid w:val="1F3C13B6"/>
    <w:rsid w:val="1F4B49D6"/>
    <w:rsid w:val="1F9959A8"/>
    <w:rsid w:val="1FF85069"/>
    <w:rsid w:val="20E029BA"/>
    <w:rsid w:val="20E60928"/>
    <w:rsid w:val="20F41885"/>
    <w:rsid w:val="212611D2"/>
    <w:rsid w:val="21993B18"/>
    <w:rsid w:val="219959F5"/>
    <w:rsid w:val="22464B8D"/>
    <w:rsid w:val="229A201B"/>
    <w:rsid w:val="233F1DB4"/>
    <w:rsid w:val="239974D6"/>
    <w:rsid w:val="23D305B4"/>
    <w:rsid w:val="23E266D0"/>
    <w:rsid w:val="23E4618A"/>
    <w:rsid w:val="244E3D8C"/>
    <w:rsid w:val="248975AD"/>
    <w:rsid w:val="24B335CE"/>
    <w:rsid w:val="24F11BE1"/>
    <w:rsid w:val="25EF0E4B"/>
    <w:rsid w:val="269169B4"/>
    <w:rsid w:val="269C26E3"/>
    <w:rsid w:val="27110C4C"/>
    <w:rsid w:val="272E2D63"/>
    <w:rsid w:val="27410CB9"/>
    <w:rsid w:val="276D441A"/>
    <w:rsid w:val="2861396F"/>
    <w:rsid w:val="28B44010"/>
    <w:rsid w:val="29384EA8"/>
    <w:rsid w:val="29CC520E"/>
    <w:rsid w:val="29CF6AED"/>
    <w:rsid w:val="29E26463"/>
    <w:rsid w:val="2A023B5C"/>
    <w:rsid w:val="2A07065D"/>
    <w:rsid w:val="2A0A08C3"/>
    <w:rsid w:val="2A534564"/>
    <w:rsid w:val="2A573A70"/>
    <w:rsid w:val="2CBD48CE"/>
    <w:rsid w:val="2CE211B2"/>
    <w:rsid w:val="2DEA30CA"/>
    <w:rsid w:val="2E015B36"/>
    <w:rsid w:val="2E275F81"/>
    <w:rsid w:val="2E4E51C2"/>
    <w:rsid w:val="2E77681E"/>
    <w:rsid w:val="2F4B2B19"/>
    <w:rsid w:val="2F6246CC"/>
    <w:rsid w:val="2F781C3E"/>
    <w:rsid w:val="2FC53683"/>
    <w:rsid w:val="2FE97A5F"/>
    <w:rsid w:val="305A47DE"/>
    <w:rsid w:val="309E348C"/>
    <w:rsid w:val="31394322"/>
    <w:rsid w:val="3184082E"/>
    <w:rsid w:val="32617B06"/>
    <w:rsid w:val="328304A8"/>
    <w:rsid w:val="32BC5F4D"/>
    <w:rsid w:val="33393656"/>
    <w:rsid w:val="337C1CD3"/>
    <w:rsid w:val="33C11B6F"/>
    <w:rsid w:val="33FE364D"/>
    <w:rsid w:val="3429115A"/>
    <w:rsid w:val="34325CD9"/>
    <w:rsid w:val="344F4AC0"/>
    <w:rsid w:val="346113B3"/>
    <w:rsid w:val="34F2580B"/>
    <w:rsid w:val="34FB227B"/>
    <w:rsid w:val="35737BCF"/>
    <w:rsid w:val="36024564"/>
    <w:rsid w:val="36276335"/>
    <w:rsid w:val="36981B5D"/>
    <w:rsid w:val="36A9634B"/>
    <w:rsid w:val="36D079C8"/>
    <w:rsid w:val="37D716E7"/>
    <w:rsid w:val="38B56048"/>
    <w:rsid w:val="390A4CE0"/>
    <w:rsid w:val="39A552A4"/>
    <w:rsid w:val="39D761EF"/>
    <w:rsid w:val="3A76410D"/>
    <w:rsid w:val="3A8F3EBA"/>
    <w:rsid w:val="3AB10259"/>
    <w:rsid w:val="3AB710A6"/>
    <w:rsid w:val="3ABA6222"/>
    <w:rsid w:val="3B301F44"/>
    <w:rsid w:val="3BAE4829"/>
    <w:rsid w:val="3BD57D54"/>
    <w:rsid w:val="3BDF73C5"/>
    <w:rsid w:val="3C4707C6"/>
    <w:rsid w:val="3C93788B"/>
    <w:rsid w:val="3D7C4A02"/>
    <w:rsid w:val="3D902D22"/>
    <w:rsid w:val="3D9E1462"/>
    <w:rsid w:val="3DF4021A"/>
    <w:rsid w:val="3E047963"/>
    <w:rsid w:val="3E8E5BBA"/>
    <w:rsid w:val="3EB86069"/>
    <w:rsid w:val="3EDC10FF"/>
    <w:rsid w:val="3F0A5E23"/>
    <w:rsid w:val="3F785608"/>
    <w:rsid w:val="3FFE5C6F"/>
    <w:rsid w:val="3FFF20F3"/>
    <w:rsid w:val="402734A4"/>
    <w:rsid w:val="405A4873"/>
    <w:rsid w:val="405C30EF"/>
    <w:rsid w:val="407B3EBF"/>
    <w:rsid w:val="40DF693D"/>
    <w:rsid w:val="40F16A8E"/>
    <w:rsid w:val="412545BE"/>
    <w:rsid w:val="4184340D"/>
    <w:rsid w:val="41E21275"/>
    <w:rsid w:val="42D67AEC"/>
    <w:rsid w:val="42F6152E"/>
    <w:rsid w:val="42FF6CFF"/>
    <w:rsid w:val="43771108"/>
    <w:rsid w:val="438C4E1A"/>
    <w:rsid w:val="4440126D"/>
    <w:rsid w:val="445F7604"/>
    <w:rsid w:val="44626C63"/>
    <w:rsid w:val="446523D2"/>
    <w:rsid w:val="44DA0696"/>
    <w:rsid w:val="44E45943"/>
    <w:rsid w:val="44E80BF1"/>
    <w:rsid w:val="44EF3908"/>
    <w:rsid w:val="4583380E"/>
    <w:rsid w:val="45993146"/>
    <w:rsid w:val="45EB3538"/>
    <w:rsid w:val="46440499"/>
    <w:rsid w:val="46683A1F"/>
    <w:rsid w:val="466E76CF"/>
    <w:rsid w:val="46771AC0"/>
    <w:rsid w:val="47867C8A"/>
    <w:rsid w:val="47954A4A"/>
    <w:rsid w:val="479B001B"/>
    <w:rsid w:val="47D21CE6"/>
    <w:rsid w:val="47E5272B"/>
    <w:rsid w:val="481456B4"/>
    <w:rsid w:val="48876507"/>
    <w:rsid w:val="48A14890"/>
    <w:rsid w:val="4A4C0CEF"/>
    <w:rsid w:val="4A67403B"/>
    <w:rsid w:val="4A734E79"/>
    <w:rsid w:val="4AD27698"/>
    <w:rsid w:val="4B125546"/>
    <w:rsid w:val="4B1B114F"/>
    <w:rsid w:val="4B250368"/>
    <w:rsid w:val="4B7A75FA"/>
    <w:rsid w:val="4B7B52E3"/>
    <w:rsid w:val="4B7F6C9B"/>
    <w:rsid w:val="4BB01238"/>
    <w:rsid w:val="4BF93ABC"/>
    <w:rsid w:val="4C2F1AF1"/>
    <w:rsid w:val="4C3F1A69"/>
    <w:rsid w:val="4C401A56"/>
    <w:rsid w:val="4C4C7D4D"/>
    <w:rsid w:val="4C692E82"/>
    <w:rsid w:val="4C974380"/>
    <w:rsid w:val="4CA7336B"/>
    <w:rsid w:val="4D001539"/>
    <w:rsid w:val="4D060FF1"/>
    <w:rsid w:val="4D5B5816"/>
    <w:rsid w:val="4D6138EC"/>
    <w:rsid w:val="4D714797"/>
    <w:rsid w:val="4D7809BA"/>
    <w:rsid w:val="4D820C8A"/>
    <w:rsid w:val="4D8663E0"/>
    <w:rsid w:val="4D9F0EEA"/>
    <w:rsid w:val="4F095D32"/>
    <w:rsid w:val="4F1A4882"/>
    <w:rsid w:val="4F3C4DEC"/>
    <w:rsid w:val="4F49480A"/>
    <w:rsid w:val="4F6D0EC1"/>
    <w:rsid w:val="504900D3"/>
    <w:rsid w:val="52892F5B"/>
    <w:rsid w:val="52F61709"/>
    <w:rsid w:val="54073585"/>
    <w:rsid w:val="54995B0C"/>
    <w:rsid w:val="54DB7C79"/>
    <w:rsid w:val="54E74E26"/>
    <w:rsid w:val="55580A4D"/>
    <w:rsid w:val="55661F38"/>
    <w:rsid w:val="55B45B96"/>
    <w:rsid w:val="55C3622E"/>
    <w:rsid w:val="55DC1770"/>
    <w:rsid w:val="55EB22AC"/>
    <w:rsid w:val="561133F2"/>
    <w:rsid w:val="56571FFA"/>
    <w:rsid w:val="56A92CC7"/>
    <w:rsid w:val="56EB3E63"/>
    <w:rsid w:val="58BD10F2"/>
    <w:rsid w:val="58CD33C2"/>
    <w:rsid w:val="596469D4"/>
    <w:rsid w:val="5A435D8A"/>
    <w:rsid w:val="5B0CF2D3"/>
    <w:rsid w:val="5B7B30F8"/>
    <w:rsid w:val="5BBC1D09"/>
    <w:rsid w:val="5C0A6562"/>
    <w:rsid w:val="5C34380B"/>
    <w:rsid w:val="5CFC6999"/>
    <w:rsid w:val="5E765BD7"/>
    <w:rsid w:val="5F912AC4"/>
    <w:rsid w:val="5FD14724"/>
    <w:rsid w:val="60387705"/>
    <w:rsid w:val="603D57A1"/>
    <w:rsid w:val="60700F30"/>
    <w:rsid w:val="607B7DDA"/>
    <w:rsid w:val="61A76748"/>
    <w:rsid w:val="62B731FE"/>
    <w:rsid w:val="63023C80"/>
    <w:rsid w:val="636D3AA1"/>
    <w:rsid w:val="639C1711"/>
    <w:rsid w:val="63FF5737"/>
    <w:rsid w:val="64F22548"/>
    <w:rsid w:val="65216376"/>
    <w:rsid w:val="656062CA"/>
    <w:rsid w:val="659106E2"/>
    <w:rsid w:val="65AB236D"/>
    <w:rsid w:val="65B8080F"/>
    <w:rsid w:val="65D5198E"/>
    <w:rsid w:val="66483EC5"/>
    <w:rsid w:val="66704DB4"/>
    <w:rsid w:val="667E70D0"/>
    <w:rsid w:val="66FF3B3B"/>
    <w:rsid w:val="67102453"/>
    <w:rsid w:val="67790CF9"/>
    <w:rsid w:val="67D22629"/>
    <w:rsid w:val="68A67F29"/>
    <w:rsid w:val="68C15CCA"/>
    <w:rsid w:val="692D45F0"/>
    <w:rsid w:val="697D619C"/>
    <w:rsid w:val="698C4A5A"/>
    <w:rsid w:val="69992F6F"/>
    <w:rsid w:val="69EE3D79"/>
    <w:rsid w:val="6A0E091D"/>
    <w:rsid w:val="6ABA50AD"/>
    <w:rsid w:val="6B58725B"/>
    <w:rsid w:val="6BA94127"/>
    <w:rsid w:val="6BFE46EA"/>
    <w:rsid w:val="6C034821"/>
    <w:rsid w:val="6C7F53F2"/>
    <w:rsid w:val="6C8B20CC"/>
    <w:rsid w:val="6C95A85E"/>
    <w:rsid w:val="6E363FCE"/>
    <w:rsid w:val="6E6733A0"/>
    <w:rsid w:val="6F053873"/>
    <w:rsid w:val="6F1ECFF8"/>
    <w:rsid w:val="704217E5"/>
    <w:rsid w:val="70E866BF"/>
    <w:rsid w:val="71106C43"/>
    <w:rsid w:val="71152000"/>
    <w:rsid w:val="721756F7"/>
    <w:rsid w:val="7231680E"/>
    <w:rsid w:val="72896870"/>
    <w:rsid w:val="73944C37"/>
    <w:rsid w:val="73DB738C"/>
    <w:rsid w:val="74A43EB7"/>
    <w:rsid w:val="750872E0"/>
    <w:rsid w:val="75493BC8"/>
    <w:rsid w:val="7656661E"/>
    <w:rsid w:val="768B4F77"/>
    <w:rsid w:val="76ED37EF"/>
    <w:rsid w:val="770F21D1"/>
    <w:rsid w:val="77EF4493"/>
    <w:rsid w:val="787E5EB6"/>
    <w:rsid w:val="78A7019A"/>
    <w:rsid w:val="78C06712"/>
    <w:rsid w:val="796B51A8"/>
    <w:rsid w:val="797D526C"/>
    <w:rsid w:val="79BA3B0E"/>
    <w:rsid w:val="7A9207BD"/>
    <w:rsid w:val="7ABB6962"/>
    <w:rsid w:val="7AF4539C"/>
    <w:rsid w:val="7C013D85"/>
    <w:rsid w:val="7C18217D"/>
    <w:rsid w:val="7C2F8C70"/>
    <w:rsid w:val="7C63164A"/>
    <w:rsid w:val="7C662C4B"/>
    <w:rsid w:val="7CF35D84"/>
    <w:rsid w:val="7DB40A20"/>
    <w:rsid w:val="7DDF36B2"/>
    <w:rsid w:val="7E136A50"/>
    <w:rsid w:val="7E49765A"/>
    <w:rsid w:val="7E4C0FEB"/>
    <w:rsid w:val="7EBB50F1"/>
    <w:rsid w:val="7EBE0C5A"/>
    <w:rsid w:val="7EE56270"/>
    <w:rsid w:val="7EFB3C47"/>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link w:val="48"/>
    <w:qFormat/>
    <w:uiPriority w:val="0"/>
    <w:pPr>
      <w:keepNext/>
      <w:outlineLvl w:val="0"/>
    </w:pPr>
    <w:rPr>
      <w:sz w:val="28"/>
      <w:szCs w:val="24"/>
    </w:rPr>
  </w:style>
  <w:style w:type="paragraph" w:styleId="3">
    <w:name w:val="heading 2"/>
    <w:basedOn w:val="1"/>
    <w:link w:val="98"/>
    <w:qFormat/>
    <w:uiPriority w:val="0"/>
    <w:pPr>
      <w:keepNext/>
      <w:keepLines/>
      <w:adjustRightInd w:val="0"/>
      <w:spacing w:before="260" w:after="260" w:line="416" w:lineRule="atLeast"/>
      <w:jc w:val="left"/>
      <w:outlineLvl w:val="1"/>
    </w:pPr>
    <w:rPr>
      <w:rFonts w:ascii="Arial" w:hAnsi="Arial" w:eastAsia="黑体"/>
      <w:b/>
      <w:kern w:val="0"/>
      <w:sz w:val="32"/>
    </w:rPr>
  </w:style>
  <w:style w:type="paragraph" w:styleId="4">
    <w:name w:val="heading 3"/>
    <w:basedOn w:val="1"/>
    <w:link w:val="50"/>
    <w:qFormat/>
    <w:uiPriority w:val="0"/>
    <w:pPr>
      <w:keepNext/>
      <w:keepLines/>
      <w:spacing w:before="260" w:after="260" w:line="416" w:lineRule="auto"/>
      <w:outlineLvl w:val="2"/>
    </w:pPr>
    <w:rPr>
      <w:b/>
      <w:bCs/>
      <w:sz w:val="32"/>
      <w:szCs w:val="32"/>
      <w:lang w:val="zh-CN"/>
    </w:rPr>
  </w:style>
  <w:style w:type="paragraph" w:styleId="5">
    <w:name w:val="heading 4"/>
    <w:basedOn w:val="1"/>
    <w:link w:val="51"/>
    <w:qFormat/>
    <w:uiPriority w:val="0"/>
    <w:pPr>
      <w:keepNext/>
      <w:keepLines/>
      <w:adjustRightInd w:val="0"/>
      <w:spacing w:before="280" w:after="290" w:line="376" w:lineRule="atLeast"/>
      <w:jc w:val="left"/>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qFormat/>
    <w:uiPriority w:val="0"/>
    <w:pPr>
      <w:ind w:left="2520" w:leftChars="1200"/>
    </w:pPr>
  </w:style>
  <w:style w:type="paragraph" w:styleId="7">
    <w:name w:val="Normal Indent"/>
    <w:basedOn w:val="1"/>
    <w:qFormat/>
    <w:uiPriority w:val="99"/>
    <w:pPr>
      <w:autoSpaceDE w:val="0"/>
      <w:autoSpaceDN w:val="0"/>
      <w:adjustRightInd w:val="0"/>
      <w:ind w:firstLine="420"/>
      <w:jc w:val="left"/>
    </w:pPr>
    <w:rPr>
      <w:rFonts w:ascii="宋体"/>
      <w:kern w:val="0"/>
      <w:sz w:val="24"/>
    </w:rPr>
  </w:style>
  <w:style w:type="paragraph" w:styleId="8">
    <w:name w:val="Document Map"/>
    <w:basedOn w:val="1"/>
    <w:link w:val="75"/>
    <w:qFormat/>
    <w:uiPriority w:val="0"/>
    <w:pPr>
      <w:shd w:val="clear" w:color="auto" w:fill="000080"/>
    </w:pPr>
  </w:style>
  <w:style w:type="paragraph" w:styleId="9">
    <w:name w:val="annotation text"/>
    <w:basedOn w:val="1"/>
    <w:link w:val="69"/>
    <w:semiHidden/>
    <w:qFormat/>
    <w:uiPriority w:val="99"/>
    <w:pPr>
      <w:spacing w:line="400" w:lineRule="exact"/>
      <w:jc w:val="left"/>
      <w:pPrChange w:id="0" w:author="Administrator" w:date="2025-05-12T21:40:00Z">
        <w:pPr>
          <w:widowControl w:val="0"/>
        </w:pPr>
      </w:pPrChange>
    </w:pPr>
    <w:rPr>
      <w:rPrChange w:id="1" w:author="Administrator" w:date="2025-05-12T21:40:00Z">
        <w:rPr>
          <w:rFonts w:eastAsia="宋体"/>
          <w:kern w:val="2"/>
          <w:sz w:val="21"/>
          <w:lang w:val="en-US" w:eastAsia="zh-CN" w:bidi="ar-SA"/>
        </w:rPr>
      </w:rPrChange>
    </w:rPr>
  </w:style>
  <w:style w:type="paragraph" w:styleId="10">
    <w:name w:val="Body Text 3"/>
    <w:basedOn w:val="1"/>
    <w:link w:val="90"/>
    <w:unhideWhenUsed/>
    <w:qFormat/>
    <w:uiPriority w:val="99"/>
    <w:pPr>
      <w:spacing w:after="120"/>
    </w:pPr>
    <w:rPr>
      <w:rFonts w:ascii="Calibri" w:hAnsi="Calibri"/>
      <w:sz w:val="16"/>
      <w:szCs w:val="16"/>
      <w:lang w:val="zh-CN"/>
    </w:rPr>
  </w:style>
  <w:style w:type="paragraph" w:styleId="11">
    <w:name w:val="Body Text"/>
    <w:basedOn w:val="1"/>
    <w:link w:val="64"/>
    <w:qFormat/>
    <w:uiPriority w:val="0"/>
    <w:pPr>
      <w:spacing w:after="120"/>
    </w:pPr>
    <w:rPr>
      <w:szCs w:val="24"/>
    </w:rPr>
  </w:style>
  <w:style w:type="paragraph" w:styleId="12">
    <w:name w:val="Body Text Indent"/>
    <w:basedOn w:val="1"/>
    <w:link w:val="53"/>
    <w:qFormat/>
    <w:uiPriority w:val="0"/>
    <w:pPr>
      <w:ind w:firstLine="540"/>
    </w:pPr>
    <w:rPr>
      <w:rFonts w:eastAsia="仿宋_GB2312"/>
      <w:sz w:val="28"/>
    </w:rPr>
  </w:style>
  <w:style w:type="paragraph" w:styleId="13">
    <w:name w:val="toc 5"/>
    <w:basedOn w:val="1"/>
    <w:qFormat/>
    <w:uiPriority w:val="0"/>
    <w:pPr>
      <w:ind w:left="1680" w:leftChars="800"/>
    </w:pPr>
  </w:style>
  <w:style w:type="paragraph" w:styleId="14">
    <w:name w:val="toc 3"/>
    <w:basedOn w:val="1"/>
    <w:qFormat/>
    <w:uiPriority w:val="39"/>
    <w:pPr>
      <w:ind w:left="840" w:leftChars="400"/>
    </w:pPr>
  </w:style>
  <w:style w:type="paragraph" w:styleId="15">
    <w:name w:val="Plain Text"/>
    <w:basedOn w:val="1"/>
    <w:link w:val="72"/>
    <w:qFormat/>
    <w:uiPriority w:val="0"/>
    <w:rPr>
      <w:rFonts w:ascii="宋体" w:hAnsi="Courier New" w:cstheme="minorBidi"/>
      <w:szCs w:val="22"/>
    </w:rPr>
  </w:style>
  <w:style w:type="paragraph" w:styleId="16">
    <w:name w:val="toc 8"/>
    <w:basedOn w:val="1"/>
    <w:qFormat/>
    <w:uiPriority w:val="0"/>
    <w:pPr>
      <w:ind w:left="2940" w:leftChars="1400"/>
    </w:pPr>
  </w:style>
  <w:style w:type="paragraph" w:styleId="17">
    <w:name w:val="Date"/>
    <w:basedOn w:val="1"/>
    <w:link w:val="52"/>
    <w:qFormat/>
    <w:uiPriority w:val="0"/>
    <w:rPr>
      <w:rFonts w:ascii="Arial" w:hAnsi="Arial" w:eastAsia="楷体_GB2312"/>
      <w:sz w:val="28"/>
    </w:rPr>
  </w:style>
  <w:style w:type="paragraph" w:styleId="18">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19">
    <w:name w:val="Balloon Text"/>
    <w:basedOn w:val="1"/>
    <w:link w:val="66"/>
    <w:qFormat/>
    <w:uiPriority w:val="0"/>
    <w:rPr>
      <w:sz w:val="18"/>
      <w:szCs w:val="18"/>
    </w:rPr>
  </w:style>
  <w:style w:type="paragraph" w:styleId="20">
    <w:name w:val="footer"/>
    <w:basedOn w:val="1"/>
    <w:link w:val="47"/>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qFormat/>
    <w:uiPriority w:val="0"/>
  </w:style>
  <w:style w:type="paragraph" w:styleId="24">
    <w:name w:val="toc 4"/>
    <w:basedOn w:val="1"/>
    <w:qFormat/>
    <w:uiPriority w:val="0"/>
    <w:pPr>
      <w:ind w:left="1260" w:leftChars="600"/>
    </w:pPr>
  </w:style>
  <w:style w:type="paragraph" w:styleId="25">
    <w:name w:val="toc 6"/>
    <w:basedOn w:val="1"/>
    <w:qFormat/>
    <w:uiPriority w:val="0"/>
    <w:pPr>
      <w:ind w:left="2100" w:leftChars="1000"/>
    </w:pPr>
  </w:style>
  <w:style w:type="paragraph" w:styleId="26">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7">
    <w:name w:val="toc 2"/>
    <w:basedOn w:val="1"/>
    <w:qFormat/>
    <w:uiPriority w:val="39"/>
    <w:pPr>
      <w:ind w:left="420" w:leftChars="200"/>
    </w:pPr>
  </w:style>
  <w:style w:type="paragraph" w:styleId="28">
    <w:name w:val="toc 9"/>
    <w:basedOn w:val="1"/>
    <w:qFormat/>
    <w:uiPriority w:val="0"/>
    <w:pPr>
      <w:ind w:left="3360" w:leftChars="1600"/>
    </w:pPr>
  </w:style>
  <w:style w:type="paragraph" w:styleId="29">
    <w:name w:val="Body Text 2"/>
    <w:basedOn w:val="1"/>
    <w:qFormat/>
    <w:uiPriority w:val="0"/>
    <w:pPr>
      <w:spacing w:after="120" w:line="480" w:lineRule="auto"/>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semiHidden/>
    <w:qFormat/>
    <w:uiPriority w:val="0"/>
    <w:pPr>
      <w:jc w:val="center"/>
    </w:pPr>
    <w:rPr>
      <w:rFonts w:ascii="仿宋_GB2312" w:eastAsia="仿宋_GB2312"/>
      <w:b/>
      <w:bCs/>
      <w:sz w:val="28"/>
    </w:rPr>
  </w:style>
  <w:style w:type="paragraph" w:styleId="33">
    <w:name w:val="annotation subject"/>
    <w:basedOn w:val="9"/>
    <w:link w:val="70"/>
    <w:semiHidden/>
    <w:qFormat/>
    <w:uiPriority w:val="99"/>
    <w:rPr>
      <w:b/>
      <w:bCs/>
    </w:rPr>
  </w:style>
  <w:style w:type="paragraph" w:styleId="34">
    <w:name w:val="Body Text First Indent"/>
    <w:basedOn w:val="11"/>
    <w:unhideWhenUsed/>
    <w:qFormat/>
    <w:uiPriority w:val="99"/>
    <w:pPr>
      <w:spacing w:line="400" w:lineRule="atLeast"/>
      <w:ind w:firstLine="426"/>
    </w:pPr>
    <w:rPr>
      <w:sz w:val="24"/>
      <w:szCs w:val="20"/>
    </w:rPr>
  </w:style>
  <w:style w:type="paragraph" w:styleId="35">
    <w:name w:val="Body Text First Indent 2"/>
    <w:basedOn w:val="12"/>
    <w:unhideWhenUsed/>
    <w:qFormat/>
    <w:uiPriority w:val="99"/>
    <w:pPr>
      <w:tabs>
        <w:tab w:val="left" w:pos="-180"/>
      </w:tabs>
      <w:ind w:firstLine="420" w:firstLineChars="2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目录 71"/>
    <w:basedOn w:val="1"/>
    <w:qFormat/>
    <w:uiPriority w:val="0"/>
    <w:pPr>
      <w:ind w:left="2520"/>
    </w:pPr>
    <w:rPr>
      <w:rFonts w:ascii="Calibri"/>
    </w:rPr>
  </w:style>
  <w:style w:type="paragraph" w:customStyle="1" w:styleId="4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6">
    <w:name w:val="页眉 字符"/>
    <w:basedOn w:val="38"/>
    <w:link w:val="22"/>
    <w:qFormat/>
    <w:uiPriority w:val="0"/>
    <w:rPr>
      <w:sz w:val="18"/>
      <w:szCs w:val="18"/>
    </w:rPr>
  </w:style>
  <w:style w:type="character" w:customStyle="1" w:styleId="47">
    <w:name w:val="页脚 字符"/>
    <w:basedOn w:val="38"/>
    <w:link w:val="20"/>
    <w:qFormat/>
    <w:uiPriority w:val="99"/>
    <w:rPr>
      <w:sz w:val="18"/>
      <w:szCs w:val="18"/>
    </w:rPr>
  </w:style>
  <w:style w:type="character" w:customStyle="1" w:styleId="48">
    <w:name w:val="标题 1 字符"/>
    <w:basedOn w:val="38"/>
    <w:link w:val="2"/>
    <w:qFormat/>
    <w:uiPriority w:val="0"/>
    <w:rPr>
      <w:rFonts w:ascii="Times New Roman" w:hAnsi="Times New Roman" w:eastAsia="宋体" w:cs="Times New Roman"/>
      <w:sz w:val="28"/>
      <w:szCs w:val="24"/>
    </w:rPr>
  </w:style>
  <w:style w:type="character" w:customStyle="1" w:styleId="49">
    <w:name w:val="标题 2 Char"/>
    <w:basedOn w:val="38"/>
    <w:qFormat/>
    <w:uiPriority w:val="0"/>
    <w:rPr>
      <w:rFonts w:ascii="Arial" w:hAnsi="Arial" w:eastAsia="黑体" w:cs="Times New Roman"/>
      <w:b/>
      <w:kern w:val="0"/>
      <w:sz w:val="32"/>
      <w:szCs w:val="20"/>
    </w:rPr>
  </w:style>
  <w:style w:type="character" w:customStyle="1" w:styleId="50">
    <w:name w:val="标题 3 字符"/>
    <w:basedOn w:val="38"/>
    <w:link w:val="4"/>
    <w:qFormat/>
    <w:uiPriority w:val="0"/>
    <w:rPr>
      <w:rFonts w:ascii="Times New Roman" w:hAnsi="Times New Roman" w:eastAsia="宋体" w:cs="Times New Roman"/>
      <w:b/>
      <w:bCs/>
      <w:sz w:val="32"/>
      <w:szCs w:val="32"/>
      <w:lang w:val="zh-CN" w:eastAsia="zh-CN"/>
    </w:rPr>
  </w:style>
  <w:style w:type="character" w:customStyle="1" w:styleId="51">
    <w:name w:val="标题 4 字符"/>
    <w:basedOn w:val="38"/>
    <w:link w:val="5"/>
    <w:qFormat/>
    <w:uiPriority w:val="0"/>
    <w:rPr>
      <w:rFonts w:ascii="Arial" w:hAnsi="Arial" w:eastAsia="黑体" w:cs="Times New Roman"/>
      <w:b/>
      <w:kern w:val="0"/>
      <w:sz w:val="28"/>
      <w:szCs w:val="20"/>
    </w:rPr>
  </w:style>
  <w:style w:type="character" w:customStyle="1" w:styleId="52">
    <w:name w:val="日期 字符"/>
    <w:basedOn w:val="38"/>
    <w:link w:val="17"/>
    <w:qFormat/>
    <w:uiPriority w:val="0"/>
    <w:rPr>
      <w:rFonts w:ascii="Arial" w:hAnsi="Arial" w:eastAsia="楷体_GB2312" w:cs="Times New Roman"/>
      <w:sz w:val="28"/>
      <w:szCs w:val="20"/>
    </w:rPr>
  </w:style>
  <w:style w:type="character" w:customStyle="1" w:styleId="53">
    <w:name w:val="正文文本缩进 字符"/>
    <w:basedOn w:val="38"/>
    <w:link w:val="12"/>
    <w:qFormat/>
    <w:uiPriority w:val="0"/>
    <w:rPr>
      <w:rFonts w:ascii="Times New Roman" w:hAnsi="Times New Roman" w:eastAsia="仿宋_GB2312" w:cs="Times New Roman"/>
      <w:sz w:val="28"/>
      <w:szCs w:val="20"/>
    </w:rPr>
  </w:style>
  <w:style w:type="paragraph" w:customStyle="1" w:styleId="54">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字符"/>
    <w:basedOn w:val="38"/>
    <w:link w:val="18"/>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pPr>
    <w:rPr>
      <w:rFonts w:ascii="宋体" w:hAnsi="宋体"/>
      <w:kern w:val="0"/>
    </w:rPr>
  </w:style>
  <w:style w:type="paragraph" w:customStyle="1" w:styleId="57">
    <w:name w:val="样式 宋体 五号 行距: 单倍行距"/>
    <w:basedOn w:val="1"/>
    <w:qFormat/>
    <w:uiPriority w:val="0"/>
    <w:pPr>
      <w:adjustRightInd w:val="0"/>
      <w:jc w:val="left"/>
    </w:pPr>
    <w:rPr>
      <w:rFonts w:ascii="宋体" w:hAnsi="宋体"/>
      <w:kern w:val="0"/>
    </w:rPr>
  </w:style>
  <w:style w:type="paragraph" w:customStyle="1" w:styleId="58">
    <w:name w:val="样式 标题 2 + 宋体 五号 行距: 单倍行距"/>
    <w:basedOn w:val="3"/>
    <w:qFormat/>
    <w:uiPriority w:val="0"/>
    <w:pPr>
      <w:spacing w:line="240" w:lineRule="auto"/>
    </w:pPr>
    <w:rPr>
      <w:rFonts w:ascii="宋体" w:hAnsi="宋体" w:eastAsia="宋体"/>
      <w:sz w:val="21"/>
    </w:rPr>
  </w:style>
  <w:style w:type="paragraph" w:customStyle="1" w:styleId="59">
    <w:name w:val="Char Char Char Char Char"/>
    <w:basedOn w:val="1"/>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字符"/>
    <w:basedOn w:val="38"/>
    <w:link w:val="26"/>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qFormat/>
    <w:uiPriority w:val="0"/>
    <w:rPr>
      <w:rFonts w:ascii="Tahoma" w:hAnsi="Tahoma"/>
      <w:sz w:val="24"/>
    </w:rPr>
  </w:style>
  <w:style w:type="character" w:customStyle="1" w:styleId="64">
    <w:name w:val="正文文本 字符"/>
    <w:basedOn w:val="38"/>
    <w:link w:val="11"/>
    <w:qFormat/>
    <w:uiPriority w:val="0"/>
    <w:rPr>
      <w:rFonts w:ascii="Times New Roman" w:hAnsi="Times New Roman" w:eastAsia="宋体" w:cs="Times New Roman"/>
      <w:szCs w:val="24"/>
    </w:rPr>
  </w:style>
  <w:style w:type="paragraph" w:customStyle="1" w:styleId="65">
    <w:name w:val="Char Char Char Char"/>
    <w:basedOn w:val="1"/>
    <w:qFormat/>
    <w:uiPriority w:val="0"/>
    <w:pPr>
      <w:widowControl/>
      <w:spacing w:line="360" w:lineRule="auto"/>
      <w:jc w:val="left"/>
    </w:pPr>
  </w:style>
  <w:style w:type="character" w:customStyle="1" w:styleId="66">
    <w:name w:val="批注框文本 字符"/>
    <w:basedOn w:val="38"/>
    <w:link w:val="19"/>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字符"/>
    <w:basedOn w:val="38"/>
    <w:link w:val="9"/>
    <w:semiHidden/>
    <w:qFormat/>
    <w:uiPriority w:val="99"/>
    <w:rPr>
      <w:rFonts w:ascii="Times New Roman" w:hAnsi="Times New Roman"/>
      <w:kern w:val="2"/>
      <w:sz w:val="21"/>
    </w:rPr>
  </w:style>
  <w:style w:type="character" w:customStyle="1" w:styleId="70">
    <w:name w:val="批注主题 字符"/>
    <w:basedOn w:val="69"/>
    <w:link w:val="33"/>
    <w:semiHidden/>
    <w:qFormat/>
    <w:uiPriority w:val="99"/>
    <w:rPr>
      <w:rFonts w:ascii="Times New Roman" w:hAnsi="Times New Roman" w:eastAsia="宋体" w:cs="Times New Roman"/>
      <w:b/>
      <w:bCs/>
      <w:kern w:val="2"/>
      <w:sz w:val="21"/>
      <w:szCs w:val="20"/>
    </w:rPr>
  </w:style>
  <w:style w:type="paragraph" w:customStyle="1" w:styleId="71">
    <w:name w:val="Char Char Char Char Char Char"/>
    <w:basedOn w:val="1"/>
    <w:qFormat/>
    <w:uiPriority w:val="0"/>
  </w:style>
  <w:style w:type="character" w:customStyle="1" w:styleId="72">
    <w:name w:val="纯文本 字符"/>
    <w:link w:val="15"/>
    <w:qFormat/>
    <w:uiPriority w:val="0"/>
    <w:rPr>
      <w:rFonts w:ascii="宋体" w:hAnsi="Courier New" w:eastAsia="宋体"/>
    </w:rPr>
  </w:style>
  <w:style w:type="character" w:customStyle="1" w:styleId="73">
    <w:name w:val="纯文本 Char1"/>
    <w:basedOn w:val="38"/>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字符"/>
    <w:basedOn w:val="38"/>
    <w:link w:val="8"/>
    <w:qFormat/>
    <w:uiPriority w:val="0"/>
    <w:rPr>
      <w:rFonts w:ascii="Times New Roman" w:hAnsi="Times New Roman" w:eastAsia="宋体" w:cs="Times New Roman"/>
      <w:szCs w:val="20"/>
      <w:shd w:val="clear" w:color="auto" w:fill="000080"/>
    </w:rPr>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2"/>
    <w:qFormat/>
    <w:uiPriority w:val="0"/>
    <w:pPr>
      <w:pBdr>
        <w:bottom w:val="thinThickSmallGap" w:color="auto" w:sz="18" w:space="1"/>
      </w:pBdr>
      <w:adjustRightInd w:val="0"/>
      <w:snapToGrid/>
      <w:spacing w:line="240" w:lineRule="atLeast"/>
    </w:pPr>
    <w:rPr>
      <w:kern w:val="0"/>
      <w:sz w:val="24"/>
      <w:szCs w:val="20"/>
      <w:lang w:val="zh-CN"/>
    </w:rPr>
  </w:style>
  <w:style w:type="character" w:customStyle="1" w:styleId="90">
    <w:name w:val="正文文本 3 字符"/>
    <w:basedOn w:val="38"/>
    <w:link w:val="10"/>
    <w:qFormat/>
    <w:uiPriority w:val="99"/>
    <w:rPr>
      <w:rFonts w:ascii="Calibri" w:hAnsi="Calibri" w:eastAsia="宋体" w:cs="Times New Roman"/>
      <w:sz w:val="16"/>
      <w:szCs w:val="16"/>
      <w:lang w:val="zh-CN" w:eastAsia="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7">
    <w:name w:val="Table Paragraph"/>
    <w:basedOn w:val="1"/>
    <w:qFormat/>
    <w:uiPriority w:val="1"/>
  </w:style>
  <w:style w:type="character" w:customStyle="1" w:styleId="98">
    <w:name w:val="标题 2 字符"/>
    <w:link w:val="3"/>
    <w:qFormat/>
    <w:uiPriority w:val="0"/>
    <w:rPr>
      <w:rFonts w:ascii="Arial" w:hAnsi="Arial" w:eastAsia="黑体"/>
      <w:b/>
      <w:bCs/>
      <w:sz w:val="32"/>
      <w:szCs w:val="32"/>
    </w:rPr>
  </w:style>
  <w:style w:type="paragraph" w:styleId="99">
    <w:name w:val="List Paragraph"/>
    <w:basedOn w:val="1"/>
    <w:qFormat/>
    <w:uiPriority w:val="99"/>
    <w:pPr>
      <w:ind w:firstLine="420" w:firstLineChars="200"/>
    </w:pPr>
  </w:style>
  <w:style w:type="table" w:customStyle="1" w:styleId="100">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1">
    <w:name w:val="Table Text"/>
    <w:basedOn w:val="1"/>
    <w:semiHidden/>
    <w:qFormat/>
    <w:uiPriority w:val="0"/>
    <w:rPr>
      <w:rFonts w:ascii="仿宋" w:hAnsi="仿宋" w:eastAsia="仿宋" w:cs="仿宋"/>
      <w:sz w:val="22"/>
      <w:szCs w:val="22"/>
      <w:lang w:eastAsia="en-US"/>
    </w:rPr>
  </w:style>
  <w:style w:type="paragraph" w:customStyle="1" w:styleId="102">
    <w:name w:val="Revisio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7278</Words>
  <Characters>7487</Characters>
  <Lines>235</Lines>
  <Paragraphs>66</Paragraphs>
  <TotalTime>6</TotalTime>
  <ScaleCrop>false</ScaleCrop>
  <LinksUpToDate>false</LinksUpToDate>
  <CharactersWithSpaces>7491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2025-05-12T15:34:00Z</dcterms:created>
  <dc:creator>朱少尉</dc:creator>
  <cp:lastModifiedBy>胡世广</cp:lastModifiedBy>
  <dcterms:modified xsi:type="dcterms:W3CDTF">2025-06-03T00:34:35Z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0C2CA7CEC23543F68F39D36DA45C3971_13</vt:lpwstr>
  </property>
  <property fmtid="{D5CDD505-2E9C-101B-9397-08002B2CF9AE}" pid="4" name="KSOTemplateDocerSaveRecord">
    <vt:lpwstr>eyJoZGlkIjoiMmI3MmZjMmEzYmEyNTEwMWVlMWQ0MTE1NzU1ZGFiNTgiLCJ1c2VySWQiOiI0NjE5MTM5MDUifQ==</vt:lpwstr>
  </property>
</Properties>
</file>