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506C1">
      <w:pPr>
        <w:spacing w:line="320" w:lineRule="exact"/>
        <w:jc w:val="center"/>
        <w:rPr>
          <w:rFonts w:hint="eastAsia" w:asciiTheme="majorEastAsia" w:hAnsiTheme="majorEastAsia" w:eastAsiaTheme="majorEastAsia"/>
          <w:b/>
          <w:sz w:val="32"/>
          <w:szCs w:val="32"/>
        </w:rPr>
      </w:pPr>
      <w:r>
        <w:rPr>
          <w:rFonts w:hint="eastAsia" w:asciiTheme="majorEastAsia" w:hAnsiTheme="majorEastAsia" w:eastAsiaTheme="majorEastAsia"/>
          <w:b/>
          <w:sz w:val="32"/>
          <w:szCs w:val="32"/>
        </w:rPr>
        <w:t>附件：拟购六安市中医院医保药品耗材追溯码系统项目</w:t>
      </w:r>
    </w:p>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初步参数论证征集意见表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2B55E46A">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eastAsiaTheme="minorEastAsia" w:cstheme="minorEastAsia"/>
          <w:b/>
          <w:bCs w:val="0"/>
          <w:szCs w:val="21"/>
          <w:lang w:eastAsia="zh-CN"/>
        </w:rPr>
        <w:t>一、招标背景</w:t>
      </w:r>
    </w:p>
    <w:p w14:paraId="1D2F8B6C">
      <w:pPr>
        <w:spacing w:line="320" w:lineRule="exact"/>
        <w:ind w:firstLine="420" w:firstLineChars="200"/>
        <w:rPr>
          <w:rFonts w:hint="eastAsia" w:asciiTheme="minorEastAsia" w:hAnsiTheme="minorEastAsia" w:eastAsiaTheme="minorEastAsia" w:cstheme="minorEastAsia"/>
          <w:b w:val="0"/>
          <w:bCs/>
          <w:szCs w:val="21"/>
          <w:lang w:eastAsia="zh-CN"/>
        </w:rPr>
      </w:pPr>
      <w:r>
        <w:rPr>
          <w:rFonts w:hint="eastAsia" w:asciiTheme="minorEastAsia" w:hAnsiTheme="minorEastAsia" w:eastAsiaTheme="minorEastAsia" w:cstheme="minorEastAsia"/>
          <w:b w:val="0"/>
          <w:bCs/>
          <w:szCs w:val="21"/>
          <w:lang w:eastAsia="zh-CN"/>
        </w:rPr>
        <w:t>根据《国家医疗保障局办公室关于开展医保药品耗材追溯码信息采集试点工作的通知》（医保办函〔2024〕38号）、《关于加快推进定点医药机构医保药品追溯信息采集工作的通知》（六医保秘〔2025〕13号）、《关于印发&lt;六安市医保药品耗材追溯码“依码结算”工作方案&gt;的通知》（六医保密〔2025〕16号）等文件精神，医疗机构需对医保药品追溯码“应采尽采、应传尽传”，并于2025年7月1日起全面落实到位。医保局根据医疗机构“依码结算、依码支付”情况，进行医保基金的结算和预付。为落实医保局相关工作要求，特采购医保药品</w:t>
      </w:r>
      <w:r>
        <w:rPr>
          <w:rFonts w:hint="eastAsia" w:asciiTheme="minorEastAsia" w:hAnsiTheme="minorEastAsia" w:cstheme="minorEastAsia"/>
          <w:b w:val="0"/>
          <w:bCs/>
          <w:szCs w:val="21"/>
          <w:lang w:val="en-US" w:eastAsia="zh-CN"/>
        </w:rPr>
        <w:t>耗材</w:t>
      </w:r>
      <w:r>
        <w:rPr>
          <w:rFonts w:hint="eastAsia" w:asciiTheme="minorEastAsia" w:hAnsiTheme="minorEastAsia" w:eastAsiaTheme="minorEastAsia" w:cstheme="minorEastAsia"/>
          <w:b w:val="0"/>
          <w:bCs/>
          <w:szCs w:val="21"/>
          <w:lang w:eastAsia="zh-CN"/>
        </w:rPr>
        <w:t>追溯码管理系统及配套硬件设备。</w:t>
      </w:r>
    </w:p>
    <w:p w14:paraId="4DD2012F">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二、</w:t>
      </w:r>
      <w:r>
        <w:rPr>
          <w:rFonts w:hint="eastAsia" w:asciiTheme="minorEastAsia" w:hAnsiTheme="minorEastAsia" w:eastAsiaTheme="minorEastAsia" w:cstheme="minorEastAsia"/>
          <w:b/>
          <w:bCs w:val="0"/>
          <w:szCs w:val="21"/>
          <w:lang w:eastAsia="zh-CN"/>
        </w:rPr>
        <w:t>建设要求</w:t>
      </w:r>
    </w:p>
    <w:p w14:paraId="0D7EBFD4">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eastAsiaTheme="minorEastAsia" w:cstheme="minorEastAsia"/>
          <w:b w:val="0"/>
          <w:bCs/>
          <w:szCs w:val="21"/>
          <w:lang w:eastAsia="zh-CN"/>
        </w:rPr>
        <w:t>1、系统能够对医院所有含追溯码的药品</w:t>
      </w:r>
      <w:r>
        <w:rPr>
          <w:rFonts w:hint="eastAsia" w:asciiTheme="minorEastAsia" w:hAnsiTheme="minorEastAsia" w:cstheme="minorEastAsia"/>
          <w:b w:val="0"/>
          <w:bCs/>
          <w:szCs w:val="21"/>
          <w:lang w:eastAsia="zh-CN"/>
        </w:rPr>
        <w:t>（</w:t>
      </w:r>
      <w:r>
        <w:rPr>
          <w:rFonts w:hint="eastAsia" w:asciiTheme="minorEastAsia" w:hAnsiTheme="minorEastAsia" w:cstheme="minorEastAsia"/>
          <w:b w:val="0"/>
          <w:bCs/>
          <w:szCs w:val="21"/>
          <w:lang w:val="en-US" w:eastAsia="zh-CN"/>
        </w:rPr>
        <w:t>耗材</w:t>
      </w:r>
      <w:r>
        <w:rPr>
          <w:rFonts w:hint="eastAsia" w:asciiTheme="minorEastAsia" w:hAnsiTheme="minorEastAsia" w:cstheme="minorEastAsia"/>
          <w:b w:val="0"/>
          <w:bCs/>
          <w:szCs w:val="21"/>
          <w:lang w:eastAsia="zh-CN"/>
        </w:rPr>
        <w:t>）</w:t>
      </w:r>
      <w:r>
        <w:rPr>
          <w:rFonts w:hint="eastAsia" w:asciiTheme="minorEastAsia" w:hAnsiTheme="minorEastAsia" w:eastAsiaTheme="minorEastAsia" w:cstheme="minorEastAsia"/>
          <w:b w:val="0"/>
          <w:bCs/>
          <w:szCs w:val="21"/>
          <w:lang w:eastAsia="zh-CN"/>
        </w:rPr>
        <w:t>实现全品种、全量采集并上传至医保信息平台，追溯码采集率、合规率符合医保局规定要求。</w:t>
      </w:r>
    </w:p>
    <w:p w14:paraId="43F608FA">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eastAsiaTheme="minorEastAsia" w:cstheme="minorEastAsia"/>
          <w:b w:val="0"/>
          <w:bCs/>
          <w:szCs w:val="21"/>
          <w:lang w:eastAsia="zh-CN"/>
        </w:rPr>
        <w:t>2、能够全流程记录药品</w:t>
      </w:r>
      <w:r>
        <w:rPr>
          <w:rFonts w:hint="eastAsia" w:asciiTheme="minorEastAsia" w:hAnsiTheme="minorEastAsia" w:cstheme="minorEastAsia"/>
          <w:b w:val="0"/>
          <w:bCs/>
          <w:szCs w:val="21"/>
          <w:lang w:eastAsia="zh-CN"/>
        </w:rPr>
        <w:t>（</w:t>
      </w:r>
      <w:r>
        <w:rPr>
          <w:rFonts w:hint="eastAsia" w:asciiTheme="minorEastAsia" w:hAnsiTheme="minorEastAsia" w:cstheme="minorEastAsia"/>
          <w:b w:val="0"/>
          <w:bCs/>
          <w:szCs w:val="21"/>
          <w:lang w:val="en-US" w:eastAsia="zh-CN"/>
        </w:rPr>
        <w:t>耗材</w:t>
      </w:r>
      <w:r>
        <w:rPr>
          <w:rFonts w:hint="eastAsia" w:asciiTheme="minorEastAsia" w:hAnsiTheme="minorEastAsia" w:cstheme="minorEastAsia"/>
          <w:b w:val="0"/>
          <w:bCs/>
          <w:szCs w:val="21"/>
          <w:lang w:eastAsia="zh-CN"/>
        </w:rPr>
        <w:t>）</w:t>
      </w:r>
      <w:r>
        <w:rPr>
          <w:rFonts w:hint="eastAsia" w:asciiTheme="minorEastAsia" w:hAnsiTheme="minorEastAsia" w:eastAsiaTheme="minorEastAsia" w:cstheme="minorEastAsia"/>
          <w:b w:val="0"/>
          <w:bCs/>
          <w:szCs w:val="21"/>
          <w:lang w:eastAsia="zh-CN"/>
        </w:rPr>
        <w:t>的购进、使用、库存以及追溯码等信息。</w:t>
      </w:r>
    </w:p>
    <w:p w14:paraId="09B1FF06">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eastAsiaTheme="minorEastAsia" w:cstheme="minorEastAsia"/>
          <w:b w:val="0"/>
          <w:bCs/>
          <w:szCs w:val="21"/>
          <w:lang w:eastAsia="zh-CN"/>
        </w:rPr>
        <w:t>3、对全院所有院区，包括门急诊药房、静配中心、药库、住院药房的整盒及拆零等药品实现追溯码采集上传工作；同时具备药库、门急诊药房、住院药房、静配中心、三级库、出院带药、退药、报表管理等药品追溯码管理功能模块。</w:t>
      </w:r>
    </w:p>
    <w:p w14:paraId="1B5F5B04">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eastAsiaTheme="minorEastAsia" w:cstheme="minorEastAsia"/>
          <w:b w:val="0"/>
          <w:bCs/>
          <w:szCs w:val="21"/>
          <w:lang w:eastAsia="zh-CN"/>
        </w:rPr>
        <w:t>4、当医保及药监部门</w:t>
      </w:r>
      <w:r>
        <w:rPr>
          <w:rFonts w:hint="eastAsia" w:asciiTheme="minorEastAsia" w:hAnsiTheme="minorEastAsia" w:cstheme="minorEastAsia"/>
          <w:b w:val="0"/>
          <w:bCs/>
          <w:szCs w:val="21"/>
          <w:lang w:val="en-US" w:eastAsia="zh-CN"/>
        </w:rPr>
        <w:t>及上级主管单位</w:t>
      </w:r>
      <w:r>
        <w:rPr>
          <w:rFonts w:hint="eastAsia" w:asciiTheme="minorEastAsia" w:hAnsiTheme="minorEastAsia" w:eastAsiaTheme="minorEastAsia" w:cstheme="minorEastAsia"/>
          <w:b w:val="0"/>
          <w:bCs/>
          <w:szCs w:val="21"/>
          <w:lang w:eastAsia="zh-CN"/>
        </w:rPr>
        <w:t>政策要求变更时，如接收平台更换、接收代码变更等</w:t>
      </w:r>
      <w:r>
        <w:rPr>
          <w:rFonts w:hint="eastAsia" w:asciiTheme="minorEastAsia" w:hAnsiTheme="minorEastAsia" w:cstheme="minorEastAsia"/>
          <w:b w:val="0"/>
          <w:bCs/>
          <w:szCs w:val="21"/>
          <w:lang w:eastAsia="zh-CN"/>
        </w:rPr>
        <w:t>、</w:t>
      </w:r>
      <w:r>
        <w:rPr>
          <w:rFonts w:hint="eastAsia" w:asciiTheme="minorEastAsia" w:hAnsiTheme="minorEastAsia" w:cstheme="minorEastAsia"/>
          <w:b w:val="0"/>
          <w:bCs/>
          <w:szCs w:val="21"/>
          <w:lang w:val="en-US" w:eastAsia="zh-CN"/>
        </w:rPr>
        <w:t>耗材追溯等</w:t>
      </w:r>
      <w:r>
        <w:rPr>
          <w:rFonts w:hint="eastAsia" w:asciiTheme="minorEastAsia" w:hAnsiTheme="minorEastAsia" w:eastAsiaTheme="minorEastAsia" w:cstheme="minorEastAsia"/>
          <w:b w:val="0"/>
          <w:bCs/>
          <w:szCs w:val="21"/>
          <w:lang w:eastAsia="zh-CN"/>
        </w:rPr>
        <w:t>，能够</w:t>
      </w:r>
      <w:r>
        <w:rPr>
          <w:rFonts w:hint="eastAsia" w:asciiTheme="minorEastAsia" w:hAnsiTheme="minorEastAsia" w:eastAsiaTheme="minorEastAsia" w:cstheme="minorEastAsia"/>
          <w:b w:val="0"/>
          <w:bCs/>
          <w:szCs w:val="21"/>
          <w:lang w:val="en-US" w:eastAsia="zh-CN"/>
        </w:rPr>
        <w:t>终身</w:t>
      </w:r>
      <w:r>
        <w:rPr>
          <w:rFonts w:hint="eastAsia" w:asciiTheme="minorEastAsia" w:hAnsiTheme="minorEastAsia" w:eastAsiaTheme="minorEastAsia" w:cstheme="minorEastAsia"/>
          <w:b w:val="0"/>
          <w:bCs/>
          <w:szCs w:val="21"/>
          <w:lang w:eastAsia="zh-CN"/>
        </w:rPr>
        <w:t>对系统进行免费升级及改造</w:t>
      </w:r>
      <w:r>
        <w:rPr>
          <w:rFonts w:hint="eastAsia" w:asciiTheme="minorEastAsia" w:hAnsiTheme="minorEastAsia" w:eastAsiaTheme="minorEastAsia" w:cstheme="minorEastAsia"/>
          <w:b w:val="0"/>
          <w:bCs/>
          <w:szCs w:val="21"/>
          <w:lang w:val="en-US" w:eastAsia="zh-CN"/>
        </w:rPr>
        <w:t>且根据医院要求免费对接其他第三方软件系统</w:t>
      </w:r>
      <w:r>
        <w:rPr>
          <w:rFonts w:hint="eastAsia" w:asciiTheme="minorEastAsia" w:hAnsiTheme="minorEastAsia" w:eastAsiaTheme="minorEastAsia" w:cstheme="minorEastAsia"/>
          <w:b w:val="0"/>
          <w:bCs/>
          <w:szCs w:val="21"/>
          <w:lang w:eastAsia="zh-CN"/>
        </w:rPr>
        <w:t>。</w:t>
      </w:r>
    </w:p>
    <w:p w14:paraId="2CACEDAB">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eastAsiaTheme="minorEastAsia" w:cstheme="minorEastAsia"/>
          <w:b w:val="0"/>
          <w:bCs/>
          <w:szCs w:val="21"/>
          <w:lang w:eastAsia="zh-CN"/>
        </w:rPr>
        <w:t>5、系统性能要求：支持多品种多数量追溯码批量采集上传，支持同一患者多张处方一次性核发上传；软件弹框对错误、多拿、少拿药品进行提示；可支持在发药和摆药两个阶段进行药品追溯码扫描。</w:t>
      </w:r>
    </w:p>
    <w:p w14:paraId="433ED6A3">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eastAsiaTheme="minorEastAsia" w:cstheme="minorEastAsia"/>
          <w:b w:val="0"/>
          <w:bCs/>
          <w:szCs w:val="21"/>
          <w:lang w:eastAsia="zh-CN"/>
        </w:rPr>
        <w:t>6、应保证满足上级主管医保部门的文件要求，并确保在文件的期限内进行相应的系统维护，如不能在其规定的期限内完成，给医院造成损失的，需承担相应的法律责任。</w:t>
      </w:r>
    </w:p>
    <w:p w14:paraId="32415231">
      <w:pPr>
        <w:spacing w:line="320" w:lineRule="exact"/>
        <w:rPr>
          <w:rFonts w:hint="default" w:asciiTheme="minorEastAsia" w:hAnsiTheme="minorEastAsia" w:eastAsiaTheme="minorEastAsia" w:cstheme="minorEastAsia"/>
          <w:b w:val="0"/>
          <w:bCs/>
          <w:szCs w:val="21"/>
          <w:lang w:val="en-US" w:eastAsia="zh-CN"/>
        </w:rPr>
      </w:pPr>
      <w:r>
        <w:rPr>
          <w:rFonts w:hint="eastAsia" w:asciiTheme="minorEastAsia" w:hAnsiTheme="minorEastAsia" w:eastAsiaTheme="minorEastAsia" w:cstheme="minorEastAsia"/>
          <w:b w:val="0"/>
          <w:bCs/>
          <w:szCs w:val="21"/>
          <w:lang w:val="en-US" w:eastAsia="zh-CN"/>
        </w:rPr>
        <w:t>7、其他要求：</w:t>
      </w:r>
      <w:r>
        <w:rPr>
          <w:rFonts w:hint="eastAsia" w:asciiTheme="minorEastAsia" w:hAnsiTheme="minorEastAsia" w:cstheme="minorEastAsia"/>
          <w:b w:val="0"/>
          <w:bCs/>
          <w:szCs w:val="21"/>
          <w:lang w:val="en-US" w:eastAsia="zh-CN"/>
        </w:rPr>
        <w:t>1、</w:t>
      </w:r>
      <w:r>
        <w:rPr>
          <w:rFonts w:hint="eastAsia" w:asciiTheme="minorEastAsia" w:hAnsiTheme="minorEastAsia" w:eastAsiaTheme="minorEastAsia" w:cstheme="minorEastAsia"/>
          <w:b w:val="0"/>
          <w:bCs/>
          <w:szCs w:val="21"/>
          <w:lang w:val="en-US" w:eastAsia="zh-CN"/>
        </w:rPr>
        <w:t>后期新增</w:t>
      </w:r>
      <w:r>
        <w:rPr>
          <w:rFonts w:hint="eastAsia" w:asciiTheme="minorEastAsia" w:hAnsiTheme="minorEastAsia" w:cstheme="minorEastAsia"/>
          <w:b w:val="0"/>
          <w:bCs/>
          <w:szCs w:val="21"/>
          <w:lang w:val="en-US" w:eastAsia="zh-CN"/>
        </w:rPr>
        <w:t>扫码</w:t>
      </w:r>
      <w:r>
        <w:rPr>
          <w:rFonts w:hint="eastAsia" w:asciiTheme="minorEastAsia" w:hAnsiTheme="minorEastAsia" w:eastAsiaTheme="minorEastAsia" w:cstheme="minorEastAsia"/>
          <w:b w:val="0"/>
          <w:bCs/>
          <w:szCs w:val="21"/>
          <w:lang w:val="en-US" w:eastAsia="zh-CN"/>
        </w:rPr>
        <w:t>设备，中标商需无条件免费对接适配，不得以软硬件绑定销售为由，拒绝对接</w:t>
      </w:r>
      <w:r>
        <w:rPr>
          <w:rFonts w:hint="eastAsia" w:asciiTheme="minorEastAsia" w:hAnsiTheme="minorEastAsia" w:cstheme="minorEastAsia"/>
          <w:b w:val="0"/>
          <w:bCs/>
          <w:szCs w:val="21"/>
          <w:lang w:val="en-US" w:eastAsia="zh-CN"/>
        </w:rPr>
        <w:t>；2、整体</w:t>
      </w:r>
      <w:bookmarkStart w:id="19" w:name="_GoBack"/>
      <w:bookmarkEnd w:id="19"/>
      <w:r>
        <w:rPr>
          <w:rFonts w:hint="eastAsia" w:asciiTheme="minorEastAsia" w:hAnsiTheme="minorEastAsia" w:cstheme="minorEastAsia"/>
          <w:b w:val="0"/>
          <w:bCs/>
          <w:szCs w:val="21"/>
          <w:lang w:val="en-US" w:eastAsia="zh-CN"/>
        </w:rPr>
        <w:t>系统免费维保期3年。</w:t>
      </w:r>
    </w:p>
    <w:p w14:paraId="390B5FFF">
      <w:pPr>
        <w:spacing w:line="320" w:lineRule="exact"/>
        <w:rPr>
          <w:rFonts w:hint="eastAsia" w:ascii="仿宋" w:hAnsi="仿宋" w:eastAsia="仿宋"/>
          <w:b/>
          <w:szCs w:val="21"/>
          <w:lang w:val="en-US" w:eastAsia="zh-CN"/>
        </w:rPr>
      </w:pPr>
    </w:p>
    <w:p w14:paraId="69E44DF1">
      <w:pPr>
        <w:spacing w:line="320" w:lineRule="exact"/>
        <w:rPr>
          <w:rFonts w:hint="eastAsia" w:ascii="仿宋" w:hAnsi="仿宋" w:eastAsia="仿宋"/>
          <w:b/>
          <w:szCs w:val="21"/>
          <w:lang w:val="en-US" w:eastAsia="zh-CN"/>
        </w:rPr>
      </w:pPr>
    </w:p>
    <w:p w14:paraId="2C0E6202">
      <w:pPr>
        <w:spacing w:line="320" w:lineRule="exact"/>
        <w:rPr>
          <w:rFonts w:hint="eastAsia" w:asciiTheme="minorEastAsia" w:hAnsiTheme="minorEastAsia" w:eastAsiaTheme="minorEastAsia" w:cstheme="minorEastAsia"/>
          <w:b w:val="0"/>
          <w:bCs/>
          <w:szCs w:val="21"/>
          <w:lang w:eastAsia="zh-CN"/>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9"/>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157"/>
        <w:gridCol w:w="4190"/>
        <w:gridCol w:w="775"/>
        <w:gridCol w:w="848"/>
        <w:gridCol w:w="1016"/>
        <w:gridCol w:w="1020"/>
      </w:tblGrid>
      <w:tr w14:paraId="3F11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8" w:type="dxa"/>
            <w:gridSpan w:val="4"/>
            <w:tcBorders>
              <w:top w:val="single" w:color="auto" w:sz="4" w:space="0"/>
              <w:left w:val="single" w:color="auto" w:sz="4" w:space="0"/>
              <w:bottom w:val="single" w:color="auto" w:sz="4" w:space="0"/>
              <w:right w:val="single" w:color="auto" w:sz="4" w:space="0"/>
            </w:tcBorders>
            <w:noWrap w:val="0"/>
            <w:vAlign w:val="center"/>
          </w:tcPr>
          <w:p w14:paraId="78D8EA3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本项目初步参数拟设置情况</w:t>
            </w:r>
          </w:p>
        </w:tc>
        <w:tc>
          <w:tcPr>
            <w:tcW w:w="848" w:type="dxa"/>
            <w:vMerge w:val="restart"/>
            <w:tcBorders>
              <w:top w:val="single" w:color="auto" w:sz="4" w:space="0"/>
              <w:left w:val="single" w:color="auto" w:sz="4" w:space="0"/>
              <w:right w:val="single" w:color="auto" w:sz="4" w:space="0"/>
            </w:tcBorders>
            <w:noWrap w:val="0"/>
            <w:vAlign w:val="center"/>
          </w:tcPr>
          <w:p w14:paraId="4CC699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1016" w:type="dxa"/>
            <w:vMerge w:val="restart"/>
            <w:tcBorders>
              <w:top w:val="single" w:color="auto" w:sz="4" w:space="0"/>
              <w:left w:val="single" w:color="auto" w:sz="4" w:space="0"/>
              <w:right w:val="single" w:color="auto" w:sz="4" w:space="0"/>
            </w:tcBorders>
            <w:noWrap w:val="0"/>
            <w:vAlign w:val="center"/>
          </w:tcPr>
          <w:p w14:paraId="000FE7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建议修改指标</w:t>
            </w:r>
          </w:p>
        </w:tc>
        <w:tc>
          <w:tcPr>
            <w:tcW w:w="1020" w:type="dxa"/>
            <w:vMerge w:val="restart"/>
            <w:tcBorders>
              <w:top w:val="single" w:color="auto" w:sz="4" w:space="0"/>
              <w:left w:val="single" w:color="auto" w:sz="4" w:space="0"/>
              <w:right w:val="single" w:color="auto" w:sz="4" w:space="0"/>
            </w:tcBorders>
            <w:noWrap w:val="0"/>
            <w:vAlign w:val="top"/>
          </w:tcPr>
          <w:p w14:paraId="26C2F4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备注（真实指标、是否独家、是否提供有效检测报告）</w:t>
            </w:r>
          </w:p>
        </w:tc>
      </w:tr>
      <w:tr w14:paraId="3E1F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14:paraId="5843AEF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序号</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6B36F683">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系统模块</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46939B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初步参数设置情况</w:t>
            </w:r>
          </w:p>
        </w:tc>
        <w:tc>
          <w:tcPr>
            <w:tcW w:w="775" w:type="dxa"/>
            <w:tcBorders>
              <w:top w:val="single" w:color="auto" w:sz="4" w:space="0"/>
              <w:left w:val="single" w:color="auto" w:sz="4" w:space="0"/>
              <w:bottom w:val="single" w:color="auto" w:sz="4" w:space="0"/>
              <w:right w:val="single" w:color="auto" w:sz="4" w:space="0"/>
            </w:tcBorders>
            <w:noWrap w:val="0"/>
            <w:vAlign w:val="top"/>
          </w:tcPr>
          <w:p w14:paraId="4E2CD85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是否设置为为★</w:t>
            </w:r>
          </w:p>
        </w:tc>
        <w:tc>
          <w:tcPr>
            <w:tcW w:w="848" w:type="dxa"/>
            <w:vMerge w:val="continue"/>
            <w:tcBorders>
              <w:left w:val="single" w:color="auto" w:sz="4" w:space="0"/>
              <w:right w:val="single" w:color="auto" w:sz="4" w:space="0"/>
            </w:tcBorders>
            <w:noWrap w:val="0"/>
            <w:vAlign w:val="center"/>
          </w:tcPr>
          <w:p w14:paraId="36A596C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4E66F3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079D18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CCC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46" w:type="dxa"/>
            <w:vMerge w:val="restart"/>
            <w:tcBorders>
              <w:top w:val="single" w:color="auto" w:sz="4" w:space="0"/>
              <w:left w:val="single" w:color="auto" w:sz="4" w:space="0"/>
              <w:right w:val="single" w:color="auto" w:sz="4" w:space="0"/>
            </w:tcBorders>
            <w:noWrap w:val="0"/>
            <w:vAlign w:val="center"/>
          </w:tcPr>
          <w:p w14:paraId="7DDD2C91">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系统软件功能</w:t>
            </w:r>
          </w:p>
        </w:tc>
        <w:tc>
          <w:tcPr>
            <w:tcW w:w="1157" w:type="dxa"/>
            <w:vMerge w:val="restart"/>
            <w:tcBorders>
              <w:top w:val="single" w:color="auto" w:sz="4" w:space="0"/>
              <w:left w:val="single" w:color="auto" w:sz="4" w:space="0"/>
              <w:right w:val="single" w:color="auto" w:sz="4" w:space="0"/>
            </w:tcBorders>
            <w:noWrap w:val="0"/>
            <w:vAlign w:val="center"/>
          </w:tcPr>
          <w:p w14:paraId="4B613E2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系统软件功能要求</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3ACCC26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支持多种接口协议对接，系统具有良好的扩展性。与码上放心平台、省药品采购平台、HIS系统、包药机系统等无缝对接，支持视图方式、WEBSERVICE方式、API方式等。通过追溯码获取药品的批号和效期，方便药房对药品的效期和批号管理。</w:t>
            </w:r>
          </w:p>
        </w:tc>
        <w:tc>
          <w:tcPr>
            <w:tcW w:w="775" w:type="dxa"/>
            <w:tcBorders>
              <w:top w:val="single" w:color="auto" w:sz="4" w:space="0"/>
              <w:left w:val="single" w:color="auto" w:sz="4" w:space="0"/>
              <w:bottom w:val="single" w:color="auto" w:sz="4" w:space="0"/>
              <w:right w:val="single" w:color="auto" w:sz="4" w:space="0"/>
            </w:tcBorders>
            <w:noWrap w:val="0"/>
            <w:vAlign w:val="top"/>
          </w:tcPr>
          <w:p w14:paraId="3E8748C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05B2266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E6ED61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147FA2D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1E4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46" w:type="dxa"/>
            <w:vMerge w:val="continue"/>
            <w:tcBorders>
              <w:left w:val="single" w:color="auto" w:sz="4" w:space="0"/>
              <w:right w:val="single" w:color="auto" w:sz="4" w:space="0"/>
            </w:tcBorders>
            <w:noWrap w:val="0"/>
            <w:vAlign w:val="center"/>
          </w:tcPr>
          <w:p w14:paraId="49D1BA89">
            <w:pPr>
              <w:pStyle w:val="18"/>
              <w:widowControl/>
              <w:kinsoku w:val="0"/>
              <w:overflowPunct w:val="0"/>
              <w:spacing w:line="400" w:lineRule="exact"/>
              <w:jc w:val="center"/>
            </w:pPr>
          </w:p>
        </w:tc>
        <w:tc>
          <w:tcPr>
            <w:tcW w:w="1157" w:type="dxa"/>
            <w:vMerge w:val="continue"/>
            <w:tcBorders>
              <w:left w:val="single" w:color="auto" w:sz="4" w:space="0"/>
              <w:right w:val="single" w:color="auto" w:sz="4" w:space="0"/>
            </w:tcBorders>
            <w:noWrap w:val="0"/>
            <w:vAlign w:val="center"/>
          </w:tcPr>
          <w:p w14:paraId="64338089">
            <w:pPr>
              <w:pStyle w:val="18"/>
              <w:widowControl/>
              <w:kinsoku w:val="0"/>
              <w:overflowPunct w:val="0"/>
              <w:spacing w:line="400" w:lineRule="exact"/>
              <w:jc w:val="cente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2FC9AAC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扫码设备兼容性：支持手持PDA、扫码枪、高拍仪等。</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050643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19BE17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E72048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210590F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13C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46" w:type="dxa"/>
            <w:vMerge w:val="continue"/>
            <w:tcBorders>
              <w:left w:val="single" w:color="auto" w:sz="4" w:space="0"/>
              <w:right w:val="single" w:color="auto" w:sz="4" w:space="0"/>
            </w:tcBorders>
            <w:noWrap w:val="0"/>
            <w:vAlign w:val="center"/>
          </w:tcPr>
          <w:p w14:paraId="6809BB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08D172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5AFC5B7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具备药品信息录入、扫码数据采集、异常预警（如重复扫码、无效码、发药错误、过期、近效期）、统计分析功能。</w:t>
            </w:r>
          </w:p>
        </w:tc>
        <w:tc>
          <w:tcPr>
            <w:tcW w:w="775" w:type="dxa"/>
            <w:tcBorders>
              <w:top w:val="single" w:color="auto" w:sz="4" w:space="0"/>
              <w:left w:val="single" w:color="auto" w:sz="4" w:space="0"/>
              <w:bottom w:val="single" w:color="auto" w:sz="4" w:space="0"/>
              <w:right w:val="single" w:color="auto" w:sz="4" w:space="0"/>
            </w:tcBorders>
            <w:noWrap w:val="0"/>
            <w:vAlign w:val="top"/>
          </w:tcPr>
          <w:p w14:paraId="3C4E20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CE6A8A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03A425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1D4A900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83D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46" w:type="dxa"/>
            <w:vMerge w:val="continue"/>
            <w:tcBorders>
              <w:left w:val="single" w:color="auto" w:sz="4" w:space="0"/>
              <w:right w:val="single" w:color="auto" w:sz="4" w:space="0"/>
            </w:tcBorders>
            <w:noWrap w:val="0"/>
            <w:vAlign w:val="center"/>
          </w:tcPr>
          <w:p w14:paraId="4A72384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2D018DD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0028EA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能够按角色（药师、护士、管理员）、按部门（药库、药房、静配）分配操作权限，支持审计日志追溯。</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C92CFF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E6BA79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5241E62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6626771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00E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46" w:type="dxa"/>
            <w:vMerge w:val="continue"/>
            <w:tcBorders>
              <w:left w:val="single" w:color="auto" w:sz="4" w:space="0"/>
              <w:right w:val="single" w:color="auto" w:sz="4" w:space="0"/>
            </w:tcBorders>
            <w:noWrap w:val="0"/>
            <w:vAlign w:val="center"/>
          </w:tcPr>
          <w:p w14:paraId="040A968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742D1DE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5C13B8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能够与配送企业进行追溯码对接，使配送企业追溯码信息同步至医院系统，方便医院追溯码的入库采集。</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6DE0EF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08E511A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87589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0A6B15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C79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46" w:type="dxa"/>
            <w:vMerge w:val="continue"/>
            <w:tcBorders>
              <w:left w:val="single" w:color="auto" w:sz="4" w:space="0"/>
              <w:right w:val="single" w:color="auto" w:sz="4" w:space="0"/>
            </w:tcBorders>
            <w:noWrap w:val="0"/>
            <w:vAlign w:val="center"/>
          </w:tcPr>
          <w:p w14:paraId="6B7EEFA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29F276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61FF17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为满足多系统之间互联互通要求，方便后期对数据接口以及软件故障排查，系统需具备日志功能，方便后期日常维护工作。</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B565AA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F5F71D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E2C92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6947051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C04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46" w:type="dxa"/>
            <w:vMerge w:val="continue"/>
            <w:tcBorders>
              <w:left w:val="single" w:color="auto" w:sz="4" w:space="0"/>
              <w:right w:val="single" w:color="auto" w:sz="4" w:space="0"/>
            </w:tcBorders>
            <w:noWrap w:val="0"/>
            <w:vAlign w:val="center"/>
          </w:tcPr>
          <w:p w14:paraId="142253A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0E35C7A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714460B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系统自带药品字典库（包含药品追溯码信息），支持接口对接和手工维护两种方式，至少能存储2年的药品追溯码数据。</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607E7E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57AA61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B321E0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8ABFB5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E3C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46" w:type="dxa"/>
            <w:vMerge w:val="continue"/>
            <w:tcBorders>
              <w:left w:val="single" w:color="auto" w:sz="4" w:space="0"/>
              <w:right w:val="single" w:color="auto" w:sz="4" w:space="0"/>
            </w:tcBorders>
            <w:noWrap w:val="0"/>
            <w:vAlign w:val="center"/>
          </w:tcPr>
          <w:p w14:paraId="65A775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5B0D274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51B8A7B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系统设备可以提前将拆零药品信息维护进库，发药时自动判定拆零药品，在发药或配药显示为已赋码。</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40B7CB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882ECA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B13CF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DD07A0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9F8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46" w:type="dxa"/>
            <w:vMerge w:val="continue"/>
            <w:tcBorders>
              <w:left w:val="single" w:color="auto" w:sz="4" w:space="0"/>
              <w:right w:val="single" w:color="auto" w:sz="4" w:space="0"/>
            </w:tcBorders>
            <w:noWrap w:val="0"/>
            <w:vAlign w:val="center"/>
          </w:tcPr>
          <w:p w14:paraId="0B52345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303873A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07DF63E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系统设备可以将患者处方信息与扫描到的追溯码信息进行绑定和核对，当追溯码信息有误或完全正确时，可语音播报提示药师，完成药品与处方的二次核对。</w:t>
            </w:r>
          </w:p>
        </w:tc>
        <w:tc>
          <w:tcPr>
            <w:tcW w:w="775" w:type="dxa"/>
            <w:tcBorders>
              <w:top w:val="single" w:color="auto" w:sz="4" w:space="0"/>
              <w:left w:val="single" w:color="auto" w:sz="4" w:space="0"/>
              <w:bottom w:val="single" w:color="auto" w:sz="4" w:space="0"/>
              <w:right w:val="single" w:color="auto" w:sz="4" w:space="0"/>
            </w:tcBorders>
            <w:noWrap w:val="0"/>
            <w:vAlign w:val="top"/>
          </w:tcPr>
          <w:p w14:paraId="3922801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569467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24D339C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33667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3B7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top w:val="single" w:color="auto" w:sz="4" w:space="0"/>
              <w:left w:val="single" w:color="auto" w:sz="4" w:space="0"/>
              <w:right w:val="single" w:color="auto" w:sz="4" w:space="0"/>
            </w:tcBorders>
            <w:noWrap w:val="0"/>
            <w:vAlign w:val="center"/>
          </w:tcPr>
          <w:p w14:paraId="2BBEC0F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bookmarkStart w:id="0" w:name="_Toc193794677"/>
            <w:r>
              <w:rPr>
                <w:rFonts w:hint="default" w:ascii="仿宋" w:hAnsi="仿宋" w:eastAsia="仿宋" w:cstheme="minorBidi"/>
                <w:bCs/>
                <w:kern w:val="2"/>
                <w:sz w:val="21"/>
                <w:szCs w:val="21"/>
                <w:lang w:val="en-US" w:eastAsia="zh-CN" w:bidi="ar-SA"/>
              </w:rPr>
              <w:t>药库追溯码管理</w:t>
            </w:r>
            <w:bookmarkEnd w:id="0"/>
          </w:p>
        </w:tc>
        <w:tc>
          <w:tcPr>
            <w:tcW w:w="1157" w:type="dxa"/>
            <w:tcBorders>
              <w:top w:val="single" w:color="auto" w:sz="4" w:space="0"/>
              <w:left w:val="single" w:color="auto" w:sz="4" w:space="0"/>
              <w:right w:val="single" w:color="auto" w:sz="4" w:space="0"/>
            </w:tcBorders>
            <w:noWrap w:val="0"/>
            <w:vAlign w:val="center"/>
          </w:tcPr>
          <w:p w14:paraId="2C2C44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订单上传</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35B4E67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接入省级药品采购平台，根据采购计划自动生成匹配模板，支持批量上传至省采平台，无需人工逐条录入</w:t>
            </w:r>
          </w:p>
        </w:tc>
        <w:tc>
          <w:tcPr>
            <w:tcW w:w="775" w:type="dxa"/>
            <w:tcBorders>
              <w:top w:val="single" w:color="auto" w:sz="4" w:space="0"/>
              <w:left w:val="single" w:color="auto" w:sz="4" w:space="0"/>
              <w:bottom w:val="single" w:color="auto" w:sz="4" w:space="0"/>
              <w:right w:val="single" w:color="auto" w:sz="4" w:space="0"/>
            </w:tcBorders>
            <w:noWrap w:val="0"/>
            <w:vAlign w:val="top"/>
          </w:tcPr>
          <w:p w14:paraId="7E647E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4E49279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52402F1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6EC173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E51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2A42780C">
            <w:pPr>
              <w:pStyle w:val="18"/>
              <w:widowControl/>
              <w:kinsoku w:val="0"/>
              <w:overflowPunct w:val="0"/>
              <w:spacing w:line="400" w:lineRule="exact"/>
              <w:jc w:val="center"/>
            </w:pPr>
          </w:p>
        </w:tc>
        <w:tc>
          <w:tcPr>
            <w:tcW w:w="1157" w:type="dxa"/>
            <w:tcBorders>
              <w:left w:val="single" w:color="auto" w:sz="4" w:space="0"/>
              <w:right w:val="single" w:color="auto" w:sz="4" w:space="0"/>
            </w:tcBorders>
            <w:noWrap w:val="0"/>
            <w:vAlign w:val="center"/>
          </w:tcPr>
          <w:p w14:paraId="3A1E308A">
            <w:pPr>
              <w:pStyle w:val="18"/>
              <w:widowControl/>
              <w:kinsoku w:val="0"/>
              <w:overflowPunct w:val="0"/>
              <w:spacing w:line="400" w:lineRule="exact"/>
              <w:jc w:val="center"/>
            </w:pPr>
            <w:r>
              <w:rPr>
                <w:rFonts w:hint="eastAsia" w:ascii="仿宋" w:hAnsi="仿宋" w:eastAsia="仿宋" w:cstheme="minorBidi"/>
                <w:bCs/>
                <w:kern w:val="2"/>
                <w:sz w:val="21"/>
                <w:szCs w:val="21"/>
                <w:lang w:val="en-US" w:eastAsia="zh-CN" w:bidi="ar-SA"/>
              </w:rPr>
              <w:t>目录变更提醒</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7F0BE4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目录里面药品价格、配送关系、集采目录、医保码的变更，需要能够及时通知变更信息</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58B072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79A61D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B81E44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BD888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78C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846" w:type="dxa"/>
            <w:vMerge w:val="continue"/>
            <w:tcBorders>
              <w:left w:val="single" w:color="auto" w:sz="4" w:space="0"/>
              <w:right w:val="single" w:color="auto" w:sz="4" w:space="0"/>
            </w:tcBorders>
            <w:noWrap w:val="0"/>
            <w:vAlign w:val="center"/>
          </w:tcPr>
          <w:p w14:paraId="60EE5FC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4E496C8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上游配送企业赋码</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2758984A">
            <w:pPr>
              <w:pStyle w:val="18"/>
              <w:widowControl/>
              <w:numPr>
                <w:ilvl w:val="0"/>
                <w:numId w:val="0"/>
              </w:numPr>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支持配送公司批量上传药品详细信息（包括追溯码、批号、效期等）。通过扫码配送单或发票二维码，获取完整药品信息并确认入库，形成院内追溯码信息库</w:t>
            </w:r>
          </w:p>
        </w:tc>
        <w:tc>
          <w:tcPr>
            <w:tcW w:w="775" w:type="dxa"/>
            <w:vMerge w:val="restart"/>
            <w:tcBorders>
              <w:top w:val="single" w:color="auto" w:sz="4" w:space="0"/>
              <w:left w:val="single" w:color="auto" w:sz="4" w:space="0"/>
              <w:right w:val="single" w:color="auto" w:sz="4" w:space="0"/>
            </w:tcBorders>
            <w:noWrap w:val="0"/>
            <w:vAlign w:val="top"/>
          </w:tcPr>
          <w:p w14:paraId="378077A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4310074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7846405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623A9F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8E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846" w:type="dxa"/>
            <w:vMerge w:val="continue"/>
            <w:tcBorders>
              <w:left w:val="single" w:color="auto" w:sz="4" w:space="0"/>
              <w:right w:val="single" w:color="auto" w:sz="4" w:space="0"/>
            </w:tcBorders>
            <w:noWrap w:val="0"/>
            <w:vAlign w:val="center"/>
          </w:tcPr>
          <w:p w14:paraId="7C4D9BC7">
            <w:pPr>
              <w:pStyle w:val="18"/>
              <w:widowControl/>
              <w:kinsoku w:val="0"/>
              <w:overflowPunct w:val="0"/>
              <w:spacing w:line="400" w:lineRule="exact"/>
              <w:jc w:val="center"/>
            </w:pPr>
          </w:p>
        </w:tc>
        <w:tc>
          <w:tcPr>
            <w:tcW w:w="1157" w:type="dxa"/>
            <w:vMerge w:val="continue"/>
            <w:tcBorders>
              <w:left w:val="single" w:color="auto" w:sz="4" w:space="0"/>
              <w:right w:val="single" w:color="auto" w:sz="4" w:space="0"/>
            </w:tcBorders>
            <w:noWrap w:val="0"/>
            <w:vAlign w:val="center"/>
          </w:tcPr>
          <w:p w14:paraId="28AEAE74">
            <w:pPr>
              <w:pStyle w:val="18"/>
              <w:widowControl/>
              <w:kinsoku w:val="0"/>
              <w:overflowPunct w:val="0"/>
              <w:spacing w:line="400" w:lineRule="exact"/>
              <w:jc w:val="cente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1DA1364D">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系统应支持跟3家及以上配送企业打通数据接口，实现扫描发票上的二维码，即可获取完整的药品追溯码信息。</w:t>
            </w:r>
          </w:p>
        </w:tc>
        <w:tc>
          <w:tcPr>
            <w:tcW w:w="775" w:type="dxa"/>
            <w:vMerge w:val="continue"/>
            <w:tcBorders>
              <w:left w:val="single" w:color="auto" w:sz="4" w:space="0"/>
              <w:right w:val="single" w:color="auto" w:sz="4" w:space="0"/>
            </w:tcBorders>
            <w:noWrap w:val="0"/>
            <w:vAlign w:val="top"/>
          </w:tcPr>
          <w:p w14:paraId="1B6167B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0B22171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0067043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3AC2172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1D2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46" w:type="dxa"/>
            <w:vMerge w:val="continue"/>
            <w:tcBorders>
              <w:left w:val="single" w:color="auto" w:sz="4" w:space="0"/>
              <w:right w:val="single" w:color="auto" w:sz="4" w:space="0"/>
            </w:tcBorders>
            <w:noWrap w:val="0"/>
            <w:vAlign w:val="center"/>
          </w:tcPr>
          <w:p w14:paraId="14C2B39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428CC8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30AB7E2B">
            <w:pPr>
              <w:pStyle w:val="18"/>
              <w:widowControl/>
              <w:numPr>
                <w:ilvl w:val="0"/>
                <w:numId w:val="0"/>
              </w:numPr>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自动将详细的入库信息精准推送至医院信息管理系统（HIS），药库药师不需要手工录入库单，完成药品自动入库。</w:t>
            </w:r>
          </w:p>
        </w:tc>
        <w:tc>
          <w:tcPr>
            <w:tcW w:w="775" w:type="dxa"/>
            <w:vMerge w:val="continue"/>
            <w:tcBorders>
              <w:left w:val="single" w:color="auto" w:sz="4" w:space="0"/>
              <w:bottom w:val="single" w:color="auto" w:sz="4" w:space="0"/>
              <w:right w:val="single" w:color="auto" w:sz="4" w:space="0"/>
            </w:tcBorders>
            <w:noWrap w:val="0"/>
            <w:vAlign w:val="top"/>
          </w:tcPr>
          <w:p w14:paraId="283EAB3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18F4F66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06D343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1353C5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585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4E4E043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276162F4">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收货确认</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4EC71038">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根据药品的发货信息，药品确认收货工作后，进行收货数据省招采平台自动回传。</w:t>
            </w:r>
          </w:p>
        </w:tc>
        <w:tc>
          <w:tcPr>
            <w:tcW w:w="775" w:type="dxa"/>
            <w:tcBorders>
              <w:top w:val="single" w:color="auto" w:sz="4" w:space="0"/>
              <w:left w:val="single" w:color="auto" w:sz="4" w:space="0"/>
              <w:bottom w:val="single" w:color="auto" w:sz="4" w:space="0"/>
              <w:right w:val="single" w:color="auto" w:sz="4" w:space="0"/>
            </w:tcBorders>
            <w:noWrap w:val="0"/>
            <w:vAlign w:val="top"/>
          </w:tcPr>
          <w:p w14:paraId="3CC4865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55C932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652562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EDAA94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104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46" w:type="dxa"/>
            <w:vMerge w:val="continue"/>
            <w:tcBorders>
              <w:left w:val="single" w:color="auto" w:sz="4" w:space="0"/>
              <w:right w:val="single" w:color="auto" w:sz="4" w:space="0"/>
            </w:tcBorders>
            <w:noWrap w:val="0"/>
            <w:vAlign w:val="center"/>
          </w:tcPr>
          <w:p w14:paraId="6FA59E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7C517956">
            <w:pPr>
              <w:pStyle w:val="18"/>
              <w:widowControl/>
              <w:numPr>
                <w:ilvl w:val="0"/>
                <w:numId w:val="0"/>
              </w:numPr>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追溯信息</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1C7BCB11">
            <w:pPr>
              <w:pStyle w:val="18"/>
              <w:widowControl/>
              <w:numPr>
                <w:ilvl w:val="0"/>
                <w:numId w:val="0"/>
              </w:numPr>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系统应支持扫描药品外包装获取药品追溯码信息。</w:t>
            </w:r>
          </w:p>
        </w:tc>
        <w:tc>
          <w:tcPr>
            <w:tcW w:w="775" w:type="dxa"/>
            <w:vMerge w:val="restart"/>
            <w:tcBorders>
              <w:top w:val="single" w:color="auto" w:sz="4" w:space="0"/>
              <w:left w:val="single" w:color="auto" w:sz="4" w:space="0"/>
              <w:right w:val="single" w:color="auto" w:sz="4" w:space="0"/>
            </w:tcBorders>
            <w:noWrap w:val="0"/>
            <w:vAlign w:val="top"/>
          </w:tcPr>
          <w:p w14:paraId="27DE0F3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6633EBC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6B1429A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116DFAA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7B0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46" w:type="dxa"/>
            <w:vMerge w:val="continue"/>
            <w:tcBorders>
              <w:left w:val="single" w:color="auto" w:sz="4" w:space="0"/>
              <w:right w:val="single" w:color="auto" w:sz="4" w:space="0"/>
            </w:tcBorders>
            <w:noWrap w:val="0"/>
            <w:vAlign w:val="center"/>
          </w:tcPr>
          <w:p w14:paraId="6FFFF8F4">
            <w:pPr>
              <w:pStyle w:val="18"/>
              <w:widowControl/>
              <w:kinsoku w:val="0"/>
              <w:overflowPunct w:val="0"/>
              <w:spacing w:line="400" w:lineRule="exact"/>
              <w:jc w:val="both"/>
            </w:pPr>
          </w:p>
        </w:tc>
        <w:tc>
          <w:tcPr>
            <w:tcW w:w="1157" w:type="dxa"/>
            <w:vMerge w:val="continue"/>
            <w:tcBorders>
              <w:left w:val="single" w:color="auto" w:sz="4" w:space="0"/>
              <w:right w:val="single" w:color="auto" w:sz="4" w:space="0"/>
            </w:tcBorders>
            <w:noWrap w:val="0"/>
            <w:vAlign w:val="center"/>
          </w:tcPr>
          <w:p w14:paraId="4F3F13CF">
            <w:pPr>
              <w:pStyle w:val="18"/>
              <w:widowControl/>
              <w:kinsoku w:val="0"/>
              <w:overflowPunct w:val="0"/>
              <w:spacing w:line="400" w:lineRule="exact"/>
              <w:jc w:val="both"/>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17415FA2">
            <w:pPr>
              <w:pStyle w:val="18"/>
              <w:widowControl/>
              <w:numPr>
                <w:ilvl w:val="0"/>
                <w:numId w:val="0"/>
              </w:numPr>
              <w:kinsoku w:val="0"/>
              <w:overflowPunct w:val="0"/>
              <w:spacing w:line="400" w:lineRule="exact"/>
              <w:jc w:val="both"/>
              <w:rPr>
                <w:rFonts w:hint="eastAsia" w:ascii="仿宋" w:hAnsi="仿宋" w:eastAsia="仿宋" w:cstheme="minorBidi"/>
                <w:bCs/>
                <w:kern w:val="2"/>
                <w:sz w:val="21"/>
                <w:szCs w:val="21"/>
                <w:lang w:val="en-US" w:eastAsia="zh-CN" w:bidi="ar-SA"/>
              </w:rPr>
            </w:pPr>
            <w:bookmarkStart w:id="1" w:name="OLE_LINK4"/>
            <w:r>
              <w:rPr>
                <w:rFonts w:hint="eastAsia" w:ascii="仿宋" w:hAnsi="仿宋" w:eastAsia="仿宋" w:cstheme="minorBidi"/>
                <w:bCs/>
                <w:kern w:val="2"/>
                <w:sz w:val="21"/>
                <w:szCs w:val="21"/>
                <w:lang w:val="en-US" w:eastAsia="zh-CN" w:bidi="ar-SA"/>
              </w:rPr>
              <w:t>系统应支持直接扫描药品本身获取药品追溯码信息</w:t>
            </w:r>
            <w:bookmarkEnd w:id="1"/>
            <w:r>
              <w:rPr>
                <w:rFonts w:hint="eastAsia" w:ascii="仿宋" w:hAnsi="仿宋" w:eastAsia="仿宋" w:cstheme="minorBidi"/>
                <w:bCs/>
                <w:kern w:val="2"/>
                <w:sz w:val="21"/>
                <w:szCs w:val="21"/>
                <w:lang w:val="en-US" w:eastAsia="zh-CN" w:bidi="ar-SA"/>
              </w:rPr>
              <w:t>。</w:t>
            </w:r>
          </w:p>
        </w:tc>
        <w:tc>
          <w:tcPr>
            <w:tcW w:w="775" w:type="dxa"/>
            <w:vMerge w:val="continue"/>
            <w:tcBorders>
              <w:left w:val="single" w:color="auto" w:sz="4" w:space="0"/>
              <w:right w:val="single" w:color="auto" w:sz="4" w:space="0"/>
            </w:tcBorders>
            <w:noWrap w:val="0"/>
            <w:vAlign w:val="top"/>
          </w:tcPr>
          <w:p w14:paraId="1F3AC506">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53C9DFDC">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47DBA7C0">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343D4666">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r>
      <w:tr w14:paraId="4A02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6" w:type="dxa"/>
            <w:vMerge w:val="continue"/>
            <w:tcBorders>
              <w:left w:val="single" w:color="auto" w:sz="4" w:space="0"/>
              <w:right w:val="single" w:color="auto" w:sz="4" w:space="0"/>
            </w:tcBorders>
            <w:noWrap w:val="0"/>
            <w:vAlign w:val="center"/>
          </w:tcPr>
          <w:p w14:paraId="116050EE">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68DA9375">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3160806F">
            <w:pPr>
              <w:pStyle w:val="18"/>
              <w:widowControl/>
              <w:numPr>
                <w:ilvl w:val="0"/>
                <w:numId w:val="0"/>
              </w:numPr>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系统应支持手持PDA设备扫码一键快速入库</w:t>
            </w:r>
          </w:p>
        </w:tc>
        <w:tc>
          <w:tcPr>
            <w:tcW w:w="775" w:type="dxa"/>
            <w:vMerge w:val="continue"/>
            <w:tcBorders>
              <w:left w:val="single" w:color="auto" w:sz="4" w:space="0"/>
              <w:right w:val="single" w:color="auto" w:sz="4" w:space="0"/>
            </w:tcBorders>
            <w:noWrap w:val="0"/>
            <w:vAlign w:val="top"/>
          </w:tcPr>
          <w:p w14:paraId="7C23103E">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76894580">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6A15DD83">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51321736">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r>
      <w:tr w14:paraId="428A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46" w:type="dxa"/>
            <w:vMerge w:val="continue"/>
            <w:tcBorders>
              <w:left w:val="single" w:color="auto" w:sz="4" w:space="0"/>
              <w:right w:val="single" w:color="auto" w:sz="4" w:space="0"/>
            </w:tcBorders>
            <w:noWrap w:val="0"/>
            <w:vAlign w:val="center"/>
          </w:tcPr>
          <w:p w14:paraId="0FAD852E">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6ACBE044">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68ED2503">
            <w:pPr>
              <w:pStyle w:val="18"/>
              <w:widowControl/>
              <w:numPr>
                <w:ilvl w:val="0"/>
                <w:numId w:val="0"/>
              </w:numPr>
              <w:kinsoku w:val="0"/>
              <w:overflowPunct w:val="0"/>
              <w:spacing w:line="400" w:lineRule="exact"/>
              <w:jc w:val="both"/>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系统应支持PC端配合高拍仪进行采集操作。</w:t>
            </w:r>
          </w:p>
        </w:tc>
        <w:tc>
          <w:tcPr>
            <w:tcW w:w="775" w:type="dxa"/>
            <w:vMerge w:val="continue"/>
            <w:tcBorders>
              <w:left w:val="single" w:color="auto" w:sz="4" w:space="0"/>
              <w:bottom w:val="single" w:color="auto" w:sz="4" w:space="0"/>
              <w:right w:val="single" w:color="auto" w:sz="4" w:space="0"/>
            </w:tcBorders>
            <w:noWrap w:val="0"/>
            <w:vAlign w:val="top"/>
          </w:tcPr>
          <w:p w14:paraId="2AD3A388">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683AD600">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64BB1654">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1B32BB16">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tc>
      </w:tr>
      <w:tr w14:paraId="5470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3AF4EBD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3863F7F9">
            <w:pPr>
              <w:spacing w:line="360" w:lineRule="auto"/>
              <w:rPr>
                <w:rFonts w:hint="eastAsia" w:ascii="仿宋" w:hAnsi="仿宋" w:eastAsia="仿宋" w:cstheme="minorBidi"/>
                <w:bCs/>
                <w:kern w:val="2"/>
                <w:sz w:val="21"/>
                <w:szCs w:val="21"/>
                <w:lang w:val="en-US" w:eastAsia="zh-CN" w:bidi="ar-SA"/>
              </w:rPr>
            </w:pPr>
            <w:bookmarkStart w:id="2" w:name="_Toc193794680"/>
            <w:r>
              <w:rPr>
                <w:rFonts w:hint="eastAsia" w:ascii="仿宋" w:hAnsi="仿宋" w:eastAsia="仿宋" w:cstheme="minorBidi"/>
                <w:bCs/>
                <w:kern w:val="2"/>
                <w:sz w:val="21"/>
                <w:szCs w:val="21"/>
                <w:lang w:val="en-US" w:eastAsia="zh-CN" w:bidi="ar-SA"/>
              </w:rPr>
              <w:t>追溯码转换</w:t>
            </w:r>
            <w:bookmarkEnd w:id="2"/>
          </w:p>
        </w:tc>
        <w:tc>
          <w:tcPr>
            <w:tcW w:w="4190" w:type="dxa"/>
            <w:tcBorders>
              <w:top w:val="single" w:color="auto" w:sz="4" w:space="0"/>
              <w:left w:val="single" w:color="auto" w:sz="4" w:space="0"/>
              <w:bottom w:val="single" w:color="auto" w:sz="4" w:space="0"/>
              <w:right w:val="single" w:color="auto" w:sz="4" w:space="0"/>
            </w:tcBorders>
            <w:noWrap w:val="0"/>
            <w:vAlign w:val="top"/>
          </w:tcPr>
          <w:p w14:paraId="76DA0692">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系统应具备创新性功能，支持无需拆箱操作，仅需扫描大箱码、中包装码或单盒药品追溯码，即可迅速获取每一盒药品的追溯码信息。</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EF8C1C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102952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6EDDB1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1DB815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221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46" w:type="dxa"/>
            <w:vMerge w:val="continue"/>
            <w:tcBorders>
              <w:left w:val="single" w:color="auto" w:sz="4" w:space="0"/>
              <w:right w:val="single" w:color="auto" w:sz="4" w:space="0"/>
            </w:tcBorders>
            <w:noWrap w:val="0"/>
            <w:vAlign w:val="center"/>
          </w:tcPr>
          <w:p w14:paraId="3BEE7EF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4ABC6CAD">
            <w:pPr>
              <w:spacing w:line="360" w:lineRule="auto"/>
              <w:rPr>
                <w:rFonts w:hint="eastAsia" w:ascii="仿宋" w:hAnsi="仿宋" w:eastAsia="仿宋" w:cstheme="minorBidi"/>
                <w:bCs/>
                <w:kern w:val="2"/>
                <w:sz w:val="21"/>
                <w:szCs w:val="21"/>
                <w:lang w:val="en-US" w:eastAsia="zh-CN" w:bidi="ar-SA"/>
              </w:rPr>
            </w:pPr>
            <w:bookmarkStart w:id="3" w:name="_Toc193794681"/>
            <w:r>
              <w:rPr>
                <w:rFonts w:hint="eastAsia" w:ascii="仿宋" w:hAnsi="仿宋" w:eastAsia="仿宋" w:cstheme="minorBidi"/>
                <w:bCs/>
                <w:kern w:val="2"/>
                <w:sz w:val="21"/>
                <w:szCs w:val="21"/>
                <w:lang w:val="en-US" w:eastAsia="zh-CN" w:bidi="ar-SA"/>
              </w:rPr>
              <w:t>入库信息核验</w:t>
            </w:r>
            <w:bookmarkEnd w:id="3"/>
          </w:p>
        </w:tc>
        <w:tc>
          <w:tcPr>
            <w:tcW w:w="4190" w:type="dxa"/>
            <w:tcBorders>
              <w:top w:val="single" w:color="auto" w:sz="4" w:space="0"/>
              <w:left w:val="single" w:color="auto" w:sz="4" w:space="0"/>
              <w:bottom w:val="single" w:color="auto" w:sz="4" w:space="0"/>
              <w:right w:val="single" w:color="auto" w:sz="4" w:space="0"/>
            </w:tcBorders>
            <w:noWrap w:val="0"/>
            <w:vAlign w:val="top"/>
          </w:tcPr>
          <w:p w14:paraId="45965434">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系统应配备智能化的追溯码匹配核对功能，能够自动将采集到的追溯码信息与入库单数据进行精准比对。</w:t>
            </w:r>
          </w:p>
        </w:tc>
        <w:tc>
          <w:tcPr>
            <w:tcW w:w="775" w:type="dxa"/>
            <w:vMerge w:val="restart"/>
            <w:tcBorders>
              <w:top w:val="single" w:color="auto" w:sz="4" w:space="0"/>
              <w:left w:val="single" w:color="auto" w:sz="4" w:space="0"/>
              <w:right w:val="single" w:color="auto" w:sz="4" w:space="0"/>
            </w:tcBorders>
            <w:noWrap w:val="0"/>
            <w:vAlign w:val="top"/>
          </w:tcPr>
          <w:p w14:paraId="153D740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6C27022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6320894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4B0AF9F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FE7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46" w:type="dxa"/>
            <w:vMerge w:val="continue"/>
            <w:tcBorders>
              <w:left w:val="single" w:color="auto" w:sz="4" w:space="0"/>
              <w:right w:val="single" w:color="auto" w:sz="4" w:space="0"/>
            </w:tcBorders>
            <w:noWrap w:val="0"/>
            <w:vAlign w:val="center"/>
          </w:tcPr>
          <w:p w14:paraId="43E5AEB6">
            <w:pPr>
              <w:spacing w:line="360" w:lineRule="auto"/>
            </w:pPr>
          </w:p>
        </w:tc>
        <w:tc>
          <w:tcPr>
            <w:tcW w:w="1157" w:type="dxa"/>
            <w:vMerge w:val="continue"/>
            <w:tcBorders>
              <w:left w:val="single" w:color="auto" w:sz="4" w:space="0"/>
              <w:right w:val="single" w:color="auto" w:sz="4" w:space="0"/>
            </w:tcBorders>
            <w:noWrap w:val="0"/>
            <w:vAlign w:val="center"/>
          </w:tcPr>
          <w:p w14:paraId="029582F0">
            <w:pPr>
              <w:spacing w:line="360" w:lineRule="auto"/>
            </w:pPr>
          </w:p>
        </w:tc>
        <w:tc>
          <w:tcPr>
            <w:tcW w:w="4190" w:type="dxa"/>
            <w:tcBorders>
              <w:top w:val="single" w:color="auto" w:sz="4" w:space="0"/>
              <w:left w:val="single" w:color="auto" w:sz="4" w:space="0"/>
              <w:bottom w:val="single" w:color="auto" w:sz="4" w:space="0"/>
              <w:right w:val="single" w:color="auto" w:sz="4" w:space="0"/>
            </w:tcBorders>
            <w:noWrap w:val="0"/>
            <w:vAlign w:val="top"/>
          </w:tcPr>
          <w:p w14:paraId="13257784">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借助先进的智能算法，系统应可快速识别并自动标记出不一致项，确保数据的准确性与完整性，大幅提高核对效率，显著减轻人工核对的工作负担，有效提升药品入库管理的整体效能，为药品质量安全提供坚实保障。</w:t>
            </w:r>
          </w:p>
        </w:tc>
        <w:tc>
          <w:tcPr>
            <w:tcW w:w="775" w:type="dxa"/>
            <w:vMerge w:val="continue"/>
            <w:tcBorders>
              <w:left w:val="single" w:color="auto" w:sz="4" w:space="0"/>
              <w:bottom w:val="single" w:color="auto" w:sz="4" w:space="0"/>
              <w:right w:val="single" w:color="auto" w:sz="4" w:space="0"/>
            </w:tcBorders>
            <w:noWrap w:val="0"/>
            <w:vAlign w:val="top"/>
          </w:tcPr>
          <w:p w14:paraId="5AF52012">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16CC071E">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1EE37647">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3DB62951">
            <w:pPr>
              <w:spacing w:line="360" w:lineRule="auto"/>
              <w:rPr>
                <w:rFonts w:hint="eastAsia" w:ascii="仿宋" w:hAnsi="仿宋" w:eastAsia="仿宋" w:cstheme="minorBidi"/>
                <w:bCs/>
                <w:kern w:val="2"/>
                <w:sz w:val="21"/>
                <w:szCs w:val="21"/>
                <w:lang w:val="en-US" w:eastAsia="zh-CN" w:bidi="ar-SA"/>
              </w:rPr>
            </w:pPr>
          </w:p>
        </w:tc>
      </w:tr>
      <w:tr w14:paraId="7747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46" w:type="dxa"/>
            <w:vMerge w:val="continue"/>
            <w:tcBorders>
              <w:left w:val="single" w:color="auto" w:sz="4" w:space="0"/>
              <w:right w:val="single" w:color="auto" w:sz="4" w:space="0"/>
            </w:tcBorders>
            <w:noWrap w:val="0"/>
            <w:vAlign w:val="center"/>
          </w:tcPr>
          <w:p w14:paraId="12D0966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19F9C011">
            <w:pPr>
              <w:spacing w:line="360" w:lineRule="auto"/>
              <w:rPr>
                <w:rFonts w:hint="eastAsia" w:ascii="仿宋" w:hAnsi="仿宋" w:eastAsia="仿宋" w:cstheme="minorBidi"/>
                <w:bCs/>
                <w:kern w:val="2"/>
                <w:sz w:val="21"/>
                <w:szCs w:val="21"/>
                <w:lang w:val="en-US" w:eastAsia="zh-CN" w:bidi="ar-SA"/>
              </w:rPr>
            </w:pPr>
            <w:bookmarkStart w:id="4" w:name="_Toc193794682"/>
            <w:r>
              <w:rPr>
                <w:rFonts w:hint="eastAsia" w:ascii="仿宋" w:hAnsi="仿宋" w:eastAsia="仿宋" w:cstheme="minorBidi"/>
                <w:bCs/>
                <w:kern w:val="2"/>
                <w:sz w:val="21"/>
                <w:szCs w:val="21"/>
                <w:lang w:val="en-US" w:eastAsia="zh-CN" w:bidi="ar-SA"/>
              </w:rPr>
              <w:t>智能预警提示</w:t>
            </w:r>
            <w:bookmarkEnd w:id="4"/>
          </w:p>
        </w:tc>
        <w:tc>
          <w:tcPr>
            <w:tcW w:w="4190" w:type="dxa"/>
            <w:tcBorders>
              <w:top w:val="single" w:color="auto" w:sz="4" w:space="0"/>
              <w:left w:val="single" w:color="auto" w:sz="4" w:space="0"/>
              <w:bottom w:val="single" w:color="auto" w:sz="4" w:space="0"/>
              <w:right w:val="single" w:color="auto" w:sz="4" w:space="0"/>
            </w:tcBorders>
            <w:noWrap w:val="0"/>
            <w:vAlign w:val="center"/>
          </w:tcPr>
          <w:p w14:paraId="78967711">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系统应具备强大的智能预警功能，在药品入库环节实时监测药品的关键信息，如有效期、批准文号等。</w:t>
            </w:r>
          </w:p>
        </w:tc>
        <w:tc>
          <w:tcPr>
            <w:tcW w:w="775" w:type="dxa"/>
            <w:vMerge w:val="restart"/>
            <w:tcBorders>
              <w:top w:val="single" w:color="auto" w:sz="4" w:space="0"/>
              <w:left w:val="single" w:color="auto" w:sz="4" w:space="0"/>
              <w:right w:val="single" w:color="auto" w:sz="4" w:space="0"/>
            </w:tcBorders>
            <w:noWrap w:val="0"/>
            <w:vAlign w:val="top"/>
          </w:tcPr>
          <w:p w14:paraId="7C81465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488420A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1B5BFA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4433052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0F8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46" w:type="dxa"/>
            <w:vMerge w:val="continue"/>
            <w:tcBorders>
              <w:left w:val="single" w:color="auto" w:sz="4" w:space="0"/>
              <w:right w:val="single" w:color="auto" w:sz="4" w:space="0"/>
            </w:tcBorders>
            <w:noWrap w:val="0"/>
            <w:vAlign w:val="center"/>
          </w:tcPr>
          <w:p w14:paraId="37F72A64">
            <w:pPr>
              <w:spacing w:line="360" w:lineRule="auto"/>
            </w:pPr>
          </w:p>
        </w:tc>
        <w:tc>
          <w:tcPr>
            <w:tcW w:w="1157" w:type="dxa"/>
            <w:vMerge w:val="continue"/>
            <w:tcBorders>
              <w:left w:val="single" w:color="auto" w:sz="4" w:space="0"/>
              <w:right w:val="single" w:color="auto" w:sz="4" w:space="0"/>
            </w:tcBorders>
            <w:noWrap w:val="0"/>
            <w:vAlign w:val="center"/>
          </w:tcPr>
          <w:p w14:paraId="0023E16F">
            <w:pPr>
              <w:spacing w:line="360" w:lineRule="auto"/>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CB90F0E">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系统应支持对过期药品进行预警提示，及时通知工作人员进行处理。</w:t>
            </w:r>
          </w:p>
        </w:tc>
        <w:tc>
          <w:tcPr>
            <w:tcW w:w="775" w:type="dxa"/>
            <w:vMerge w:val="continue"/>
            <w:tcBorders>
              <w:left w:val="single" w:color="auto" w:sz="4" w:space="0"/>
              <w:right w:val="single" w:color="auto" w:sz="4" w:space="0"/>
            </w:tcBorders>
            <w:noWrap w:val="0"/>
            <w:vAlign w:val="top"/>
          </w:tcPr>
          <w:p w14:paraId="7B1DFFC4">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7E7DF0D4">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286D9DC7">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1CCBD098">
            <w:pPr>
              <w:spacing w:line="360" w:lineRule="auto"/>
              <w:rPr>
                <w:rFonts w:hint="eastAsia" w:ascii="仿宋" w:hAnsi="仿宋" w:eastAsia="仿宋" w:cstheme="minorBidi"/>
                <w:bCs/>
                <w:kern w:val="2"/>
                <w:sz w:val="21"/>
                <w:szCs w:val="21"/>
                <w:lang w:val="en-US" w:eastAsia="zh-CN" w:bidi="ar-SA"/>
              </w:rPr>
            </w:pPr>
          </w:p>
        </w:tc>
      </w:tr>
      <w:tr w14:paraId="674B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46" w:type="dxa"/>
            <w:vMerge w:val="continue"/>
            <w:tcBorders>
              <w:left w:val="single" w:color="auto" w:sz="4" w:space="0"/>
              <w:right w:val="single" w:color="auto" w:sz="4" w:space="0"/>
            </w:tcBorders>
            <w:noWrap w:val="0"/>
            <w:vAlign w:val="center"/>
          </w:tcPr>
          <w:p w14:paraId="195B4F6F">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29671059">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C7614DB">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系统应支持对采购价格变化药品进行预警，及时通知工作人员进行处理。</w:t>
            </w:r>
          </w:p>
        </w:tc>
        <w:tc>
          <w:tcPr>
            <w:tcW w:w="775" w:type="dxa"/>
            <w:vMerge w:val="continue"/>
            <w:tcBorders>
              <w:left w:val="single" w:color="auto" w:sz="4" w:space="0"/>
              <w:bottom w:val="single" w:color="auto" w:sz="4" w:space="0"/>
              <w:right w:val="single" w:color="auto" w:sz="4" w:space="0"/>
            </w:tcBorders>
            <w:noWrap w:val="0"/>
            <w:vAlign w:val="top"/>
          </w:tcPr>
          <w:p w14:paraId="78D5F823">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471C5E9D">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38E373F0">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0140B95E">
            <w:pPr>
              <w:spacing w:line="360" w:lineRule="auto"/>
              <w:rPr>
                <w:rFonts w:hint="eastAsia" w:ascii="仿宋" w:hAnsi="仿宋" w:eastAsia="仿宋" w:cstheme="minorBidi"/>
                <w:bCs/>
                <w:kern w:val="2"/>
                <w:sz w:val="21"/>
                <w:szCs w:val="21"/>
                <w:lang w:val="en-US" w:eastAsia="zh-CN" w:bidi="ar-SA"/>
              </w:rPr>
            </w:pPr>
          </w:p>
        </w:tc>
      </w:tr>
      <w:tr w14:paraId="3FAB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131C070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6EA07536">
            <w:pPr>
              <w:spacing w:line="360" w:lineRule="auto"/>
              <w:rPr>
                <w:rFonts w:hint="eastAsia" w:ascii="仿宋" w:hAnsi="仿宋" w:eastAsia="仿宋" w:cstheme="minorBidi"/>
                <w:bCs/>
                <w:kern w:val="2"/>
                <w:sz w:val="21"/>
                <w:szCs w:val="21"/>
                <w:lang w:val="en-US" w:eastAsia="zh-CN" w:bidi="ar-SA"/>
              </w:rPr>
            </w:pPr>
            <w:bookmarkStart w:id="5" w:name="_Toc193794683"/>
            <w:r>
              <w:rPr>
                <w:rFonts w:hint="eastAsia" w:ascii="仿宋" w:hAnsi="仿宋" w:eastAsia="仿宋" w:cstheme="minorBidi"/>
                <w:bCs/>
                <w:kern w:val="2"/>
                <w:sz w:val="21"/>
                <w:szCs w:val="21"/>
                <w:lang w:val="en-US" w:eastAsia="zh-CN" w:bidi="ar-SA"/>
              </w:rPr>
              <w:t>入库信息推送</w:t>
            </w:r>
            <w:bookmarkEnd w:id="5"/>
          </w:p>
        </w:tc>
        <w:tc>
          <w:tcPr>
            <w:tcW w:w="4190" w:type="dxa"/>
            <w:tcBorders>
              <w:top w:val="single" w:color="auto" w:sz="4" w:space="0"/>
              <w:left w:val="single" w:color="auto" w:sz="4" w:space="0"/>
              <w:bottom w:val="single" w:color="auto" w:sz="4" w:space="0"/>
              <w:right w:val="single" w:color="auto" w:sz="4" w:space="0"/>
            </w:tcBorders>
            <w:noWrap w:val="0"/>
            <w:vAlign w:val="top"/>
          </w:tcPr>
          <w:p w14:paraId="4562947F">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药品完成入库流程后，系统应自动将详细的入库信息精准推送至医院信息管理系统（HIS），确保数据的实时更新与同步，实现 “一键入库”功能，药库药师不需要手工录入库单，完成药品自动入库。</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6AC8D0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3BA3ED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72570BB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730234C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6CD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vMerge w:val="restart"/>
            <w:tcBorders>
              <w:left w:val="single" w:color="auto" w:sz="4" w:space="0"/>
              <w:right w:val="single" w:color="auto" w:sz="4" w:space="0"/>
            </w:tcBorders>
            <w:noWrap w:val="0"/>
            <w:vAlign w:val="center"/>
          </w:tcPr>
          <w:p w14:paraId="2884C29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bookmarkStart w:id="6" w:name="_Toc193794684"/>
            <w:r>
              <w:rPr>
                <w:rFonts w:hint="eastAsia" w:ascii="仿宋" w:hAnsi="仿宋" w:eastAsia="仿宋" w:cstheme="minorBidi"/>
                <w:bCs/>
                <w:kern w:val="2"/>
                <w:sz w:val="21"/>
                <w:szCs w:val="21"/>
                <w:lang w:val="en-US" w:eastAsia="zh-CN" w:bidi="ar-SA"/>
              </w:rPr>
              <w:t>药库退货追溯码管理</w:t>
            </w:r>
            <w:bookmarkEnd w:id="6"/>
          </w:p>
        </w:tc>
        <w:tc>
          <w:tcPr>
            <w:tcW w:w="1157" w:type="dxa"/>
            <w:vMerge w:val="restart"/>
            <w:tcBorders>
              <w:left w:val="single" w:color="auto" w:sz="4" w:space="0"/>
              <w:right w:val="single" w:color="auto" w:sz="4" w:space="0"/>
            </w:tcBorders>
            <w:noWrap w:val="0"/>
            <w:vAlign w:val="center"/>
          </w:tcPr>
          <w:p w14:paraId="0B437256">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追溯码采集</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6BC861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系统应兼容多种采集方式，保障数据全面性，同时兼顾不同场景下的操作便利性，从源头把控药品来源，确保可追溯性。</w:t>
            </w:r>
          </w:p>
        </w:tc>
        <w:tc>
          <w:tcPr>
            <w:tcW w:w="775" w:type="dxa"/>
            <w:vMerge w:val="restart"/>
            <w:tcBorders>
              <w:top w:val="single" w:color="auto" w:sz="4" w:space="0"/>
              <w:left w:val="single" w:color="auto" w:sz="4" w:space="0"/>
              <w:right w:val="single" w:color="auto" w:sz="4" w:space="0"/>
            </w:tcBorders>
            <w:noWrap w:val="0"/>
            <w:vAlign w:val="top"/>
          </w:tcPr>
          <w:p w14:paraId="1931067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2DE7D6A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3044B2C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0EE7DBB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112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vMerge w:val="continue"/>
            <w:tcBorders>
              <w:left w:val="single" w:color="auto" w:sz="4" w:space="0"/>
              <w:right w:val="single" w:color="auto" w:sz="4" w:space="0"/>
            </w:tcBorders>
            <w:noWrap w:val="0"/>
            <w:vAlign w:val="center"/>
          </w:tcPr>
          <w:p w14:paraId="4476FE0E">
            <w:pPr>
              <w:spacing w:line="360" w:lineRule="auto"/>
            </w:pPr>
          </w:p>
        </w:tc>
        <w:tc>
          <w:tcPr>
            <w:tcW w:w="1157" w:type="dxa"/>
            <w:vMerge w:val="continue"/>
            <w:tcBorders>
              <w:left w:val="single" w:color="auto" w:sz="4" w:space="0"/>
              <w:right w:val="single" w:color="auto" w:sz="4" w:space="0"/>
            </w:tcBorders>
            <w:noWrap w:val="0"/>
            <w:vAlign w:val="center"/>
          </w:tcPr>
          <w:p w14:paraId="04805E88">
            <w:pPr>
              <w:spacing w:line="360" w:lineRule="auto"/>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3EE2A43">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系统应支持PDA端进行采集操作。</w:t>
            </w:r>
          </w:p>
        </w:tc>
        <w:tc>
          <w:tcPr>
            <w:tcW w:w="775" w:type="dxa"/>
            <w:vMerge w:val="continue"/>
            <w:tcBorders>
              <w:left w:val="single" w:color="auto" w:sz="4" w:space="0"/>
              <w:right w:val="single" w:color="auto" w:sz="4" w:space="0"/>
            </w:tcBorders>
            <w:noWrap w:val="0"/>
            <w:vAlign w:val="top"/>
          </w:tcPr>
          <w:p w14:paraId="2DDD1BA8">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703C332C">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7371457F">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30FE641C">
            <w:pPr>
              <w:spacing w:line="360" w:lineRule="auto"/>
              <w:rPr>
                <w:rFonts w:hint="eastAsia" w:ascii="仿宋" w:hAnsi="仿宋" w:eastAsia="仿宋" w:cstheme="minorBidi"/>
                <w:bCs/>
                <w:kern w:val="2"/>
                <w:sz w:val="21"/>
                <w:szCs w:val="21"/>
                <w:lang w:val="en-US" w:eastAsia="zh-CN" w:bidi="ar-SA"/>
              </w:rPr>
            </w:pPr>
          </w:p>
        </w:tc>
      </w:tr>
      <w:tr w14:paraId="5A33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vMerge w:val="continue"/>
            <w:tcBorders>
              <w:left w:val="single" w:color="auto" w:sz="4" w:space="0"/>
              <w:right w:val="single" w:color="auto" w:sz="4" w:space="0"/>
            </w:tcBorders>
            <w:noWrap w:val="0"/>
            <w:vAlign w:val="center"/>
          </w:tcPr>
          <w:p w14:paraId="29B795A8">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5EDE247E">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13DE816F">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系统应支持PC端配合高拍仪进行采集操作。</w:t>
            </w:r>
          </w:p>
        </w:tc>
        <w:tc>
          <w:tcPr>
            <w:tcW w:w="775" w:type="dxa"/>
            <w:vMerge w:val="continue"/>
            <w:tcBorders>
              <w:left w:val="single" w:color="auto" w:sz="4" w:space="0"/>
              <w:right w:val="single" w:color="auto" w:sz="4" w:space="0"/>
            </w:tcBorders>
            <w:noWrap w:val="0"/>
            <w:vAlign w:val="top"/>
          </w:tcPr>
          <w:p w14:paraId="144B9165">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48BD1D4D">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77D71578">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3079CA8B">
            <w:pPr>
              <w:spacing w:line="360" w:lineRule="auto"/>
              <w:rPr>
                <w:rFonts w:hint="eastAsia" w:ascii="仿宋" w:hAnsi="仿宋" w:eastAsia="仿宋" w:cstheme="minorBidi"/>
                <w:bCs/>
                <w:kern w:val="2"/>
                <w:sz w:val="21"/>
                <w:szCs w:val="21"/>
                <w:lang w:val="en-US" w:eastAsia="zh-CN" w:bidi="ar-SA"/>
              </w:rPr>
            </w:pPr>
          </w:p>
        </w:tc>
      </w:tr>
      <w:tr w14:paraId="0564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vMerge w:val="continue"/>
            <w:tcBorders>
              <w:left w:val="single" w:color="auto" w:sz="4" w:space="0"/>
              <w:right w:val="single" w:color="auto" w:sz="4" w:space="0"/>
            </w:tcBorders>
            <w:noWrap w:val="0"/>
            <w:vAlign w:val="center"/>
          </w:tcPr>
          <w:p w14:paraId="159B242D">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62DE441A">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4538E70">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统应支持扫描药品外包装获取药品追溯码信息，仅需扫描大箱码、中包装码或单盒药品追溯码，即可迅速获取每一盒药品的追溯码信息。</w:t>
            </w:r>
          </w:p>
        </w:tc>
        <w:tc>
          <w:tcPr>
            <w:tcW w:w="775" w:type="dxa"/>
            <w:vMerge w:val="continue"/>
            <w:tcBorders>
              <w:left w:val="single" w:color="auto" w:sz="4" w:space="0"/>
              <w:right w:val="single" w:color="auto" w:sz="4" w:space="0"/>
            </w:tcBorders>
            <w:noWrap w:val="0"/>
            <w:vAlign w:val="top"/>
          </w:tcPr>
          <w:p w14:paraId="6595ECA0">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4E0C7342">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613E81A0">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0CABF2E1">
            <w:pPr>
              <w:spacing w:line="360" w:lineRule="auto"/>
              <w:rPr>
                <w:rFonts w:hint="eastAsia" w:ascii="仿宋" w:hAnsi="仿宋" w:eastAsia="仿宋" w:cstheme="minorBidi"/>
                <w:bCs/>
                <w:kern w:val="2"/>
                <w:sz w:val="21"/>
                <w:szCs w:val="21"/>
                <w:lang w:val="en-US" w:eastAsia="zh-CN" w:bidi="ar-SA"/>
              </w:rPr>
            </w:pPr>
          </w:p>
        </w:tc>
      </w:tr>
      <w:tr w14:paraId="5248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vMerge w:val="continue"/>
            <w:tcBorders>
              <w:left w:val="single" w:color="auto" w:sz="4" w:space="0"/>
              <w:right w:val="single" w:color="auto" w:sz="4" w:space="0"/>
            </w:tcBorders>
            <w:noWrap w:val="0"/>
            <w:vAlign w:val="center"/>
          </w:tcPr>
          <w:p w14:paraId="0F2A50C3">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5509157E">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4159F77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系统应支持直接扫描药品本身获取药品追溯码信息。</w:t>
            </w:r>
          </w:p>
        </w:tc>
        <w:tc>
          <w:tcPr>
            <w:tcW w:w="775" w:type="dxa"/>
            <w:vMerge w:val="continue"/>
            <w:tcBorders>
              <w:left w:val="single" w:color="auto" w:sz="4" w:space="0"/>
              <w:bottom w:val="single" w:color="auto" w:sz="4" w:space="0"/>
              <w:right w:val="single" w:color="auto" w:sz="4" w:space="0"/>
            </w:tcBorders>
            <w:noWrap w:val="0"/>
            <w:vAlign w:val="top"/>
          </w:tcPr>
          <w:p w14:paraId="0995058E">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227DEC86">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3DF58D6D">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4C568840">
            <w:pPr>
              <w:spacing w:line="360" w:lineRule="auto"/>
              <w:rPr>
                <w:rFonts w:hint="eastAsia" w:ascii="仿宋" w:hAnsi="仿宋" w:eastAsia="仿宋" w:cstheme="minorBidi"/>
                <w:bCs/>
                <w:kern w:val="2"/>
                <w:sz w:val="21"/>
                <w:szCs w:val="21"/>
                <w:lang w:val="en-US" w:eastAsia="zh-CN" w:bidi="ar-SA"/>
              </w:rPr>
            </w:pPr>
          </w:p>
        </w:tc>
      </w:tr>
      <w:tr w14:paraId="1BAA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46" w:type="dxa"/>
            <w:vMerge w:val="continue"/>
            <w:tcBorders>
              <w:left w:val="single" w:color="auto" w:sz="4" w:space="0"/>
              <w:right w:val="single" w:color="auto" w:sz="4" w:space="0"/>
            </w:tcBorders>
            <w:noWrap w:val="0"/>
            <w:vAlign w:val="center"/>
          </w:tcPr>
          <w:p w14:paraId="029B5C2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303E9774">
            <w:pPr>
              <w:spacing w:line="360" w:lineRule="auto"/>
              <w:rPr>
                <w:rFonts w:hint="eastAsia" w:ascii="仿宋" w:hAnsi="仿宋" w:eastAsia="仿宋" w:cstheme="minorBidi"/>
                <w:bCs/>
                <w:kern w:val="2"/>
                <w:sz w:val="21"/>
                <w:szCs w:val="21"/>
                <w:lang w:val="en-US" w:eastAsia="zh-CN" w:bidi="ar-SA"/>
              </w:rPr>
            </w:pPr>
            <w:bookmarkStart w:id="7" w:name="_Toc193794686"/>
            <w:r>
              <w:rPr>
                <w:rFonts w:hint="eastAsia" w:ascii="仿宋" w:hAnsi="仿宋" w:eastAsia="仿宋" w:cstheme="minorBidi"/>
                <w:bCs/>
                <w:kern w:val="2"/>
                <w:sz w:val="21"/>
                <w:szCs w:val="21"/>
                <w:lang w:val="en-US" w:eastAsia="zh-CN" w:bidi="ar-SA"/>
              </w:rPr>
              <w:t>退货信息推送</w:t>
            </w:r>
            <w:bookmarkEnd w:id="7"/>
          </w:p>
        </w:tc>
        <w:tc>
          <w:tcPr>
            <w:tcW w:w="4190" w:type="dxa"/>
            <w:tcBorders>
              <w:top w:val="single" w:color="auto" w:sz="4" w:space="0"/>
              <w:left w:val="single" w:color="auto" w:sz="4" w:space="0"/>
              <w:bottom w:val="single" w:color="auto" w:sz="4" w:space="0"/>
              <w:right w:val="single" w:color="auto" w:sz="4" w:space="0"/>
            </w:tcBorders>
            <w:noWrap w:val="0"/>
            <w:vAlign w:val="center"/>
          </w:tcPr>
          <w:p w14:paraId="6BDF4366">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退货操作完成后，系统应自动将退货信息推送至医院信息管理系统（HIS），确保数据的实时同步与更新，及时获取准确的库存动态，及时更新库存记录</w:t>
            </w:r>
          </w:p>
        </w:tc>
        <w:tc>
          <w:tcPr>
            <w:tcW w:w="775" w:type="dxa"/>
            <w:vMerge w:val="restart"/>
            <w:tcBorders>
              <w:top w:val="single" w:color="auto" w:sz="4" w:space="0"/>
              <w:left w:val="single" w:color="auto" w:sz="4" w:space="0"/>
              <w:right w:val="single" w:color="auto" w:sz="4" w:space="0"/>
            </w:tcBorders>
            <w:noWrap w:val="0"/>
            <w:vAlign w:val="top"/>
          </w:tcPr>
          <w:p w14:paraId="50351A9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5AF291A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004A318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026B41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EC1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46" w:type="dxa"/>
            <w:vMerge w:val="continue"/>
            <w:tcBorders>
              <w:left w:val="single" w:color="auto" w:sz="4" w:space="0"/>
              <w:right w:val="single" w:color="auto" w:sz="4" w:space="0"/>
            </w:tcBorders>
            <w:noWrap w:val="0"/>
            <w:vAlign w:val="center"/>
          </w:tcPr>
          <w:p w14:paraId="40088D37">
            <w:pPr>
              <w:spacing w:line="360" w:lineRule="auto"/>
            </w:pPr>
          </w:p>
        </w:tc>
        <w:tc>
          <w:tcPr>
            <w:tcW w:w="1157" w:type="dxa"/>
            <w:vMerge w:val="continue"/>
            <w:tcBorders>
              <w:left w:val="single" w:color="auto" w:sz="4" w:space="0"/>
              <w:right w:val="single" w:color="auto" w:sz="4" w:space="0"/>
            </w:tcBorders>
            <w:noWrap w:val="0"/>
            <w:vAlign w:val="center"/>
          </w:tcPr>
          <w:p w14:paraId="6FFA2FFE">
            <w:pPr>
              <w:spacing w:line="360" w:lineRule="auto"/>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FABDB2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系统应支持将退货的基本信息（药品名称、数量等）推送给HIS系统。</w:t>
            </w:r>
          </w:p>
        </w:tc>
        <w:tc>
          <w:tcPr>
            <w:tcW w:w="775" w:type="dxa"/>
            <w:vMerge w:val="continue"/>
            <w:tcBorders>
              <w:left w:val="single" w:color="auto" w:sz="4" w:space="0"/>
              <w:right w:val="single" w:color="auto" w:sz="4" w:space="0"/>
            </w:tcBorders>
            <w:noWrap w:val="0"/>
            <w:vAlign w:val="top"/>
          </w:tcPr>
          <w:p w14:paraId="47DF44DC">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60F28CB7">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24F39D61">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1ED1D5F6">
            <w:pPr>
              <w:spacing w:line="360" w:lineRule="auto"/>
              <w:rPr>
                <w:rFonts w:hint="eastAsia" w:ascii="仿宋" w:hAnsi="仿宋" w:eastAsia="仿宋" w:cstheme="minorBidi"/>
                <w:bCs/>
                <w:kern w:val="2"/>
                <w:sz w:val="21"/>
                <w:szCs w:val="21"/>
                <w:lang w:val="en-US" w:eastAsia="zh-CN" w:bidi="ar-SA"/>
              </w:rPr>
            </w:pPr>
          </w:p>
        </w:tc>
      </w:tr>
      <w:tr w14:paraId="4AFC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46" w:type="dxa"/>
            <w:vMerge w:val="continue"/>
            <w:tcBorders>
              <w:left w:val="single" w:color="auto" w:sz="4" w:space="0"/>
              <w:right w:val="single" w:color="auto" w:sz="4" w:space="0"/>
            </w:tcBorders>
            <w:noWrap w:val="0"/>
            <w:vAlign w:val="center"/>
          </w:tcPr>
          <w:p w14:paraId="69D0636D">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7993985B">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2DBDB30">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系统应支持将退货的追溯码信息推送给HIS系统，核销医院追溯码信息库内对应药品追溯码，并同步到相关采购平台，确保退货药品信息可追溯。</w:t>
            </w:r>
          </w:p>
        </w:tc>
        <w:tc>
          <w:tcPr>
            <w:tcW w:w="775" w:type="dxa"/>
            <w:vMerge w:val="continue"/>
            <w:tcBorders>
              <w:left w:val="single" w:color="auto" w:sz="4" w:space="0"/>
              <w:bottom w:val="single" w:color="auto" w:sz="4" w:space="0"/>
              <w:right w:val="single" w:color="auto" w:sz="4" w:space="0"/>
            </w:tcBorders>
            <w:noWrap w:val="0"/>
            <w:vAlign w:val="top"/>
          </w:tcPr>
          <w:p w14:paraId="66659896">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18DCEF23">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1C15E323">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567F1E45">
            <w:pPr>
              <w:spacing w:line="360" w:lineRule="auto"/>
              <w:rPr>
                <w:rFonts w:hint="eastAsia" w:ascii="仿宋" w:hAnsi="仿宋" w:eastAsia="仿宋" w:cstheme="minorBidi"/>
                <w:bCs/>
                <w:kern w:val="2"/>
                <w:sz w:val="21"/>
                <w:szCs w:val="21"/>
                <w:lang w:val="en-US" w:eastAsia="zh-CN" w:bidi="ar-SA"/>
              </w:rPr>
            </w:pPr>
          </w:p>
        </w:tc>
      </w:tr>
      <w:tr w14:paraId="47E0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46" w:type="dxa"/>
            <w:vMerge w:val="restart"/>
            <w:tcBorders>
              <w:left w:val="single" w:color="auto" w:sz="4" w:space="0"/>
              <w:right w:val="single" w:color="auto" w:sz="4" w:space="0"/>
            </w:tcBorders>
            <w:noWrap w:val="0"/>
            <w:vAlign w:val="center"/>
          </w:tcPr>
          <w:p w14:paraId="601F36F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bookmarkStart w:id="8" w:name="_Toc193794687"/>
            <w:r>
              <w:rPr>
                <w:rFonts w:hint="eastAsia" w:ascii="仿宋" w:hAnsi="仿宋" w:eastAsia="仿宋" w:cstheme="minorBidi"/>
                <w:bCs/>
                <w:kern w:val="2"/>
                <w:sz w:val="21"/>
                <w:szCs w:val="21"/>
                <w:lang w:val="en-US" w:eastAsia="zh-CN" w:bidi="ar-SA"/>
              </w:rPr>
              <w:t>门（急）诊药房追溯码管理</w:t>
            </w:r>
            <w:bookmarkEnd w:id="8"/>
          </w:p>
        </w:tc>
        <w:tc>
          <w:tcPr>
            <w:tcW w:w="1157" w:type="dxa"/>
            <w:vMerge w:val="restart"/>
            <w:tcBorders>
              <w:left w:val="single" w:color="auto" w:sz="4" w:space="0"/>
              <w:right w:val="single" w:color="auto" w:sz="4" w:space="0"/>
            </w:tcBorders>
            <w:noWrap w:val="0"/>
            <w:vAlign w:val="center"/>
          </w:tcPr>
          <w:p w14:paraId="7ABA1D0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拆零库管理</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AA384C8">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需构建完善的药品拆零库功能模块，能够自动计算处方、医嘱中药品是否拆零，能够高效且精准地将成盒药品的唯一追溯码拆解为每个最小使用单位药品的独立追溯码，从而实现药品流通过程中的全程精准追踪，确保药品质量与安全的可追溯性。</w:t>
            </w:r>
          </w:p>
        </w:tc>
        <w:tc>
          <w:tcPr>
            <w:tcW w:w="775" w:type="dxa"/>
            <w:vMerge w:val="restart"/>
            <w:tcBorders>
              <w:top w:val="single" w:color="auto" w:sz="4" w:space="0"/>
              <w:left w:val="single" w:color="auto" w:sz="4" w:space="0"/>
              <w:right w:val="single" w:color="auto" w:sz="4" w:space="0"/>
            </w:tcBorders>
            <w:noWrap w:val="0"/>
            <w:vAlign w:val="top"/>
          </w:tcPr>
          <w:p w14:paraId="58D9846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4DA330F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20F7C1A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2C5773C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9E2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46" w:type="dxa"/>
            <w:vMerge w:val="continue"/>
            <w:tcBorders>
              <w:left w:val="single" w:color="auto" w:sz="4" w:space="0"/>
              <w:right w:val="single" w:color="auto" w:sz="4" w:space="0"/>
            </w:tcBorders>
            <w:noWrap w:val="0"/>
            <w:vAlign w:val="center"/>
          </w:tcPr>
          <w:p w14:paraId="01066FAE">
            <w:pPr>
              <w:spacing w:line="360" w:lineRule="auto"/>
            </w:pPr>
          </w:p>
        </w:tc>
        <w:tc>
          <w:tcPr>
            <w:tcW w:w="1157" w:type="dxa"/>
            <w:vMerge w:val="continue"/>
            <w:tcBorders>
              <w:left w:val="single" w:color="auto" w:sz="4" w:space="0"/>
              <w:right w:val="single" w:color="auto" w:sz="4" w:space="0"/>
            </w:tcBorders>
            <w:noWrap w:val="0"/>
            <w:vAlign w:val="center"/>
          </w:tcPr>
          <w:p w14:paraId="2F3F79B6">
            <w:pPr>
              <w:spacing w:line="360" w:lineRule="auto"/>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049FCB3A">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拆零库设置功能：系统应支持药师根据实际需求，按照药房及药品的具体维度灵活进行拆零库的设置操作，满足不同药房、不同药品种类的个性化拆零管理要求。</w:t>
            </w:r>
          </w:p>
        </w:tc>
        <w:tc>
          <w:tcPr>
            <w:tcW w:w="775" w:type="dxa"/>
            <w:vMerge w:val="continue"/>
            <w:tcBorders>
              <w:left w:val="single" w:color="auto" w:sz="4" w:space="0"/>
              <w:right w:val="single" w:color="auto" w:sz="4" w:space="0"/>
            </w:tcBorders>
            <w:noWrap w:val="0"/>
            <w:vAlign w:val="top"/>
          </w:tcPr>
          <w:p w14:paraId="4F9D1168">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6366FD2A">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58B21C1B">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040F2A29">
            <w:pPr>
              <w:spacing w:line="360" w:lineRule="auto"/>
              <w:rPr>
                <w:rFonts w:hint="eastAsia" w:ascii="仿宋" w:hAnsi="仿宋" w:eastAsia="仿宋" w:cstheme="minorBidi"/>
                <w:bCs/>
                <w:kern w:val="2"/>
                <w:sz w:val="21"/>
                <w:szCs w:val="21"/>
                <w:lang w:val="en-US" w:eastAsia="zh-CN" w:bidi="ar-SA"/>
              </w:rPr>
            </w:pPr>
          </w:p>
        </w:tc>
      </w:tr>
      <w:tr w14:paraId="2D41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46" w:type="dxa"/>
            <w:vMerge w:val="continue"/>
            <w:tcBorders>
              <w:left w:val="single" w:color="auto" w:sz="4" w:space="0"/>
              <w:right w:val="single" w:color="auto" w:sz="4" w:space="0"/>
            </w:tcBorders>
            <w:noWrap w:val="0"/>
            <w:vAlign w:val="center"/>
          </w:tcPr>
          <w:p w14:paraId="0133D21E">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3619CCAE">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46E8B913">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追溯码拆零操作：系统应具备便捷的追溯码拆零功能，药师能够轻松选择已经设置好的拆零库，快速启动追溯码拆零流程，将成盒药品的唯一追溯码准确拆解为拆零追溯码，确保每个最小使用单位药品均拥有独立且可追溯的标识，满足药品精细化管理与质量监管的需要。</w:t>
            </w:r>
          </w:p>
        </w:tc>
        <w:tc>
          <w:tcPr>
            <w:tcW w:w="775" w:type="dxa"/>
            <w:vMerge w:val="continue"/>
            <w:tcBorders>
              <w:left w:val="single" w:color="auto" w:sz="4" w:space="0"/>
              <w:bottom w:val="single" w:color="auto" w:sz="4" w:space="0"/>
              <w:right w:val="single" w:color="auto" w:sz="4" w:space="0"/>
            </w:tcBorders>
            <w:noWrap w:val="0"/>
            <w:vAlign w:val="top"/>
          </w:tcPr>
          <w:p w14:paraId="42ED22D0">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3C0E43E3">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1E5DD71A">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445F6B20">
            <w:pPr>
              <w:spacing w:line="360" w:lineRule="auto"/>
              <w:rPr>
                <w:rFonts w:hint="eastAsia" w:ascii="仿宋" w:hAnsi="仿宋" w:eastAsia="仿宋" w:cstheme="minorBidi"/>
                <w:bCs/>
                <w:kern w:val="2"/>
                <w:sz w:val="21"/>
                <w:szCs w:val="21"/>
                <w:lang w:val="en-US" w:eastAsia="zh-CN" w:bidi="ar-SA"/>
              </w:rPr>
            </w:pPr>
          </w:p>
        </w:tc>
      </w:tr>
      <w:tr w14:paraId="1306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A20890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0432699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多处方合并</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5063A810">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具备多处方识别与合并发药功能，精准识别患者多个处方条码或标签头信息。系统应通过智能算法自动关联整合同一患者的多个处方，实现一次性合并发药，避免发药遗漏或错误，确保发药准确性和安全性。</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ECDECB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36AB08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4FE4BB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D593F9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516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46" w:type="dxa"/>
            <w:vMerge w:val="continue"/>
            <w:tcBorders>
              <w:left w:val="single" w:color="auto" w:sz="4" w:space="0"/>
              <w:right w:val="single" w:color="auto" w:sz="4" w:space="0"/>
            </w:tcBorders>
            <w:noWrap w:val="0"/>
            <w:vAlign w:val="center"/>
          </w:tcPr>
          <w:p w14:paraId="47ABB86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205E4F93">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门（急）诊药房追溯码采集</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A7688D6">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系统应融合 PDA 设备与高拍仪，实现数据采集与处理的智能化，具备以下功能：过滤无效追溯码、整盒药品追溯码采集、拆零药品追溯码分配。</w:t>
            </w:r>
          </w:p>
        </w:tc>
        <w:tc>
          <w:tcPr>
            <w:tcW w:w="775" w:type="dxa"/>
            <w:vMerge w:val="restart"/>
            <w:tcBorders>
              <w:top w:val="single" w:color="auto" w:sz="4" w:space="0"/>
              <w:left w:val="single" w:color="auto" w:sz="4" w:space="0"/>
              <w:right w:val="single" w:color="auto" w:sz="4" w:space="0"/>
            </w:tcBorders>
            <w:noWrap w:val="0"/>
            <w:vAlign w:val="top"/>
          </w:tcPr>
          <w:p w14:paraId="5E7E519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40D2ED4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0904134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42F160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D59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46" w:type="dxa"/>
            <w:vMerge w:val="continue"/>
            <w:tcBorders>
              <w:left w:val="single" w:color="auto" w:sz="4" w:space="0"/>
              <w:right w:val="single" w:color="auto" w:sz="4" w:space="0"/>
            </w:tcBorders>
            <w:noWrap w:val="0"/>
            <w:vAlign w:val="center"/>
          </w:tcPr>
          <w:p w14:paraId="019BE402">
            <w:pPr>
              <w:spacing w:line="360" w:lineRule="auto"/>
            </w:pPr>
          </w:p>
        </w:tc>
        <w:tc>
          <w:tcPr>
            <w:tcW w:w="1157" w:type="dxa"/>
            <w:vMerge w:val="continue"/>
            <w:tcBorders>
              <w:left w:val="single" w:color="auto" w:sz="4" w:space="0"/>
              <w:right w:val="single" w:color="auto" w:sz="4" w:space="0"/>
            </w:tcBorders>
            <w:noWrap w:val="0"/>
            <w:vAlign w:val="center"/>
          </w:tcPr>
          <w:p w14:paraId="72A4B5C0">
            <w:pPr>
              <w:spacing w:line="360" w:lineRule="auto"/>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45B56FF">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过滤无效追溯码：系统应支持自动识别并过滤掉无追溯码的药品。</w:t>
            </w:r>
          </w:p>
        </w:tc>
        <w:tc>
          <w:tcPr>
            <w:tcW w:w="775" w:type="dxa"/>
            <w:vMerge w:val="continue"/>
            <w:tcBorders>
              <w:left w:val="single" w:color="auto" w:sz="4" w:space="0"/>
              <w:right w:val="single" w:color="auto" w:sz="4" w:space="0"/>
            </w:tcBorders>
            <w:noWrap w:val="0"/>
            <w:vAlign w:val="top"/>
          </w:tcPr>
          <w:p w14:paraId="21F1BF71">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2DD5D1AD">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21AF2345">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3B74FFF2">
            <w:pPr>
              <w:spacing w:line="360" w:lineRule="auto"/>
              <w:rPr>
                <w:rFonts w:hint="eastAsia" w:ascii="仿宋" w:hAnsi="仿宋" w:eastAsia="仿宋" w:cstheme="minorBidi"/>
                <w:bCs/>
                <w:kern w:val="2"/>
                <w:sz w:val="21"/>
                <w:szCs w:val="21"/>
                <w:lang w:val="en-US" w:eastAsia="zh-CN" w:bidi="ar-SA"/>
              </w:rPr>
            </w:pPr>
          </w:p>
        </w:tc>
      </w:tr>
      <w:tr w14:paraId="42EA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46" w:type="dxa"/>
            <w:vMerge w:val="continue"/>
            <w:tcBorders>
              <w:left w:val="single" w:color="auto" w:sz="4" w:space="0"/>
              <w:right w:val="single" w:color="auto" w:sz="4" w:space="0"/>
            </w:tcBorders>
            <w:noWrap w:val="0"/>
            <w:vAlign w:val="center"/>
          </w:tcPr>
          <w:p w14:paraId="13D4B1D8">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0B75E949">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5ED49BE">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整盒药品追溯码采集：系统应支持准确抓取整盒未拆封药品的追溯码。</w:t>
            </w:r>
          </w:p>
        </w:tc>
        <w:tc>
          <w:tcPr>
            <w:tcW w:w="775" w:type="dxa"/>
            <w:vMerge w:val="continue"/>
            <w:tcBorders>
              <w:left w:val="single" w:color="auto" w:sz="4" w:space="0"/>
              <w:right w:val="single" w:color="auto" w:sz="4" w:space="0"/>
            </w:tcBorders>
            <w:noWrap w:val="0"/>
            <w:vAlign w:val="top"/>
          </w:tcPr>
          <w:p w14:paraId="7B9723D9">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0256B925">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4524C768">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6667755D">
            <w:pPr>
              <w:spacing w:line="360" w:lineRule="auto"/>
              <w:rPr>
                <w:rFonts w:hint="eastAsia" w:ascii="仿宋" w:hAnsi="仿宋" w:eastAsia="仿宋" w:cstheme="minorBidi"/>
                <w:bCs/>
                <w:kern w:val="2"/>
                <w:sz w:val="21"/>
                <w:szCs w:val="21"/>
                <w:lang w:val="en-US" w:eastAsia="zh-CN" w:bidi="ar-SA"/>
              </w:rPr>
            </w:pPr>
          </w:p>
        </w:tc>
      </w:tr>
      <w:tr w14:paraId="58A7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46" w:type="dxa"/>
            <w:vMerge w:val="continue"/>
            <w:tcBorders>
              <w:left w:val="single" w:color="auto" w:sz="4" w:space="0"/>
              <w:right w:val="single" w:color="auto" w:sz="4" w:space="0"/>
            </w:tcBorders>
            <w:noWrap w:val="0"/>
            <w:vAlign w:val="center"/>
          </w:tcPr>
          <w:p w14:paraId="198BFAB7">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6F5470E8">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482FF602">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拆零药品追溯码分配：系统应支持根据处方发药剂量，自动识别拆零药品剂量，并根据拆零库的追溯码信息，自动为拆零部分药品分配追溯码，确保每个最小单元药品的精准追踪，提升管理效率与安全性，保证供应链透明及质量可控。</w:t>
            </w:r>
          </w:p>
        </w:tc>
        <w:tc>
          <w:tcPr>
            <w:tcW w:w="775" w:type="dxa"/>
            <w:vMerge w:val="continue"/>
            <w:tcBorders>
              <w:left w:val="single" w:color="auto" w:sz="4" w:space="0"/>
              <w:bottom w:val="single" w:color="auto" w:sz="4" w:space="0"/>
              <w:right w:val="single" w:color="auto" w:sz="4" w:space="0"/>
            </w:tcBorders>
            <w:noWrap w:val="0"/>
            <w:vAlign w:val="top"/>
          </w:tcPr>
          <w:p w14:paraId="5AD9F839">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5C8F139F">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4FAD541C">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1EB5D45F">
            <w:pPr>
              <w:spacing w:line="360" w:lineRule="auto"/>
              <w:rPr>
                <w:rFonts w:hint="eastAsia" w:ascii="仿宋" w:hAnsi="仿宋" w:eastAsia="仿宋" w:cstheme="minorBidi"/>
                <w:bCs/>
                <w:kern w:val="2"/>
                <w:sz w:val="21"/>
                <w:szCs w:val="21"/>
                <w:lang w:val="en-US" w:eastAsia="zh-CN" w:bidi="ar-SA"/>
              </w:rPr>
            </w:pPr>
          </w:p>
        </w:tc>
      </w:tr>
      <w:tr w14:paraId="4C32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46" w:type="dxa"/>
            <w:vMerge w:val="continue"/>
            <w:tcBorders>
              <w:left w:val="single" w:color="auto" w:sz="4" w:space="0"/>
              <w:right w:val="single" w:color="auto" w:sz="4" w:space="0"/>
            </w:tcBorders>
            <w:noWrap w:val="0"/>
            <w:vAlign w:val="center"/>
          </w:tcPr>
          <w:p w14:paraId="25B119E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31BF7BFF">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智能预警提醒</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9BB0FAF">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系统需具备药品安全性提醒与智能预警功能</w:t>
            </w:r>
          </w:p>
        </w:tc>
        <w:tc>
          <w:tcPr>
            <w:tcW w:w="775" w:type="dxa"/>
            <w:vMerge w:val="restart"/>
            <w:tcBorders>
              <w:top w:val="single" w:color="auto" w:sz="4" w:space="0"/>
              <w:left w:val="single" w:color="auto" w:sz="4" w:space="0"/>
              <w:right w:val="single" w:color="auto" w:sz="4" w:space="0"/>
            </w:tcBorders>
            <w:noWrap w:val="0"/>
            <w:vAlign w:val="top"/>
          </w:tcPr>
          <w:p w14:paraId="31FCACC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5F9AC2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7A7B482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270B225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6C5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46" w:type="dxa"/>
            <w:vMerge w:val="continue"/>
            <w:tcBorders>
              <w:left w:val="single" w:color="auto" w:sz="4" w:space="0"/>
              <w:right w:val="single" w:color="auto" w:sz="4" w:space="0"/>
            </w:tcBorders>
            <w:noWrap w:val="0"/>
            <w:vAlign w:val="center"/>
          </w:tcPr>
          <w:p w14:paraId="69A3C8C6">
            <w:pPr>
              <w:spacing w:line="360" w:lineRule="auto"/>
            </w:pPr>
          </w:p>
        </w:tc>
        <w:tc>
          <w:tcPr>
            <w:tcW w:w="1157" w:type="dxa"/>
            <w:vMerge w:val="continue"/>
            <w:tcBorders>
              <w:left w:val="single" w:color="auto" w:sz="4" w:space="0"/>
              <w:right w:val="single" w:color="auto" w:sz="4" w:space="0"/>
            </w:tcBorders>
            <w:noWrap w:val="0"/>
            <w:vAlign w:val="center"/>
          </w:tcPr>
          <w:p w14:paraId="12312B7A">
            <w:pPr>
              <w:spacing w:line="360" w:lineRule="auto"/>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4369BF72">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当遇到过期药品的时候，系统应支持在药品追溯码扫码核发时提醒药品已过期，页面弹窗警示内容，并禁止核发。</w:t>
            </w:r>
          </w:p>
        </w:tc>
        <w:tc>
          <w:tcPr>
            <w:tcW w:w="775" w:type="dxa"/>
            <w:vMerge w:val="continue"/>
            <w:tcBorders>
              <w:left w:val="single" w:color="auto" w:sz="4" w:space="0"/>
              <w:right w:val="single" w:color="auto" w:sz="4" w:space="0"/>
            </w:tcBorders>
            <w:noWrap w:val="0"/>
            <w:vAlign w:val="top"/>
          </w:tcPr>
          <w:p w14:paraId="3C1931EB">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73F5F212">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13E8D9E0">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0BFA712D">
            <w:pPr>
              <w:spacing w:line="360" w:lineRule="auto"/>
              <w:rPr>
                <w:rFonts w:hint="eastAsia" w:ascii="仿宋" w:hAnsi="仿宋" w:eastAsia="仿宋" w:cstheme="minorBidi"/>
                <w:bCs/>
                <w:kern w:val="2"/>
                <w:sz w:val="21"/>
                <w:szCs w:val="21"/>
                <w:lang w:val="en-US" w:eastAsia="zh-CN" w:bidi="ar-SA"/>
              </w:rPr>
            </w:pPr>
          </w:p>
        </w:tc>
      </w:tr>
      <w:tr w14:paraId="681E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46" w:type="dxa"/>
            <w:vMerge w:val="continue"/>
            <w:tcBorders>
              <w:left w:val="single" w:color="auto" w:sz="4" w:space="0"/>
              <w:right w:val="single" w:color="auto" w:sz="4" w:space="0"/>
            </w:tcBorders>
            <w:noWrap w:val="0"/>
            <w:vAlign w:val="center"/>
          </w:tcPr>
          <w:p w14:paraId="14EF87DD">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404A964A">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0AB0031">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系统应支持能在多拿药、少拿药、错拿药、重复发药、条码异常、追溯码异常等场景下，弹窗预警内容，提示配方错误，并禁止核发操作。</w:t>
            </w:r>
          </w:p>
        </w:tc>
        <w:tc>
          <w:tcPr>
            <w:tcW w:w="775" w:type="dxa"/>
            <w:vMerge w:val="continue"/>
            <w:tcBorders>
              <w:left w:val="single" w:color="auto" w:sz="4" w:space="0"/>
              <w:right w:val="single" w:color="auto" w:sz="4" w:space="0"/>
            </w:tcBorders>
            <w:noWrap w:val="0"/>
            <w:vAlign w:val="top"/>
          </w:tcPr>
          <w:p w14:paraId="792EE646">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3CB80277">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1070A933">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72A9F2F2">
            <w:pPr>
              <w:spacing w:line="360" w:lineRule="auto"/>
              <w:rPr>
                <w:rFonts w:hint="eastAsia" w:ascii="仿宋" w:hAnsi="仿宋" w:eastAsia="仿宋" w:cstheme="minorBidi"/>
                <w:bCs/>
                <w:kern w:val="2"/>
                <w:sz w:val="21"/>
                <w:szCs w:val="21"/>
                <w:lang w:val="en-US" w:eastAsia="zh-CN" w:bidi="ar-SA"/>
              </w:rPr>
            </w:pPr>
          </w:p>
        </w:tc>
      </w:tr>
      <w:tr w14:paraId="30A2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46" w:type="dxa"/>
            <w:vMerge w:val="continue"/>
            <w:tcBorders>
              <w:left w:val="single" w:color="auto" w:sz="4" w:space="0"/>
              <w:right w:val="single" w:color="auto" w:sz="4" w:space="0"/>
            </w:tcBorders>
            <w:noWrap w:val="0"/>
            <w:vAlign w:val="center"/>
          </w:tcPr>
          <w:p w14:paraId="46F6CE92">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5BCD950C">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DCBCD70">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系统供应支持不同患者条码同时进行扫码核发时，系统应提示条码错误预警，并禁止本次核发操作。</w:t>
            </w:r>
          </w:p>
        </w:tc>
        <w:tc>
          <w:tcPr>
            <w:tcW w:w="775" w:type="dxa"/>
            <w:vMerge w:val="continue"/>
            <w:tcBorders>
              <w:left w:val="single" w:color="auto" w:sz="4" w:space="0"/>
              <w:bottom w:val="single" w:color="auto" w:sz="4" w:space="0"/>
              <w:right w:val="single" w:color="auto" w:sz="4" w:space="0"/>
            </w:tcBorders>
            <w:noWrap w:val="0"/>
            <w:vAlign w:val="top"/>
          </w:tcPr>
          <w:p w14:paraId="1ECA1FAE">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369DAB4E">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5A6AA683">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6D769B84">
            <w:pPr>
              <w:spacing w:line="360" w:lineRule="auto"/>
              <w:rPr>
                <w:rFonts w:hint="eastAsia" w:ascii="仿宋" w:hAnsi="仿宋" w:eastAsia="仿宋" w:cstheme="minorBidi"/>
                <w:bCs/>
                <w:kern w:val="2"/>
                <w:sz w:val="21"/>
                <w:szCs w:val="21"/>
                <w:lang w:val="en-US" w:eastAsia="zh-CN" w:bidi="ar-SA"/>
              </w:rPr>
            </w:pPr>
          </w:p>
        </w:tc>
      </w:tr>
      <w:tr w14:paraId="1F4F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46" w:type="dxa"/>
            <w:vMerge w:val="continue"/>
            <w:tcBorders>
              <w:left w:val="single" w:color="auto" w:sz="4" w:space="0"/>
              <w:right w:val="single" w:color="auto" w:sz="4" w:space="0"/>
            </w:tcBorders>
            <w:noWrap w:val="0"/>
            <w:vAlign w:val="center"/>
          </w:tcPr>
          <w:p w14:paraId="64F5588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3049675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一键推送</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D36EAA0">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完成药品追溯码信息核验后，系统应自动将发药信息推送至医院信息管理系统（HIS），实现信息的实时同步，确保能够及时更新库存记录，提高药品发放流程的效率和准确性，确保药品管理的规范化和透明度，提升医院整体的运营效率和服务质量。</w:t>
            </w:r>
          </w:p>
        </w:tc>
        <w:tc>
          <w:tcPr>
            <w:tcW w:w="775" w:type="dxa"/>
            <w:vMerge w:val="restart"/>
            <w:tcBorders>
              <w:top w:val="single" w:color="auto" w:sz="4" w:space="0"/>
              <w:left w:val="single" w:color="auto" w:sz="4" w:space="0"/>
              <w:right w:val="single" w:color="auto" w:sz="4" w:space="0"/>
            </w:tcBorders>
            <w:noWrap w:val="0"/>
            <w:vAlign w:val="top"/>
          </w:tcPr>
          <w:p w14:paraId="1AAC0A9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4EA18DC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51C82AE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0C62CB8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7B8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46" w:type="dxa"/>
            <w:vMerge w:val="continue"/>
            <w:tcBorders>
              <w:left w:val="single" w:color="auto" w:sz="4" w:space="0"/>
              <w:right w:val="single" w:color="auto" w:sz="4" w:space="0"/>
            </w:tcBorders>
            <w:noWrap w:val="0"/>
            <w:vAlign w:val="center"/>
          </w:tcPr>
          <w:p w14:paraId="0809D714">
            <w:pPr>
              <w:spacing w:line="360" w:lineRule="auto"/>
            </w:pPr>
          </w:p>
        </w:tc>
        <w:tc>
          <w:tcPr>
            <w:tcW w:w="1157" w:type="dxa"/>
            <w:vMerge w:val="continue"/>
            <w:tcBorders>
              <w:left w:val="single" w:color="auto" w:sz="4" w:space="0"/>
              <w:right w:val="single" w:color="auto" w:sz="4" w:space="0"/>
            </w:tcBorders>
            <w:noWrap w:val="0"/>
            <w:vAlign w:val="center"/>
          </w:tcPr>
          <w:p w14:paraId="224ABFBF">
            <w:pPr>
              <w:spacing w:line="360" w:lineRule="auto"/>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0EF9B223">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系统应支持将发药的基本信息（药品名称、数量等）推送给HIS系统。</w:t>
            </w:r>
          </w:p>
        </w:tc>
        <w:tc>
          <w:tcPr>
            <w:tcW w:w="775" w:type="dxa"/>
            <w:vMerge w:val="continue"/>
            <w:tcBorders>
              <w:left w:val="single" w:color="auto" w:sz="4" w:space="0"/>
              <w:right w:val="single" w:color="auto" w:sz="4" w:space="0"/>
            </w:tcBorders>
            <w:noWrap w:val="0"/>
            <w:vAlign w:val="top"/>
          </w:tcPr>
          <w:p w14:paraId="3A8A7B07">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39BAE12B">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5CD1E89A">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293C6A96">
            <w:pPr>
              <w:spacing w:line="360" w:lineRule="auto"/>
              <w:rPr>
                <w:rFonts w:hint="eastAsia" w:ascii="仿宋" w:hAnsi="仿宋" w:eastAsia="仿宋" w:cstheme="minorBidi"/>
                <w:bCs/>
                <w:kern w:val="2"/>
                <w:sz w:val="21"/>
                <w:szCs w:val="21"/>
                <w:lang w:val="en-US" w:eastAsia="zh-CN" w:bidi="ar-SA"/>
              </w:rPr>
            </w:pPr>
          </w:p>
        </w:tc>
      </w:tr>
      <w:tr w14:paraId="70F7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46" w:type="dxa"/>
            <w:vMerge w:val="continue"/>
            <w:tcBorders>
              <w:left w:val="single" w:color="auto" w:sz="4" w:space="0"/>
              <w:right w:val="single" w:color="auto" w:sz="4" w:space="0"/>
            </w:tcBorders>
            <w:noWrap w:val="0"/>
            <w:vAlign w:val="center"/>
          </w:tcPr>
          <w:p w14:paraId="6C28A18E">
            <w:pPr>
              <w:spacing w:line="360" w:lineRule="auto"/>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79D4C2BD">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3885E9B">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系统应支持将发药的追溯码信息推送给HIS系统。</w:t>
            </w:r>
          </w:p>
        </w:tc>
        <w:tc>
          <w:tcPr>
            <w:tcW w:w="775" w:type="dxa"/>
            <w:vMerge w:val="continue"/>
            <w:tcBorders>
              <w:left w:val="single" w:color="auto" w:sz="4" w:space="0"/>
              <w:bottom w:val="single" w:color="auto" w:sz="4" w:space="0"/>
              <w:right w:val="single" w:color="auto" w:sz="4" w:space="0"/>
            </w:tcBorders>
            <w:noWrap w:val="0"/>
            <w:vAlign w:val="top"/>
          </w:tcPr>
          <w:p w14:paraId="172CCDCC">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6DC81A30">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0A0B7E10">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14FA444C">
            <w:pPr>
              <w:spacing w:line="360" w:lineRule="auto"/>
              <w:rPr>
                <w:rFonts w:hint="eastAsia" w:ascii="仿宋" w:hAnsi="仿宋" w:eastAsia="仿宋" w:cstheme="minorBidi"/>
                <w:bCs/>
                <w:kern w:val="2"/>
                <w:sz w:val="21"/>
                <w:szCs w:val="21"/>
                <w:lang w:val="en-US" w:eastAsia="zh-CN" w:bidi="ar-SA"/>
              </w:rPr>
            </w:pPr>
          </w:p>
        </w:tc>
      </w:tr>
      <w:tr w14:paraId="7E42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6ADC16A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住院药房追溯码管理</w:t>
            </w:r>
          </w:p>
        </w:tc>
        <w:tc>
          <w:tcPr>
            <w:tcW w:w="1157" w:type="dxa"/>
            <w:tcBorders>
              <w:left w:val="single" w:color="auto" w:sz="4" w:space="0"/>
              <w:right w:val="single" w:color="auto" w:sz="4" w:space="0"/>
            </w:tcBorders>
            <w:noWrap w:val="0"/>
            <w:vAlign w:val="center"/>
          </w:tcPr>
          <w:p w14:paraId="35F4141B">
            <w:pPr>
              <w:spacing w:line="360" w:lineRule="auto"/>
              <w:rPr>
                <w:rFonts w:hint="eastAsia" w:ascii="仿宋" w:hAnsi="仿宋" w:eastAsia="仿宋" w:cstheme="minorBidi"/>
                <w:bCs/>
                <w:kern w:val="2"/>
                <w:sz w:val="21"/>
                <w:szCs w:val="21"/>
                <w:lang w:val="en-US" w:eastAsia="zh-CN" w:bidi="ar-SA"/>
              </w:rPr>
            </w:pPr>
            <w:bookmarkStart w:id="9" w:name="_Toc193794689"/>
            <w:r>
              <w:rPr>
                <w:rFonts w:hint="eastAsia" w:ascii="仿宋" w:hAnsi="仿宋" w:eastAsia="仿宋" w:cstheme="minorBidi"/>
                <w:bCs/>
                <w:kern w:val="2"/>
                <w:sz w:val="21"/>
                <w:szCs w:val="21"/>
                <w:lang w:val="en-US" w:eastAsia="zh-CN" w:bidi="ar-SA"/>
              </w:rPr>
              <w:t>拆零库管理</w:t>
            </w:r>
            <w:bookmarkEnd w:id="9"/>
          </w:p>
        </w:tc>
        <w:tc>
          <w:tcPr>
            <w:tcW w:w="4190" w:type="dxa"/>
            <w:tcBorders>
              <w:top w:val="single" w:color="auto" w:sz="4" w:space="0"/>
              <w:left w:val="single" w:color="auto" w:sz="4" w:space="0"/>
              <w:bottom w:val="single" w:color="auto" w:sz="4" w:space="0"/>
              <w:right w:val="single" w:color="auto" w:sz="4" w:space="0"/>
            </w:tcBorders>
            <w:noWrap w:val="0"/>
            <w:vAlign w:val="top"/>
          </w:tcPr>
          <w:p w14:paraId="2AA6AFC1">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拆零库追溯码管理同门急诊药房追溯码管理</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2E430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1271B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771314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1B9415E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0E6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0018177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478B94A5">
            <w:pPr>
              <w:spacing w:line="360" w:lineRule="auto"/>
              <w:rPr>
                <w:rFonts w:hint="eastAsia" w:ascii="仿宋" w:hAnsi="仿宋" w:eastAsia="仿宋" w:cstheme="minorBidi"/>
                <w:bCs/>
                <w:kern w:val="2"/>
                <w:sz w:val="21"/>
                <w:szCs w:val="21"/>
                <w:lang w:val="en-US" w:eastAsia="zh-CN" w:bidi="ar-SA"/>
              </w:rPr>
            </w:pPr>
            <w:bookmarkStart w:id="10" w:name="_Toc193794691"/>
            <w:r>
              <w:rPr>
                <w:rFonts w:hint="eastAsia" w:ascii="仿宋" w:hAnsi="仿宋" w:eastAsia="仿宋" w:cstheme="minorBidi"/>
                <w:bCs/>
                <w:kern w:val="2"/>
                <w:sz w:val="21"/>
                <w:szCs w:val="21"/>
                <w:lang w:val="en-US" w:eastAsia="zh-CN" w:bidi="ar-SA"/>
              </w:rPr>
              <w:t>追溯码采集</w:t>
            </w:r>
            <w:bookmarkEnd w:id="10"/>
          </w:p>
        </w:tc>
        <w:tc>
          <w:tcPr>
            <w:tcW w:w="4190" w:type="dxa"/>
            <w:tcBorders>
              <w:top w:val="single" w:color="auto" w:sz="4" w:space="0"/>
              <w:left w:val="single" w:color="auto" w:sz="4" w:space="0"/>
              <w:bottom w:val="single" w:color="auto" w:sz="4" w:space="0"/>
              <w:right w:val="single" w:color="auto" w:sz="4" w:space="0"/>
            </w:tcBorders>
            <w:noWrap w:val="0"/>
            <w:vAlign w:val="center"/>
          </w:tcPr>
          <w:p w14:paraId="3A29340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追溯码采集同门急诊药房追溯码管理。</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C677D9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2D102F5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764DD7E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752D960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5B9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153D4D4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3D1462C9">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B05AA33">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有“先采集后上传”功能，确保上传至医保平台的结算明细与销售明细紧密关联，数据准确无误，有效支持医保结算业务的需求。</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641F3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C08C1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8F17BB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53270B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CAB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6527962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4A96A857">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智能预警提醒</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4FEAAC3B">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智能预警提醒同门急诊药房追溯码管理</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92493D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947EA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70E08E6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2569185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9F5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2A0B42C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346D515A">
            <w:pPr>
              <w:spacing w:line="360" w:lineRule="auto"/>
              <w:rPr>
                <w:rFonts w:hint="eastAsia" w:ascii="仿宋" w:hAnsi="仿宋" w:eastAsia="仿宋" w:cstheme="minorBidi"/>
                <w:bCs/>
                <w:kern w:val="2"/>
                <w:sz w:val="21"/>
                <w:szCs w:val="21"/>
                <w:lang w:val="en-US" w:eastAsia="zh-CN" w:bidi="ar-SA"/>
              </w:rPr>
            </w:pPr>
            <w:bookmarkStart w:id="11" w:name="_Toc193794694"/>
            <w:r>
              <w:rPr>
                <w:rFonts w:hint="eastAsia" w:ascii="仿宋" w:hAnsi="仿宋" w:eastAsia="仿宋" w:cstheme="minorBidi"/>
                <w:bCs/>
                <w:kern w:val="2"/>
                <w:sz w:val="21"/>
                <w:szCs w:val="21"/>
                <w:lang w:val="en-US" w:eastAsia="zh-CN" w:bidi="ar-SA"/>
              </w:rPr>
              <w:t>一键推送</w:t>
            </w:r>
            <w:bookmarkEnd w:id="11"/>
          </w:p>
        </w:tc>
        <w:tc>
          <w:tcPr>
            <w:tcW w:w="4190" w:type="dxa"/>
            <w:tcBorders>
              <w:top w:val="single" w:color="auto" w:sz="4" w:space="0"/>
              <w:left w:val="single" w:color="auto" w:sz="4" w:space="0"/>
              <w:bottom w:val="single" w:color="auto" w:sz="4" w:space="0"/>
              <w:right w:val="single" w:color="auto" w:sz="4" w:space="0"/>
            </w:tcBorders>
            <w:noWrap w:val="0"/>
            <w:vAlign w:val="top"/>
          </w:tcPr>
          <w:p w14:paraId="7E2E4EEF">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一键推送同门急诊药房追溯码管理。</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BFC7A9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530B0E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270894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BB456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E39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46" w:type="dxa"/>
            <w:vMerge w:val="continue"/>
            <w:tcBorders>
              <w:left w:val="single" w:color="auto" w:sz="4" w:space="0"/>
              <w:right w:val="single" w:color="auto" w:sz="4" w:space="0"/>
            </w:tcBorders>
            <w:noWrap w:val="0"/>
            <w:vAlign w:val="center"/>
          </w:tcPr>
          <w:p w14:paraId="0AAEC5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0C1FE84E">
            <w:pPr>
              <w:spacing w:line="360" w:lineRule="auto"/>
              <w:rPr>
                <w:rFonts w:hint="eastAsia" w:ascii="仿宋" w:hAnsi="仿宋" w:eastAsia="仿宋" w:cstheme="minorBidi"/>
                <w:bCs/>
                <w:kern w:val="2"/>
                <w:sz w:val="21"/>
                <w:szCs w:val="21"/>
                <w:lang w:val="en-US" w:eastAsia="zh-CN" w:bidi="ar-SA"/>
              </w:rPr>
            </w:pPr>
            <w:bookmarkStart w:id="12" w:name="_Toc193794709"/>
            <w:r>
              <w:rPr>
                <w:rFonts w:hint="eastAsia" w:ascii="仿宋" w:hAnsi="仿宋" w:eastAsia="仿宋" w:cstheme="minorBidi"/>
                <w:bCs/>
                <w:kern w:val="2"/>
                <w:sz w:val="21"/>
                <w:szCs w:val="21"/>
                <w:lang w:val="en-US" w:eastAsia="zh-CN" w:bidi="ar-SA"/>
              </w:rPr>
              <w:t>出院带药追溯码管理</w:t>
            </w:r>
            <w:bookmarkEnd w:id="12"/>
          </w:p>
        </w:tc>
        <w:tc>
          <w:tcPr>
            <w:tcW w:w="4190" w:type="dxa"/>
            <w:tcBorders>
              <w:top w:val="single" w:color="auto" w:sz="4" w:space="0"/>
              <w:left w:val="single" w:color="auto" w:sz="4" w:space="0"/>
              <w:bottom w:val="single" w:color="auto" w:sz="4" w:space="0"/>
              <w:right w:val="single" w:color="auto" w:sz="4" w:space="0"/>
            </w:tcBorders>
            <w:noWrap w:val="0"/>
            <w:vAlign w:val="center"/>
          </w:tcPr>
          <w:p w14:paraId="6E0185AB">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系统能够对患者出院带药进行追溯码有效管理。</w:t>
            </w:r>
          </w:p>
        </w:tc>
        <w:tc>
          <w:tcPr>
            <w:tcW w:w="775" w:type="dxa"/>
            <w:vMerge w:val="restart"/>
            <w:tcBorders>
              <w:top w:val="single" w:color="auto" w:sz="4" w:space="0"/>
              <w:left w:val="single" w:color="auto" w:sz="4" w:space="0"/>
              <w:right w:val="single" w:color="auto" w:sz="4" w:space="0"/>
            </w:tcBorders>
            <w:noWrap w:val="0"/>
            <w:vAlign w:val="top"/>
          </w:tcPr>
          <w:p w14:paraId="306B9C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vMerge w:val="restart"/>
            <w:tcBorders>
              <w:left w:val="single" w:color="auto" w:sz="4" w:space="0"/>
              <w:right w:val="single" w:color="auto" w:sz="4" w:space="0"/>
            </w:tcBorders>
            <w:noWrap w:val="0"/>
            <w:vAlign w:val="center"/>
          </w:tcPr>
          <w:p w14:paraId="7A2255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vMerge w:val="restart"/>
            <w:tcBorders>
              <w:left w:val="single" w:color="auto" w:sz="4" w:space="0"/>
              <w:right w:val="single" w:color="auto" w:sz="4" w:space="0"/>
            </w:tcBorders>
            <w:noWrap w:val="0"/>
            <w:vAlign w:val="center"/>
          </w:tcPr>
          <w:p w14:paraId="395A5BF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vMerge w:val="restart"/>
            <w:tcBorders>
              <w:left w:val="single" w:color="auto" w:sz="4" w:space="0"/>
              <w:right w:val="single" w:color="auto" w:sz="4" w:space="0"/>
            </w:tcBorders>
            <w:noWrap w:val="0"/>
            <w:vAlign w:val="top"/>
          </w:tcPr>
          <w:p w14:paraId="12E889B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B87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46" w:type="dxa"/>
            <w:vMerge w:val="continue"/>
            <w:tcBorders>
              <w:left w:val="single" w:color="auto" w:sz="4" w:space="0"/>
              <w:right w:val="single" w:color="auto" w:sz="4" w:space="0"/>
            </w:tcBorders>
            <w:noWrap w:val="0"/>
            <w:vAlign w:val="center"/>
          </w:tcPr>
          <w:p w14:paraId="5FBF3226">
            <w:pPr>
              <w:spacing w:line="360" w:lineRule="auto"/>
            </w:pPr>
          </w:p>
        </w:tc>
        <w:tc>
          <w:tcPr>
            <w:tcW w:w="1157" w:type="dxa"/>
            <w:vMerge w:val="continue"/>
            <w:tcBorders>
              <w:left w:val="single" w:color="auto" w:sz="4" w:space="0"/>
              <w:right w:val="single" w:color="auto" w:sz="4" w:space="0"/>
            </w:tcBorders>
            <w:noWrap w:val="0"/>
            <w:vAlign w:val="center"/>
          </w:tcPr>
          <w:p w14:paraId="1B950EE6">
            <w:pPr>
              <w:spacing w:line="360" w:lineRule="auto"/>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F5839E0">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出院带药的追溯码采集、发药信息核验、智能预警提示、一键推送等功能需求同药库入库追溯码管理系统。</w:t>
            </w:r>
          </w:p>
        </w:tc>
        <w:tc>
          <w:tcPr>
            <w:tcW w:w="775" w:type="dxa"/>
            <w:vMerge w:val="continue"/>
            <w:tcBorders>
              <w:left w:val="single" w:color="auto" w:sz="4" w:space="0"/>
              <w:bottom w:val="single" w:color="auto" w:sz="4" w:space="0"/>
              <w:right w:val="single" w:color="auto" w:sz="4" w:space="0"/>
            </w:tcBorders>
            <w:noWrap w:val="0"/>
            <w:vAlign w:val="top"/>
          </w:tcPr>
          <w:p w14:paraId="627DCB33">
            <w:pPr>
              <w:spacing w:line="360" w:lineRule="auto"/>
              <w:rPr>
                <w:rFonts w:hint="eastAsia" w:ascii="仿宋" w:hAnsi="仿宋" w:eastAsia="仿宋" w:cstheme="minorBidi"/>
                <w:bCs/>
                <w:kern w:val="2"/>
                <w:sz w:val="21"/>
                <w:szCs w:val="21"/>
                <w:lang w:val="en-US" w:eastAsia="zh-CN" w:bidi="ar-SA"/>
              </w:rPr>
            </w:pPr>
          </w:p>
        </w:tc>
        <w:tc>
          <w:tcPr>
            <w:tcW w:w="848" w:type="dxa"/>
            <w:vMerge w:val="continue"/>
            <w:tcBorders>
              <w:left w:val="single" w:color="auto" w:sz="4" w:space="0"/>
              <w:right w:val="single" w:color="auto" w:sz="4" w:space="0"/>
            </w:tcBorders>
            <w:noWrap w:val="0"/>
            <w:vAlign w:val="center"/>
          </w:tcPr>
          <w:p w14:paraId="3C478C69">
            <w:pPr>
              <w:spacing w:line="360" w:lineRule="auto"/>
              <w:rPr>
                <w:rFonts w:hint="eastAsia" w:ascii="仿宋" w:hAnsi="仿宋" w:eastAsia="仿宋" w:cstheme="minorBidi"/>
                <w:bCs/>
                <w:kern w:val="2"/>
                <w:sz w:val="21"/>
                <w:szCs w:val="21"/>
                <w:lang w:val="en-US" w:eastAsia="zh-CN" w:bidi="ar-SA"/>
              </w:rPr>
            </w:pPr>
          </w:p>
        </w:tc>
        <w:tc>
          <w:tcPr>
            <w:tcW w:w="1016" w:type="dxa"/>
            <w:vMerge w:val="continue"/>
            <w:tcBorders>
              <w:left w:val="single" w:color="auto" w:sz="4" w:space="0"/>
              <w:right w:val="single" w:color="auto" w:sz="4" w:space="0"/>
            </w:tcBorders>
            <w:noWrap w:val="0"/>
            <w:vAlign w:val="center"/>
          </w:tcPr>
          <w:p w14:paraId="251B6819">
            <w:pPr>
              <w:spacing w:line="360" w:lineRule="auto"/>
              <w:rPr>
                <w:rFonts w:hint="eastAsia" w:ascii="仿宋" w:hAnsi="仿宋" w:eastAsia="仿宋" w:cstheme="minorBidi"/>
                <w:bCs/>
                <w:kern w:val="2"/>
                <w:sz w:val="21"/>
                <w:szCs w:val="21"/>
                <w:lang w:val="en-US" w:eastAsia="zh-CN" w:bidi="ar-SA"/>
              </w:rPr>
            </w:pPr>
          </w:p>
        </w:tc>
        <w:tc>
          <w:tcPr>
            <w:tcW w:w="1020" w:type="dxa"/>
            <w:vMerge w:val="continue"/>
            <w:tcBorders>
              <w:left w:val="single" w:color="auto" w:sz="4" w:space="0"/>
              <w:right w:val="single" w:color="auto" w:sz="4" w:space="0"/>
            </w:tcBorders>
            <w:noWrap w:val="0"/>
            <w:vAlign w:val="top"/>
          </w:tcPr>
          <w:p w14:paraId="189E686B">
            <w:pPr>
              <w:spacing w:line="360" w:lineRule="auto"/>
              <w:rPr>
                <w:rFonts w:hint="eastAsia" w:ascii="仿宋" w:hAnsi="仿宋" w:eastAsia="仿宋" w:cstheme="minorBidi"/>
                <w:bCs/>
                <w:kern w:val="2"/>
                <w:sz w:val="21"/>
                <w:szCs w:val="21"/>
                <w:lang w:val="en-US" w:eastAsia="zh-CN" w:bidi="ar-SA"/>
              </w:rPr>
            </w:pPr>
          </w:p>
        </w:tc>
      </w:tr>
      <w:tr w14:paraId="74FA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31B2F41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bookmarkStart w:id="13" w:name="_Toc193794721"/>
            <w:r>
              <w:rPr>
                <w:rFonts w:hint="eastAsia" w:ascii="仿宋" w:hAnsi="仿宋" w:eastAsia="仿宋" w:cstheme="minorBidi"/>
                <w:bCs/>
                <w:kern w:val="2"/>
                <w:sz w:val="21"/>
                <w:szCs w:val="21"/>
                <w:lang w:val="en-US" w:eastAsia="zh-CN" w:bidi="ar-SA"/>
              </w:rPr>
              <w:t>静配中心追溯码管理</w:t>
            </w:r>
            <w:bookmarkEnd w:id="13"/>
          </w:p>
        </w:tc>
        <w:tc>
          <w:tcPr>
            <w:tcW w:w="1157" w:type="dxa"/>
            <w:tcBorders>
              <w:left w:val="single" w:color="auto" w:sz="4" w:space="0"/>
              <w:right w:val="single" w:color="auto" w:sz="4" w:space="0"/>
            </w:tcBorders>
            <w:noWrap w:val="0"/>
            <w:vAlign w:val="center"/>
          </w:tcPr>
          <w:p w14:paraId="62598258">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拆零库设置</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7192E14E">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支持多维度拆零库设置，自动将整盒药品的追溯码信息拆分成最小单位的追溯码。完成药品赋码流程后，自动将药品的相关信息推送给 HIS 系统，实现信息的及时更新与同步。</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A6D33F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680976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3278E2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4BD3151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75A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4EED6F6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1A8C161E">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拆零库追溯码采集</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3FED9BC7">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拆零库追溯码采集同住院药房追溯码管理。</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0D1C24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517C9D7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55CAA82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5BBCEE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6EF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1D5230C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1E6C9DDC">
            <w:pPr>
              <w:spacing w:line="360" w:lineRule="auto"/>
              <w:rPr>
                <w:rFonts w:hint="eastAsia" w:ascii="仿宋" w:hAnsi="仿宋" w:eastAsia="仿宋" w:cstheme="minorBidi"/>
                <w:bCs/>
                <w:kern w:val="2"/>
                <w:sz w:val="21"/>
                <w:szCs w:val="21"/>
                <w:lang w:val="en-US" w:eastAsia="zh-CN" w:bidi="ar-SA"/>
              </w:rPr>
            </w:pPr>
            <w:bookmarkStart w:id="14" w:name="_Toc193794725"/>
            <w:r>
              <w:rPr>
                <w:rFonts w:hint="eastAsia" w:ascii="仿宋" w:hAnsi="仿宋" w:eastAsia="仿宋" w:cstheme="minorBidi"/>
                <w:bCs/>
                <w:kern w:val="2"/>
                <w:sz w:val="21"/>
                <w:szCs w:val="21"/>
                <w:lang w:val="en-US" w:eastAsia="zh-CN" w:bidi="ar-SA"/>
              </w:rPr>
              <w:t>追溯码匹配</w:t>
            </w:r>
            <w:bookmarkEnd w:id="14"/>
          </w:p>
        </w:tc>
        <w:tc>
          <w:tcPr>
            <w:tcW w:w="4190" w:type="dxa"/>
            <w:tcBorders>
              <w:top w:val="single" w:color="auto" w:sz="4" w:space="0"/>
              <w:left w:val="single" w:color="auto" w:sz="4" w:space="0"/>
              <w:bottom w:val="single" w:color="auto" w:sz="4" w:space="0"/>
              <w:right w:val="single" w:color="auto" w:sz="4" w:space="0"/>
            </w:tcBorders>
            <w:noWrap w:val="0"/>
            <w:vAlign w:val="center"/>
          </w:tcPr>
          <w:p w14:paraId="191F6356">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在药品收费流程完成后，系统自动为这些药品赋予唯一的追溯码，确保药品的流通和使用环节全程可追溯。</w:t>
            </w:r>
          </w:p>
        </w:tc>
        <w:tc>
          <w:tcPr>
            <w:tcW w:w="775" w:type="dxa"/>
            <w:tcBorders>
              <w:top w:val="single" w:color="auto" w:sz="4" w:space="0"/>
              <w:left w:val="single" w:color="auto" w:sz="4" w:space="0"/>
              <w:bottom w:val="single" w:color="auto" w:sz="4" w:space="0"/>
              <w:right w:val="single" w:color="auto" w:sz="4" w:space="0"/>
            </w:tcBorders>
            <w:noWrap w:val="0"/>
            <w:vAlign w:val="top"/>
          </w:tcPr>
          <w:p w14:paraId="7ACC62B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B4D74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45801A0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8673DC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444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70EEE4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1FB569A4">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AC70CB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系统需支持将药品追溯码跟瓶签进行绑定，通过系统自动为瓶签匹配拆零库中的追溯码。</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B63DA5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3B9A361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2702AAD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694DC36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AAB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59C0530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7944E952">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28127BB">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关于静配中心的追溯码采集、发药信息核验、智能预警提示、一键推送等功能需求同住院药房追溯码管理系统。</w:t>
            </w:r>
          </w:p>
        </w:tc>
        <w:tc>
          <w:tcPr>
            <w:tcW w:w="775" w:type="dxa"/>
            <w:tcBorders>
              <w:top w:val="single" w:color="auto" w:sz="4" w:space="0"/>
              <w:left w:val="single" w:color="auto" w:sz="4" w:space="0"/>
              <w:bottom w:val="single" w:color="auto" w:sz="4" w:space="0"/>
              <w:right w:val="single" w:color="auto" w:sz="4" w:space="0"/>
            </w:tcBorders>
            <w:noWrap w:val="0"/>
            <w:vAlign w:val="top"/>
          </w:tcPr>
          <w:p w14:paraId="73A8630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0A5FD7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1BD379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4338741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9BB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779E0F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bookmarkStart w:id="15" w:name="_Toc193794731"/>
            <w:r>
              <w:rPr>
                <w:rFonts w:hint="eastAsia" w:ascii="仿宋" w:hAnsi="仿宋" w:eastAsia="仿宋" w:cstheme="minorBidi"/>
                <w:bCs/>
                <w:kern w:val="2"/>
                <w:sz w:val="21"/>
                <w:szCs w:val="21"/>
                <w:lang w:val="en-US" w:eastAsia="zh-CN" w:bidi="ar-SA"/>
              </w:rPr>
              <w:t>三级库追溯码管理</w:t>
            </w:r>
            <w:bookmarkEnd w:id="15"/>
          </w:p>
        </w:tc>
        <w:tc>
          <w:tcPr>
            <w:tcW w:w="1157" w:type="dxa"/>
            <w:vMerge w:val="restart"/>
            <w:tcBorders>
              <w:left w:val="single" w:color="auto" w:sz="4" w:space="0"/>
              <w:right w:val="single" w:color="auto" w:sz="4" w:space="0"/>
            </w:tcBorders>
            <w:noWrap w:val="0"/>
            <w:vAlign w:val="center"/>
          </w:tcPr>
          <w:p w14:paraId="38587A4A">
            <w:pPr>
              <w:spacing w:line="360" w:lineRule="auto"/>
              <w:rPr>
                <w:rFonts w:hint="eastAsia" w:ascii="仿宋" w:hAnsi="仿宋" w:eastAsia="仿宋" w:cstheme="minorBidi"/>
                <w:bCs/>
                <w:kern w:val="2"/>
                <w:sz w:val="21"/>
                <w:szCs w:val="21"/>
                <w:lang w:val="en-US" w:eastAsia="zh-CN" w:bidi="ar-SA"/>
              </w:rPr>
            </w:pPr>
            <w:bookmarkStart w:id="16" w:name="_Toc193794732"/>
            <w:r>
              <w:rPr>
                <w:rFonts w:hint="eastAsia" w:ascii="仿宋" w:hAnsi="仿宋" w:eastAsia="仿宋" w:cstheme="minorBidi"/>
                <w:bCs/>
                <w:kern w:val="2"/>
                <w:sz w:val="21"/>
                <w:szCs w:val="21"/>
                <w:lang w:val="en-US" w:eastAsia="zh-CN" w:bidi="ar-SA"/>
              </w:rPr>
              <w:t>拆零库设置</w:t>
            </w:r>
            <w:bookmarkEnd w:id="16"/>
          </w:p>
        </w:tc>
        <w:tc>
          <w:tcPr>
            <w:tcW w:w="4190" w:type="dxa"/>
            <w:tcBorders>
              <w:top w:val="single" w:color="auto" w:sz="4" w:space="0"/>
              <w:left w:val="single" w:color="auto" w:sz="4" w:space="0"/>
              <w:bottom w:val="single" w:color="auto" w:sz="4" w:space="0"/>
              <w:right w:val="single" w:color="auto" w:sz="4" w:space="0"/>
            </w:tcBorders>
            <w:noWrap w:val="0"/>
            <w:vAlign w:val="center"/>
          </w:tcPr>
          <w:p w14:paraId="2ADC98BA">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系统需构建完善的药品拆零库功能模块，能够高效且精准地将成盒药品的唯一追溯码拆解为每个最小使用单位药品的独立追溯码，从而实现药品流通过程中的全程精准追踪，确保药品质量与安全的可追溯性。</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E51A91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3C07969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836419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E6A78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083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33A0747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249AF294">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DB57EDE">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拆零库设置功能：系统应支持药师根据实际需求，按照药房及药品的具体维度灵活进行拆零库的设置操作，满足不同药房、不同药品种类的个性化拆零管理要求。</w:t>
            </w:r>
          </w:p>
        </w:tc>
        <w:tc>
          <w:tcPr>
            <w:tcW w:w="775" w:type="dxa"/>
            <w:tcBorders>
              <w:top w:val="single" w:color="auto" w:sz="4" w:space="0"/>
              <w:left w:val="single" w:color="auto" w:sz="4" w:space="0"/>
              <w:bottom w:val="single" w:color="auto" w:sz="4" w:space="0"/>
              <w:right w:val="single" w:color="auto" w:sz="4" w:space="0"/>
            </w:tcBorders>
            <w:noWrap w:val="0"/>
            <w:vAlign w:val="top"/>
          </w:tcPr>
          <w:p w14:paraId="4B6818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76309F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F5FD2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7EF2152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B80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681A628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0B60143E">
            <w:pPr>
              <w:spacing w:line="360" w:lineRule="auto"/>
              <w:rPr>
                <w:rFonts w:hint="eastAsia" w:ascii="仿宋" w:hAnsi="仿宋" w:eastAsia="仿宋" w:cstheme="minorBidi"/>
                <w:bCs/>
                <w:kern w:val="2"/>
                <w:sz w:val="21"/>
                <w:szCs w:val="21"/>
                <w:lang w:val="en-US" w:eastAsia="zh-CN" w:bidi="ar-SA"/>
              </w:rPr>
            </w:pPr>
            <w:bookmarkStart w:id="17" w:name="_Toc193794733"/>
            <w:r>
              <w:rPr>
                <w:rFonts w:hint="eastAsia" w:ascii="仿宋" w:hAnsi="仿宋" w:eastAsia="仿宋" w:cstheme="minorBidi"/>
                <w:bCs/>
                <w:kern w:val="2"/>
                <w:sz w:val="21"/>
                <w:szCs w:val="21"/>
                <w:lang w:val="en-US" w:eastAsia="zh-CN" w:bidi="ar-SA"/>
              </w:rPr>
              <w:t>拆零库追溯码采集</w:t>
            </w:r>
            <w:bookmarkEnd w:id="17"/>
          </w:p>
        </w:tc>
        <w:tc>
          <w:tcPr>
            <w:tcW w:w="4190" w:type="dxa"/>
            <w:tcBorders>
              <w:top w:val="single" w:color="auto" w:sz="4" w:space="0"/>
              <w:left w:val="single" w:color="auto" w:sz="4" w:space="0"/>
              <w:bottom w:val="single" w:color="auto" w:sz="4" w:space="0"/>
              <w:right w:val="single" w:color="auto" w:sz="4" w:space="0"/>
            </w:tcBorders>
            <w:noWrap w:val="0"/>
            <w:vAlign w:val="center"/>
          </w:tcPr>
          <w:p w14:paraId="7987E1D6">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系统需支持在药房向科室配送药品之前，药师使用PDA或高拍仪扫描药品包装上的追溯码，自动读取并存储信息。</w:t>
            </w:r>
          </w:p>
        </w:tc>
        <w:tc>
          <w:tcPr>
            <w:tcW w:w="775" w:type="dxa"/>
            <w:tcBorders>
              <w:top w:val="single" w:color="auto" w:sz="4" w:space="0"/>
              <w:left w:val="single" w:color="auto" w:sz="4" w:space="0"/>
              <w:bottom w:val="single" w:color="auto" w:sz="4" w:space="0"/>
              <w:right w:val="single" w:color="auto" w:sz="4" w:space="0"/>
            </w:tcBorders>
            <w:noWrap w:val="0"/>
            <w:vAlign w:val="top"/>
          </w:tcPr>
          <w:p w14:paraId="364631B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E60052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2FA8D2B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07F0A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098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2611D48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372E5C33">
            <w:pPr>
              <w:spacing w:line="360" w:lineRule="auto"/>
              <w:rPr>
                <w:rFonts w:hint="eastAsia" w:ascii="仿宋" w:hAnsi="仿宋" w:eastAsia="仿宋" w:cstheme="minorBidi"/>
                <w:bCs/>
                <w:kern w:val="2"/>
                <w:sz w:val="21"/>
                <w:szCs w:val="21"/>
                <w:lang w:val="en-US" w:eastAsia="zh-CN" w:bidi="ar-SA"/>
              </w:rPr>
            </w:pPr>
            <w:bookmarkStart w:id="18" w:name="_Toc193794736"/>
            <w:r>
              <w:rPr>
                <w:rFonts w:hint="eastAsia" w:ascii="仿宋" w:hAnsi="仿宋" w:eastAsia="仿宋" w:cstheme="minorBidi"/>
                <w:bCs/>
                <w:kern w:val="2"/>
                <w:sz w:val="21"/>
                <w:szCs w:val="21"/>
                <w:lang w:val="en-US" w:eastAsia="zh-CN" w:bidi="ar-SA"/>
              </w:rPr>
              <w:t>追溯码匹配</w:t>
            </w:r>
            <w:bookmarkEnd w:id="18"/>
          </w:p>
        </w:tc>
        <w:tc>
          <w:tcPr>
            <w:tcW w:w="4190" w:type="dxa"/>
            <w:tcBorders>
              <w:top w:val="single" w:color="auto" w:sz="4" w:space="0"/>
              <w:left w:val="single" w:color="auto" w:sz="4" w:space="0"/>
              <w:bottom w:val="single" w:color="auto" w:sz="4" w:space="0"/>
              <w:right w:val="single" w:color="auto" w:sz="4" w:space="0"/>
            </w:tcBorders>
            <w:noWrap w:val="0"/>
            <w:vAlign w:val="center"/>
          </w:tcPr>
          <w:p w14:paraId="0A6260BE">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当医生开具三级库药品的医嘱后，系统需支持将药品追溯码跟医嘱信息进行绑定，通过系统自动为绑定后的医嘱信息进行追溯码匹配。</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4C4FB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2AE3DF6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7F68582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4451118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1CD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292C50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外配药品、外借药品、义诊药品、抽检药品、科室备用药品、非联网出库药品、报损药品追溯码管理</w:t>
            </w:r>
          </w:p>
        </w:tc>
        <w:tc>
          <w:tcPr>
            <w:tcW w:w="1157" w:type="dxa"/>
            <w:vMerge w:val="restart"/>
            <w:tcBorders>
              <w:left w:val="single" w:color="auto" w:sz="4" w:space="0"/>
              <w:right w:val="single" w:color="auto" w:sz="4" w:space="0"/>
            </w:tcBorders>
            <w:noWrap w:val="0"/>
            <w:vAlign w:val="center"/>
          </w:tcPr>
          <w:p w14:paraId="166A17D4">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47B38B0B">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医院对患者委托配送商进行药品外配上门服务，如透析液，由配送企业直接配送上门，系统能提供外配药的追溯码采集上传方案。</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249D27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08464D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E5FAC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5A6B47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58A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5B6208E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0FF446AE">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427CD5A6">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提供外借药品的追溯码采集上传解决方案。</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CAFD5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2C7E65C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2BD36F8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1C05FDE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936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3A75F63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5DC68F70">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888820D">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提供义诊药品的追溯码采集上传解决方案。</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9D5774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4291C20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273B4D2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DFAA4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698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CF256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78937119">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01980C17">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提供抽检药品的追溯码采集上传解决方案。</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BE4D7E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33CAE8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5CD1F1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2624B9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304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9DFCAE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51AD82F4">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C4AD2EA">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提供科室备用药品追溯码采集上传解决方案。</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74384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CB7B57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06335CA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84DA9D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8F7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2CBEDBB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1449E131">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DBC1A39">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提供非联网出库药品追溯码采集上传解决方案。</w:t>
            </w:r>
          </w:p>
        </w:tc>
        <w:tc>
          <w:tcPr>
            <w:tcW w:w="775" w:type="dxa"/>
            <w:tcBorders>
              <w:top w:val="single" w:color="auto" w:sz="4" w:space="0"/>
              <w:left w:val="single" w:color="auto" w:sz="4" w:space="0"/>
              <w:bottom w:val="single" w:color="auto" w:sz="4" w:space="0"/>
              <w:right w:val="single" w:color="auto" w:sz="4" w:space="0"/>
            </w:tcBorders>
            <w:noWrap w:val="0"/>
            <w:vAlign w:val="top"/>
          </w:tcPr>
          <w:p w14:paraId="7B2CE92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935B82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367F3A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6189A23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B16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6908F3E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55803E6A">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2A7E4C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提供报损药品追溯码管理解决方案。</w:t>
            </w:r>
          </w:p>
        </w:tc>
        <w:tc>
          <w:tcPr>
            <w:tcW w:w="775" w:type="dxa"/>
            <w:tcBorders>
              <w:top w:val="single" w:color="auto" w:sz="4" w:space="0"/>
              <w:left w:val="single" w:color="auto" w:sz="4" w:space="0"/>
              <w:bottom w:val="single" w:color="auto" w:sz="4" w:space="0"/>
              <w:right w:val="single" w:color="auto" w:sz="4" w:space="0"/>
            </w:tcBorders>
            <w:noWrap w:val="0"/>
            <w:vAlign w:val="top"/>
          </w:tcPr>
          <w:p w14:paraId="7271CF1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29ABFD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4363ECD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794C1D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B07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362B25A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无追溯码药品管理</w:t>
            </w:r>
          </w:p>
        </w:tc>
        <w:tc>
          <w:tcPr>
            <w:tcW w:w="1157" w:type="dxa"/>
            <w:vMerge w:val="restart"/>
            <w:tcBorders>
              <w:left w:val="single" w:color="auto" w:sz="4" w:space="0"/>
              <w:right w:val="single" w:color="auto" w:sz="4" w:space="0"/>
            </w:tcBorders>
            <w:noWrap w:val="0"/>
            <w:vAlign w:val="center"/>
          </w:tcPr>
          <w:p w14:paraId="2B344BD9">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48F0862">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若药品无追溯码，支持在药品字典中新增无需追溯标识。</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66E3C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BC087F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E124B4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4FE12DA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2F0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31C39DB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52A9B269">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6D71A2F">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若设置为无需追溯药品，则该药品即可支持无追溯码自动核发，并上传该药品追溯码信息至医保系统，确保上传率不受影响。</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7AE4D3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37FD68E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6366D88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5C3BEA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F5B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634CE33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退药追溯码管理</w:t>
            </w:r>
          </w:p>
        </w:tc>
        <w:tc>
          <w:tcPr>
            <w:tcW w:w="1157" w:type="dxa"/>
            <w:vMerge w:val="restart"/>
            <w:tcBorders>
              <w:left w:val="single" w:color="auto" w:sz="4" w:space="0"/>
              <w:right w:val="single" w:color="auto" w:sz="4" w:space="0"/>
            </w:tcBorders>
            <w:noWrap w:val="0"/>
            <w:vAlign w:val="center"/>
          </w:tcPr>
          <w:p w14:paraId="308819EF">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E082D18">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系统能够为门急诊、住院、静配各部门患者的退药进行追溯码管理。</w:t>
            </w:r>
          </w:p>
        </w:tc>
        <w:tc>
          <w:tcPr>
            <w:tcW w:w="775" w:type="dxa"/>
            <w:tcBorders>
              <w:top w:val="single" w:color="auto" w:sz="4" w:space="0"/>
              <w:left w:val="single" w:color="auto" w:sz="4" w:space="0"/>
              <w:bottom w:val="single" w:color="auto" w:sz="4" w:space="0"/>
              <w:right w:val="single" w:color="auto" w:sz="4" w:space="0"/>
            </w:tcBorders>
            <w:noWrap w:val="0"/>
            <w:vAlign w:val="top"/>
          </w:tcPr>
          <w:p w14:paraId="7F50E26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A97513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704225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B6B6FF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454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4837FA9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7C0C12D5">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BE42F89">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关于退药追溯码的采集、智能预警提醒、一键推送等功能需求同门急诊药房追溯码管理系统。</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668DF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5D0B3DB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34D598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2B645A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BEF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43F61A8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报表管理</w:t>
            </w:r>
          </w:p>
        </w:tc>
        <w:tc>
          <w:tcPr>
            <w:tcW w:w="1157" w:type="dxa"/>
            <w:vMerge w:val="restart"/>
            <w:tcBorders>
              <w:left w:val="single" w:color="auto" w:sz="4" w:space="0"/>
              <w:right w:val="single" w:color="auto" w:sz="4" w:space="0"/>
            </w:tcBorders>
            <w:noWrap w:val="0"/>
            <w:vAlign w:val="center"/>
          </w:tcPr>
          <w:p w14:paraId="2F92405D">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DE0297F">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支持数据报表统计功能，如可统计指定时间段内的系统接收到的总处方数量、药品数量总和及使用本系统识别到的药品追溯码条目等数据信息。</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8A0B66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105019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59A44DE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77847DC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7CE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7DEF0C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1431698B">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AEAFB11">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支持实时查询和统计各药品追溯码上传情况。</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6A5C6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09BA6EE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4B4DE5A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A4983D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79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2F878ED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16E7D193">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9B63E4C">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系统应提供详细的拆零用药记录报表，支持展示拆零处方及对应的药品追溯码信息、批号、效期、生产日期、厂家、数量、发药人、发药信息等。</w:t>
            </w:r>
          </w:p>
        </w:tc>
        <w:tc>
          <w:tcPr>
            <w:tcW w:w="775" w:type="dxa"/>
            <w:tcBorders>
              <w:top w:val="single" w:color="auto" w:sz="4" w:space="0"/>
              <w:left w:val="single" w:color="auto" w:sz="4" w:space="0"/>
              <w:bottom w:val="single" w:color="auto" w:sz="4" w:space="0"/>
              <w:right w:val="single" w:color="auto" w:sz="4" w:space="0"/>
            </w:tcBorders>
            <w:noWrap w:val="0"/>
            <w:vAlign w:val="top"/>
          </w:tcPr>
          <w:p w14:paraId="3A87076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D13A87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6964136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16BD1C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F76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A872B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437ABF4A">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4CFEC363">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系统应支持展示完整的发药记录，包括处方信息及对应的药品追溯码、批号、效期、生产日期、厂家、数量、发药人和发药信息等。</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71DD1D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0794698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45D2B1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72562D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1EB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593AC64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采购计划管理</w:t>
            </w:r>
          </w:p>
        </w:tc>
        <w:tc>
          <w:tcPr>
            <w:tcW w:w="1157" w:type="dxa"/>
            <w:vMerge w:val="restart"/>
            <w:tcBorders>
              <w:left w:val="single" w:color="auto" w:sz="4" w:space="0"/>
              <w:right w:val="single" w:color="auto" w:sz="4" w:space="0"/>
            </w:tcBorders>
            <w:noWrap w:val="0"/>
            <w:vAlign w:val="center"/>
          </w:tcPr>
          <w:p w14:paraId="7E2EF37D">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5D60FF7">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能够快速制定采购计划。系统支持药房、静配中心自动生成药品采购计划申请单，药房采购计划经核查审批后上传给药库，系统自动帮助药库将各药房的采购计划进行汇总，并根据配送公司进行药品分类，快速制定出药品采购计划。</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01627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370BBC8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CBDA0E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42A78A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9EE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2D8C6B8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473948F2">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29DE371">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支持药品采购计划一键补传功能。即：系统支持医院药库在确认收货药品后，能自动将采购数据上传至安徽省医药集中采购平台。</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FBE080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4B0C3ED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7DF75C8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77EC15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2D4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846" w:type="dxa"/>
            <w:vMerge w:val="restart"/>
            <w:tcBorders>
              <w:left w:val="single" w:color="auto" w:sz="4" w:space="0"/>
              <w:right w:val="single" w:color="auto" w:sz="4" w:space="0"/>
            </w:tcBorders>
            <w:noWrap w:val="0"/>
            <w:vAlign w:val="center"/>
          </w:tcPr>
          <w:p w14:paraId="4AD444A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权限管理</w:t>
            </w:r>
          </w:p>
        </w:tc>
        <w:tc>
          <w:tcPr>
            <w:tcW w:w="1157" w:type="dxa"/>
            <w:tcBorders>
              <w:left w:val="single" w:color="auto" w:sz="4" w:space="0"/>
              <w:right w:val="single" w:color="auto" w:sz="4" w:space="0"/>
            </w:tcBorders>
            <w:noWrap w:val="0"/>
            <w:vAlign w:val="center"/>
          </w:tcPr>
          <w:p w14:paraId="5C4C9B3B">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机构管理</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905C12C">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支持创建、修改、删除人员，以及对人员角色的创建、修改、删除，以实现对用户的身份、角色、权限等信息的管理和控制。</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AD9319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6D234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D9585C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11F43B8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530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846" w:type="dxa"/>
            <w:vMerge w:val="continue"/>
            <w:tcBorders>
              <w:left w:val="single" w:color="auto" w:sz="4" w:space="0"/>
              <w:right w:val="single" w:color="auto" w:sz="4" w:space="0"/>
            </w:tcBorders>
            <w:noWrap w:val="0"/>
            <w:vAlign w:val="center"/>
          </w:tcPr>
          <w:p w14:paraId="4AAEFB0D">
            <w:pPr>
              <w:pStyle w:val="18"/>
              <w:widowControl/>
              <w:kinsoku w:val="0"/>
              <w:overflowPunct w:val="0"/>
              <w:spacing w:line="400" w:lineRule="exact"/>
              <w:jc w:val="center"/>
            </w:pPr>
          </w:p>
        </w:tc>
        <w:tc>
          <w:tcPr>
            <w:tcW w:w="1157" w:type="dxa"/>
            <w:tcBorders>
              <w:left w:val="single" w:color="auto" w:sz="4" w:space="0"/>
              <w:right w:val="single" w:color="auto" w:sz="4" w:space="0"/>
            </w:tcBorders>
            <w:noWrap w:val="0"/>
            <w:vAlign w:val="center"/>
          </w:tcPr>
          <w:p w14:paraId="27AF031B">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人员管理</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C69CABC">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支持创建、修改、删除人员，以及对人员角色的创建、修改、删除，以实现对用户的身份、角色、权限等信息的管理和控制。</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619DA8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45506B8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491C35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7C7F489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F2F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846" w:type="dxa"/>
            <w:vMerge w:val="continue"/>
            <w:tcBorders>
              <w:left w:val="single" w:color="auto" w:sz="4" w:space="0"/>
              <w:right w:val="single" w:color="auto" w:sz="4" w:space="0"/>
            </w:tcBorders>
            <w:noWrap w:val="0"/>
            <w:vAlign w:val="center"/>
          </w:tcPr>
          <w:p w14:paraId="47C0FF3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61581FC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角色管理</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1C10BA8">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支持创建、修改、删除人员，以及对人员角色的创建、修改、删除，以实现对用户的身份、角色、权限等信息的管理和控制。</w:t>
            </w:r>
          </w:p>
        </w:tc>
        <w:tc>
          <w:tcPr>
            <w:tcW w:w="775" w:type="dxa"/>
            <w:tcBorders>
              <w:top w:val="single" w:color="auto" w:sz="4" w:space="0"/>
              <w:left w:val="single" w:color="auto" w:sz="4" w:space="0"/>
              <w:bottom w:val="single" w:color="auto" w:sz="4" w:space="0"/>
              <w:right w:val="single" w:color="auto" w:sz="4" w:space="0"/>
            </w:tcBorders>
            <w:noWrap w:val="0"/>
            <w:vAlign w:val="top"/>
          </w:tcPr>
          <w:p w14:paraId="794156D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560D0B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0DFD899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915C4C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EED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846" w:type="dxa"/>
            <w:vMerge w:val="continue"/>
            <w:tcBorders>
              <w:left w:val="single" w:color="auto" w:sz="4" w:space="0"/>
              <w:right w:val="single" w:color="auto" w:sz="4" w:space="0"/>
            </w:tcBorders>
            <w:noWrap w:val="0"/>
            <w:vAlign w:val="center"/>
          </w:tcPr>
          <w:p w14:paraId="551F2FD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2C5C01CE">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权限管理</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A04028E">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支持创建、修改、删除人员，以及对人员角色的创建、修改、删除，以实现对用户的身份、角色、权限等信息的管理和控制。</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88F3CD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BD4138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7CF4C1A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38E333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2BC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846" w:type="dxa"/>
            <w:vMerge w:val="continue"/>
            <w:tcBorders>
              <w:left w:val="single" w:color="auto" w:sz="4" w:space="0"/>
              <w:right w:val="single" w:color="auto" w:sz="4" w:space="0"/>
            </w:tcBorders>
            <w:noWrap w:val="0"/>
            <w:vAlign w:val="center"/>
          </w:tcPr>
          <w:p w14:paraId="7FAA753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36E7BA9D">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密钥管理</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039DC4C">
            <w:pPr>
              <w:spacing w:line="360" w:lineRule="auto"/>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系统支持省招采子系统的密钥在院内前置机存贮，并由院内人员管理确保数据安全。</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33A0E0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050948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42A0B7A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545C8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3AF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46" w:type="dxa"/>
            <w:vMerge w:val="restart"/>
            <w:tcBorders>
              <w:left w:val="single" w:color="auto" w:sz="4" w:space="0"/>
              <w:right w:val="single" w:color="auto" w:sz="4" w:space="0"/>
            </w:tcBorders>
            <w:noWrap w:val="0"/>
            <w:vAlign w:val="center"/>
          </w:tcPr>
          <w:p w14:paraId="341F757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综合管理</w:t>
            </w:r>
          </w:p>
        </w:tc>
        <w:tc>
          <w:tcPr>
            <w:tcW w:w="1157" w:type="dxa"/>
            <w:tcBorders>
              <w:left w:val="single" w:color="auto" w:sz="4" w:space="0"/>
              <w:right w:val="single" w:color="auto" w:sz="4" w:space="0"/>
            </w:tcBorders>
            <w:noWrap w:val="0"/>
            <w:vAlign w:val="center"/>
          </w:tcPr>
          <w:p w14:paraId="26051073">
            <w:pPr>
              <w:spacing w:line="360" w:lineRule="auto"/>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采集设备监控</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62BD0419">
            <w:pPr>
              <w:spacing w:line="360" w:lineRule="auto"/>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对追溯码采集设备的运行状态、内存、硬盘、网络连接情况持续监控，确保采集系统正常运行。</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369DD2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30026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A9B6BC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153095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F2A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46" w:type="dxa"/>
            <w:vMerge w:val="continue"/>
            <w:tcBorders>
              <w:left w:val="single" w:color="auto" w:sz="4" w:space="0"/>
              <w:right w:val="single" w:color="auto" w:sz="4" w:space="0"/>
            </w:tcBorders>
            <w:noWrap w:val="0"/>
            <w:vAlign w:val="center"/>
          </w:tcPr>
          <w:p w14:paraId="03CA0FE7">
            <w:pPr>
              <w:pStyle w:val="18"/>
              <w:widowControl/>
              <w:kinsoku w:val="0"/>
              <w:overflowPunct w:val="0"/>
              <w:spacing w:line="400" w:lineRule="exact"/>
              <w:jc w:val="center"/>
            </w:pPr>
          </w:p>
        </w:tc>
        <w:tc>
          <w:tcPr>
            <w:tcW w:w="1157" w:type="dxa"/>
            <w:tcBorders>
              <w:left w:val="single" w:color="auto" w:sz="4" w:space="0"/>
              <w:right w:val="single" w:color="auto" w:sz="4" w:space="0"/>
            </w:tcBorders>
            <w:noWrap w:val="0"/>
            <w:vAlign w:val="center"/>
          </w:tcPr>
          <w:p w14:paraId="26F2C5E3">
            <w:pPr>
              <w:spacing w:line="360" w:lineRule="auto"/>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统计报表</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0D398583">
            <w:pPr>
              <w:spacing w:line="360" w:lineRule="auto"/>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根据追溯码的上传情况按窗口、院区做统计报表</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C93A84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57C3C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5D4A12F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898831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463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46" w:type="dxa"/>
            <w:vMerge w:val="continue"/>
            <w:tcBorders>
              <w:left w:val="single" w:color="auto" w:sz="4" w:space="0"/>
              <w:right w:val="single" w:color="auto" w:sz="4" w:space="0"/>
            </w:tcBorders>
            <w:noWrap w:val="0"/>
            <w:vAlign w:val="center"/>
          </w:tcPr>
          <w:p w14:paraId="112913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7CD6AFEE">
            <w:pPr>
              <w:spacing w:line="360" w:lineRule="auto"/>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日志查看</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58A12CAD">
            <w:pPr>
              <w:spacing w:line="360" w:lineRule="auto"/>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通过日志查看功能可以实现追溯码是否上传成功情况。</w:t>
            </w:r>
          </w:p>
        </w:tc>
        <w:tc>
          <w:tcPr>
            <w:tcW w:w="775" w:type="dxa"/>
            <w:tcBorders>
              <w:top w:val="single" w:color="auto" w:sz="4" w:space="0"/>
              <w:left w:val="single" w:color="auto" w:sz="4" w:space="0"/>
              <w:bottom w:val="single" w:color="auto" w:sz="4" w:space="0"/>
              <w:right w:val="single" w:color="auto" w:sz="4" w:space="0"/>
            </w:tcBorders>
            <w:noWrap w:val="0"/>
            <w:vAlign w:val="top"/>
          </w:tcPr>
          <w:p w14:paraId="7B6B513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4C953B4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237D1C4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1F68A7C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FD7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46" w:type="dxa"/>
            <w:vMerge w:val="continue"/>
            <w:tcBorders>
              <w:left w:val="single" w:color="auto" w:sz="4" w:space="0"/>
              <w:right w:val="single" w:color="auto" w:sz="4" w:space="0"/>
            </w:tcBorders>
            <w:noWrap w:val="0"/>
            <w:vAlign w:val="center"/>
          </w:tcPr>
          <w:p w14:paraId="13B8746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tcBorders>
              <w:left w:val="single" w:color="auto" w:sz="4" w:space="0"/>
              <w:right w:val="single" w:color="auto" w:sz="4" w:space="0"/>
            </w:tcBorders>
            <w:noWrap w:val="0"/>
            <w:vAlign w:val="center"/>
          </w:tcPr>
          <w:p w14:paraId="4771B012">
            <w:pPr>
              <w:spacing w:line="360" w:lineRule="auto"/>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漏传补报</w:t>
            </w:r>
          </w:p>
        </w:tc>
        <w:tc>
          <w:tcPr>
            <w:tcW w:w="4190" w:type="dxa"/>
            <w:tcBorders>
              <w:top w:val="single" w:color="auto" w:sz="4" w:space="0"/>
              <w:left w:val="single" w:color="auto" w:sz="4" w:space="0"/>
              <w:bottom w:val="single" w:color="auto" w:sz="4" w:space="0"/>
              <w:right w:val="single" w:color="auto" w:sz="4" w:space="0"/>
            </w:tcBorders>
            <w:noWrap w:val="0"/>
            <w:vAlign w:val="top"/>
          </w:tcPr>
          <w:p w14:paraId="4ADCB3FF">
            <w:pPr>
              <w:spacing w:line="360" w:lineRule="auto"/>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对因网络原因或部分数据缺失无法成功上传的药品，实现漏传补报，应采尽采</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D60924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48BD905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09E02C1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79196E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6B6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tcBorders>
              <w:left w:val="single" w:color="auto" w:sz="4" w:space="0"/>
              <w:right w:val="single" w:color="auto" w:sz="4" w:space="0"/>
            </w:tcBorders>
            <w:noWrap w:val="0"/>
            <w:vAlign w:val="center"/>
          </w:tcPr>
          <w:p w14:paraId="7CBA2CB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耗材</w:t>
            </w:r>
          </w:p>
        </w:tc>
        <w:tc>
          <w:tcPr>
            <w:tcW w:w="1157" w:type="dxa"/>
            <w:tcBorders>
              <w:left w:val="single" w:color="auto" w:sz="4" w:space="0"/>
              <w:right w:val="single" w:color="auto" w:sz="4" w:space="0"/>
            </w:tcBorders>
            <w:noWrap w:val="0"/>
            <w:vAlign w:val="center"/>
          </w:tcPr>
          <w:p w14:paraId="42E3E00C">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追溯码上传</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2E08507">
            <w:pPr>
              <w:spacing w:line="360" w:lineRule="auto"/>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支持耗材的UDI码作为追溯码，打通spd的入库和his的临床消耗数据，上报医保入库和销售接口，根据医保政策要求免费实施变更上传方式及要求。</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16CE60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42CFCE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48142C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123FE9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D72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4FEEB12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OCR高拍仪(5台)</w:t>
            </w:r>
          </w:p>
        </w:tc>
        <w:tc>
          <w:tcPr>
            <w:tcW w:w="1157" w:type="dxa"/>
            <w:vMerge w:val="restart"/>
            <w:tcBorders>
              <w:left w:val="single" w:color="auto" w:sz="4" w:space="0"/>
              <w:right w:val="single" w:color="auto" w:sz="4" w:space="0"/>
            </w:tcBorders>
            <w:noWrap w:val="0"/>
            <w:vAlign w:val="center"/>
          </w:tcPr>
          <w:p w14:paraId="25C64459">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图像采集性能</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7323E50">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分辨率：≥600万像素，确保微小二维码（如3mm×3mm）清晰可辨；可设别范围≥800平方厘米。</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988D31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56C0891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630F25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68D6C2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9BB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0E9D22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2595544C">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FB507DD">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光学变焦：支持3倍以上光学变焦，适应不同药品包装尺寸（如小瓶标签、大箱码）。</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386733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302610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6692844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44EB720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48C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4ED8E2F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4FD31FC4">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22C1688">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帧率与对焦：自动对焦速度≤0.3秒，视频模式60fps。</w:t>
            </w:r>
          </w:p>
        </w:tc>
        <w:tc>
          <w:tcPr>
            <w:tcW w:w="775" w:type="dxa"/>
            <w:tcBorders>
              <w:top w:val="single" w:color="auto" w:sz="4" w:space="0"/>
              <w:left w:val="single" w:color="auto" w:sz="4" w:space="0"/>
              <w:bottom w:val="single" w:color="auto" w:sz="4" w:space="0"/>
              <w:right w:val="single" w:color="auto" w:sz="4" w:space="0"/>
            </w:tcBorders>
            <w:noWrap w:val="0"/>
            <w:vAlign w:val="top"/>
          </w:tcPr>
          <w:p w14:paraId="3C2FB02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3C2E10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96318B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646AC68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936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FC3B7F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4386F025">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光源与抗干扰能力</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62EEBDE">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多光谱补光：支持白光、红外光切换，解决反光药盒（如铝箔包装）的眩光问题。</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9488D5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6CDC66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57CBD3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8D0F3B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E5B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2C6348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743BB221">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066CEAD">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均匀性要求：光照均匀度≥95%，避免阴影遮挡追溯码（如凹陷/曲面标签）。</w:t>
            </w:r>
          </w:p>
        </w:tc>
        <w:tc>
          <w:tcPr>
            <w:tcW w:w="775" w:type="dxa"/>
            <w:tcBorders>
              <w:top w:val="single" w:color="auto" w:sz="4" w:space="0"/>
              <w:left w:val="single" w:color="auto" w:sz="4" w:space="0"/>
              <w:bottom w:val="single" w:color="auto" w:sz="4" w:space="0"/>
              <w:right w:val="single" w:color="auto" w:sz="4" w:space="0"/>
            </w:tcBorders>
            <w:noWrap w:val="0"/>
            <w:vAlign w:val="top"/>
          </w:tcPr>
          <w:p w14:paraId="6E83B4D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3308177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629FE20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8BED95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544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239CF92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3F715DAA">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追溯码识别能力</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48AE30AC">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能够设别药品追溯码的一维码及二维码，具备批量解码功能，解码速度≥90个/秒，扫描追溯码个数≥90个。</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71155A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57F74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A4003E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4F4447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1BA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525057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69097BE0">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72C6001">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多码同框识别：单张图像中自动识别并分离多个追溯码（如药盒+内部单片码）。</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804C09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172F15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ABB5BC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343296A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049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0857B80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7372BAC0">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17928494">
            <w:pPr>
              <w:keepNext w:val="0"/>
              <w:keepLines w:val="0"/>
              <w:pageBreakBefore w:val="0"/>
              <w:kinsoku/>
              <w:wordWrap/>
              <w:overflowPunct/>
              <w:topLinePunct w:val="0"/>
              <w:autoSpaceDE/>
              <w:autoSpaceDN/>
              <w:bidi w:val="0"/>
              <w:spacing w:line="48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识别率指标：一维码识别率≥99.99%，二维码≥99.5%。</w:t>
            </w:r>
          </w:p>
        </w:tc>
        <w:tc>
          <w:tcPr>
            <w:tcW w:w="775" w:type="dxa"/>
            <w:tcBorders>
              <w:top w:val="single" w:color="auto" w:sz="4" w:space="0"/>
              <w:left w:val="single" w:color="auto" w:sz="4" w:space="0"/>
              <w:bottom w:val="single" w:color="auto" w:sz="4" w:space="0"/>
              <w:right w:val="single" w:color="auto" w:sz="4" w:space="0"/>
            </w:tcBorders>
            <w:noWrap w:val="0"/>
            <w:vAlign w:val="top"/>
          </w:tcPr>
          <w:p w14:paraId="791B1C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3C5A089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43AC57E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10EA18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D91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68A6401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restart"/>
            <w:tcBorders>
              <w:left w:val="single" w:color="auto" w:sz="4" w:space="0"/>
              <w:right w:val="single" w:color="auto" w:sz="4" w:space="0"/>
            </w:tcBorders>
            <w:noWrap w:val="0"/>
            <w:vAlign w:val="center"/>
          </w:tcPr>
          <w:p w14:paraId="66B5D68C">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环境与运维参数</w:t>
            </w: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BAFC78B">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温湿度范围：工作温度：-10°C~50°C，湿度10%~90%。</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951EE0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22CB2A4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2A8D40C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5B2213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5B5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4946DF4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17F2463A">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A978F6F">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连续工作时长：≥12小时不间断运行，无过热死机。</w:t>
            </w:r>
          </w:p>
        </w:tc>
        <w:tc>
          <w:tcPr>
            <w:tcW w:w="775" w:type="dxa"/>
            <w:tcBorders>
              <w:top w:val="single" w:color="auto" w:sz="4" w:space="0"/>
              <w:left w:val="single" w:color="auto" w:sz="4" w:space="0"/>
              <w:bottom w:val="single" w:color="auto" w:sz="4" w:space="0"/>
              <w:right w:val="single" w:color="auto" w:sz="4" w:space="0"/>
            </w:tcBorders>
            <w:noWrap w:val="0"/>
            <w:vAlign w:val="top"/>
          </w:tcPr>
          <w:p w14:paraId="4A46292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570D5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05F48DC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25CD94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920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984331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16747531">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AC485AA">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数据接口：支持至少USB和RJ45网口等多种连接方式。</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EA413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308CFA6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1508A52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493B4F2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CC9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20B9B5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26E25494">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087DFD32">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可以在发药端或调配端自由切换使用。</w:t>
            </w:r>
          </w:p>
        </w:tc>
        <w:tc>
          <w:tcPr>
            <w:tcW w:w="775" w:type="dxa"/>
            <w:tcBorders>
              <w:top w:val="single" w:color="auto" w:sz="4" w:space="0"/>
              <w:left w:val="single" w:color="auto" w:sz="4" w:space="0"/>
              <w:bottom w:val="single" w:color="auto" w:sz="4" w:space="0"/>
              <w:right w:val="single" w:color="auto" w:sz="4" w:space="0"/>
            </w:tcBorders>
            <w:noWrap w:val="0"/>
            <w:vAlign w:val="top"/>
          </w:tcPr>
          <w:p w14:paraId="17D61F4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749F2A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05C173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9764BE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5E0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5DFDF68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采集设备附带电脑（5台）</w:t>
            </w:r>
          </w:p>
        </w:tc>
        <w:tc>
          <w:tcPr>
            <w:tcW w:w="1157" w:type="dxa"/>
            <w:vMerge w:val="restart"/>
            <w:tcBorders>
              <w:left w:val="single" w:color="auto" w:sz="4" w:space="0"/>
              <w:right w:val="single" w:color="auto" w:sz="4" w:space="0"/>
            </w:tcBorders>
            <w:noWrap w:val="0"/>
            <w:vAlign w:val="center"/>
          </w:tcPr>
          <w:p w14:paraId="571CAF7E">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68185C86">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处理器主频≥1.8GHz；内存≥8GB；存储≥256GB。</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9AB657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9DAB7A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5D5117E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738ACB9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81E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6E39785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5E32F9F2">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57401ACC">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显示屏：≥10.0 英寸，分辨率≥1920×1080（高清）。</w:t>
            </w:r>
          </w:p>
        </w:tc>
        <w:tc>
          <w:tcPr>
            <w:tcW w:w="775" w:type="dxa"/>
            <w:tcBorders>
              <w:top w:val="single" w:color="auto" w:sz="4" w:space="0"/>
              <w:left w:val="single" w:color="auto" w:sz="4" w:space="0"/>
              <w:bottom w:val="single" w:color="auto" w:sz="4" w:space="0"/>
              <w:right w:val="single" w:color="auto" w:sz="4" w:space="0"/>
            </w:tcBorders>
            <w:noWrap w:val="0"/>
            <w:vAlign w:val="top"/>
          </w:tcPr>
          <w:p w14:paraId="003438C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434728D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0A79B82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79BC1A2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CEB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657BA5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25B59733">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74D58DCF">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电池容量≥5000mAh。</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0BA2AF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1616A5A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67EA274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CA1073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0A3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restart"/>
            <w:tcBorders>
              <w:left w:val="single" w:color="auto" w:sz="4" w:space="0"/>
              <w:right w:val="single" w:color="auto" w:sz="4" w:space="0"/>
            </w:tcBorders>
            <w:noWrap w:val="0"/>
            <w:vAlign w:val="center"/>
          </w:tcPr>
          <w:p w14:paraId="215B8884">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PDA设备（6台）</w:t>
            </w:r>
          </w:p>
        </w:tc>
        <w:tc>
          <w:tcPr>
            <w:tcW w:w="1157" w:type="dxa"/>
            <w:vMerge w:val="restart"/>
            <w:tcBorders>
              <w:left w:val="single" w:color="auto" w:sz="4" w:space="0"/>
              <w:right w:val="single" w:color="auto" w:sz="4" w:space="0"/>
            </w:tcBorders>
            <w:noWrap w:val="0"/>
            <w:vAlign w:val="center"/>
          </w:tcPr>
          <w:p w14:paraId="7C17499D">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947B491">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操作系统：CPU为八核处理器及以上，主频≥2.8GHz。</w:t>
            </w:r>
          </w:p>
          <w:p w14:paraId="459D29FE">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内存≥4GB，存储≥64GB。</w:t>
            </w:r>
          </w:p>
        </w:tc>
        <w:tc>
          <w:tcPr>
            <w:tcW w:w="775" w:type="dxa"/>
            <w:tcBorders>
              <w:top w:val="single" w:color="auto" w:sz="4" w:space="0"/>
              <w:left w:val="single" w:color="auto" w:sz="4" w:space="0"/>
              <w:bottom w:val="single" w:color="auto" w:sz="4" w:space="0"/>
              <w:right w:val="single" w:color="auto" w:sz="4" w:space="0"/>
            </w:tcBorders>
            <w:noWrap w:val="0"/>
            <w:vAlign w:val="top"/>
          </w:tcPr>
          <w:p w14:paraId="27F1C3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0B00C68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6FCE082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0A0F146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C37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7AE1306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0ECF78C3">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382C98A9">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显示屏：≥5.0英寸，分辨率≥1280×720（高清）。</w:t>
            </w:r>
          </w:p>
        </w:tc>
        <w:tc>
          <w:tcPr>
            <w:tcW w:w="775" w:type="dxa"/>
            <w:tcBorders>
              <w:top w:val="single" w:color="auto" w:sz="4" w:space="0"/>
              <w:left w:val="single" w:color="auto" w:sz="4" w:space="0"/>
              <w:bottom w:val="single" w:color="auto" w:sz="4" w:space="0"/>
              <w:right w:val="single" w:color="auto" w:sz="4" w:space="0"/>
            </w:tcBorders>
            <w:noWrap w:val="0"/>
            <w:vAlign w:val="top"/>
          </w:tcPr>
          <w:p w14:paraId="5856AD8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612998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27B270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6D679FA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2A0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right w:val="single" w:color="auto" w:sz="4" w:space="0"/>
            </w:tcBorders>
            <w:noWrap w:val="0"/>
            <w:vAlign w:val="center"/>
          </w:tcPr>
          <w:p w14:paraId="10FB47C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right w:val="single" w:color="auto" w:sz="4" w:space="0"/>
            </w:tcBorders>
            <w:noWrap w:val="0"/>
            <w:vAlign w:val="center"/>
          </w:tcPr>
          <w:p w14:paraId="5BFBD3EE">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2FD42284">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电池：可卸载式，容量≥5000mAh，一次充电正常工作时间≥5小时。</w:t>
            </w:r>
          </w:p>
        </w:tc>
        <w:tc>
          <w:tcPr>
            <w:tcW w:w="775" w:type="dxa"/>
            <w:tcBorders>
              <w:top w:val="single" w:color="auto" w:sz="4" w:space="0"/>
              <w:left w:val="single" w:color="auto" w:sz="4" w:space="0"/>
              <w:bottom w:val="single" w:color="auto" w:sz="4" w:space="0"/>
              <w:right w:val="single" w:color="auto" w:sz="4" w:space="0"/>
            </w:tcBorders>
            <w:noWrap w:val="0"/>
            <w:vAlign w:val="top"/>
          </w:tcPr>
          <w:p w14:paraId="469E2D0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277714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397C853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2038F5D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83C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Merge w:val="continue"/>
            <w:tcBorders>
              <w:left w:val="single" w:color="auto" w:sz="4" w:space="0"/>
              <w:bottom w:val="single" w:color="auto" w:sz="4" w:space="0"/>
              <w:right w:val="single" w:color="auto" w:sz="4" w:space="0"/>
            </w:tcBorders>
            <w:noWrap w:val="0"/>
            <w:vAlign w:val="center"/>
          </w:tcPr>
          <w:p w14:paraId="4217D57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157" w:type="dxa"/>
            <w:vMerge w:val="continue"/>
            <w:tcBorders>
              <w:left w:val="single" w:color="auto" w:sz="4" w:space="0"/>
              <w:bottom w:val="single" w:color="auto" w:sz="4" w:space="0"/>
              <w:right w:val="single" w:color="auto" w:sz="4" w:space="0"/>
            </w:tcBorders>
            <w:noWrap w:val="0"/>
            <w:vAlign w:val="center"/>
          </w:tcPr>
          <w:p w14:paraId="777A840E">
            <w:pPr>
              <w:spacing w:line="360" w:lineRule="auto"/>
              <w:rPr>
                <w:rFonts w:hint="eastAsia" w:ascii="仿宋" w:hAnsi="仿宋" w:eastAsia="仿宋" w:cstheme="minorBidi"/>
                <w:bCs/>
                <w:kern w:val="2"/>
                <w:sz w:val="21"/>
                <w:szCs w:val="21"/>
                <w:lang w:val="en-US" w:eastAsia="zh-CN" w:bidi="ar-SA"/>
              </w:rPr>
            </w:pPr>
          </w:p>
        </w:tc>
        <w:tc>
          <w:tcPr>
            <w:tcW w:w="4190" w:type="dxa"/>
            <w:tcBorders>
              <w:top w:val="single" w:color="auto" w:sz="4" w:space="0"/>
              <w:left w:val="single" w:color="auto" w:sz="4" w:space="0"/>
              <w:bottom w:val="single" w:color="auto" w:sz="4" w:space="0"/>
              <w:right w:val="single" w:color="auto" w:sz="4" w:space="0"/>
            </w:tcBorders>
            <w:noWrap w:val="0"/>
            <w:vAlign w:val="center"/>
          </w:tcPr>
          <w:p w14:paraId="1C7E55BA">
            <w:pPr>
              <w:spacing w:line="360" w:lineRule="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条码识别：支持一维码和二维码。</w:t>
            </w:r>
          </w:p>
        </w:tc>
        <w:tc>
          <w:tcPr>
            <w:tcW w:w="775" w:type="dxa"/>
            <w:tcBorders>
              <w:top w:val="single" w:color="auto" w:sz="4" w:space="0"/>
              <w:left w:val="single" w:color="auto" w:sz="4" w:space="0"/>
              <w:bottom w:val="single" w:color="auto" w:sz="4" w:space="0"/>
              <w:right w:val="single" w:color="auto" w:sz="4" w:space="0"/>
            </w:tcBorders>
            <w:noWrap w:val="0"/>
            <w:vAlign w:val="top"/>
          </w:tcPr>
          <w:p w14:paraId="4067CDA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48" w:type="dxa"/>
            <w:tcBorders>
              <w:left w:val="single" w:color="auto" w:sz="4" w:space="0"/>
              <w:right w:val="single" w:color="auto" w:sz="4" w:space="0"/>
            </w:tcBorders>
            <w:noWrap w:val="0"/>
            <w:vAlign w:val="center"/>
          </w:tcPr>
          <w:p w14:paraId="3107F18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16" w:type="dxa"/>
            <w:tcBorders>
              <w:left w:val="single" w:color="auto" w:sz="4" w:space="0"/>
              <w:right w:val="single" w:color="auto" w:sz="4" w:space="0"/>
            </w:tcBorders>
            <w:noWrap w:val="0"/>
            <w:vAlign w:val="center"/>
          </w:tcPr>
          <w:p w14:paraId="285EADA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20" w:type="dxa"/>
            <w:tcBorders>
              <w:left w:val="single" w:color="auto" w:sz="4" w:space="0"/>
              <w:right w:val="single" w:color="auto" w:sz="4" w:space="0"/>
            </w:tcBorders>
            <w:noWrap w:val="0"/>
            <w:vAlign w:val="top"/>
          </w:tcPr>
          <w:p w14:paraId="557E1A3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bl>
    <w:p w14:paraId="3EFCBB8A">
      <w:pPr>
        <w:spacing w:line="280" w:lineRule="exact"/>
        <w:rPr>
          <w:rFonts w:hint="eastAsia" w:ascii="仿宋" w:hAnsi="仿宋" w:eastAsia="仿宋"/>
          <w:b/>
          <w:bCs/>
          <w:szCs w:val="21"/>
          <w:lang w:val="en-US" w:eastAsia="zh-CN"/>
        </w:rPr>
      </w:pPr>
      <w:r>
        <w:rPr>
          <w:rFonts w:hint="eastAsia" w:ascii="仿宋" w:hAnsi="仿宋" w:eastAsia="仿宋"/>
          <w:b/>
          <w:bCs/>
          <w:szCs w:val="21"/>
          <w:lang w:val="en-US" w:eastAsia="zh-CN"/>
        </w:rPr>
        <w:t>注：报价包括总价及分项报价表</w:t>
      </w:r>
    </w:p>
    <w:p w14:paraId="2EF30356">
      <w:pPr>
        <w:pStyle w:val="2"/>
        <w:rPr>
          <w:rFonts w:hint="eastAsia" w:ascii="仿宋" w:hAnsi="仿宋" w:eastAsia="仿宋"/>
          <w:b/>
          <w:bCs/>
          <w:szCs w:val="21"/>
          <w:lang w:val="en-US" w:eastAsia="zh-CN"/>
        </w:rPr>
      </w:pPr>
    </w:p>
    <w:p w14:paraId="562E7F19">
      <w:pPr>
        <w:pStyle w:val="2"/>
        <w:rPr>
          <w:rFonts w:hint="default" w:ascii="仿宋" w:hAnsi="仿宋" w:eastAsia="仿宋"/>
          <w:b/>
          <w:bCs/>
          <w:szCs w:val="21"/>
          <w:lang w:val="en-US" w:eastAsia="zh-CN"/>
        </w:rPr>
      </w:pPr>
      <w:r>
        <w:rPr>
          <w:rFonts w:hint="eastAsia" w:ascii="仿宋" w:hAnsi="仿宋" w:eastAsia="仿宋"/>
          <w:b/>
          <w:bCs/>
          <w:szCs w:val="21"/>
          <w:lang w:val="en-US" w:eastAsia="zh-CN"/>
        </w:rPr>
        <w:t>三</w:t>
      </w:r>
      <w:r>
        <w:rPr>
          <w:rFonts w:hint="default" w:ascii="仿宋" w:hAnsi="仿宋" w:eastAsia="仿宋"/>
          <w:b/>
          <w:bCs/>
          <w:szCs w:val="21"/>
          <w:lang w:val="en-US" w:eastAsia="zh-CN"/>
        </w:rPr>
        <w:t>、项目管理要求</w:t>
      </w:r>
    </w:p>
    <w:p w14:paraId="7AD56E0D">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（一）项目实施进度要求</w:t>
      </w:r>
    </w:p>
    <w:p w14:paraId="0FFD78B0">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本项目主要建设医院药品批量追溯核对系统项目，项目建设周期预计为</w:t>
      </w:r>
      <w:r>
        <w:rPr>
          <w:rFonts w:hint="eastAsia" w:ascii="仿宋" w:hAnsi="仿宋" w:eastAsia="仿宋"/>
          <w:b w:val="0"/>
          <w:bCs w:val="0"/>
          <w:szCs w:val="21"/>
          <w:lang w:val="en-US" w:eastAsia="zh-CN"/>
        </w:rPr>
        <w:t>15</w:t>
      </w:r>
      <w:r>
        <w:rPr>
          <w:rFonts w:hint="default" w:ascii="仿宋" w:hAnsi="仿宋" w:eastAsia="仿宋"/>
          <w:b w:val="0"/>
          <w:bCs w:val="0"/>
          <w:szCs w:val="21"/>
          <w:lang w:val="en-US" w:eastAsia="zh-CN"/>
        </w:rPr>
        <w:t>天。</w:t>
      </w:r>
    </w:p>
    <w:p w14:paraId="338D714B">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（二）项目工作小组</w:t>
      </w:r>
    </w:p>
    <w:p w14:paraId="381FB837">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供应商需要成立针对本项目工作组，并供货前提供成员名单，包括：</w:t>
      </w:r>
    </w:p>
    <w:p w14:paraId="35907418">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1.项目经理：具有项目管理工作经历，并全权代表供应商执行各项技术及管理工作；</w:t>
      </w:r>
    </w:p>
    <w:p w14:paraId="423C5C32">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2.项目实施人员：项目签约后，供应商保证须提供常驻项目实施人员在医院现场工作，直至项目实施、验收结束。</w:t>
      </w:r>
    </w:p>
    <w:p w14:paraId="5921470F">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3.项目管理与上线支持人员：系统上线期间，供应商保证须提供项目管理与上线支持人员。</w:t>
      </w:r>
    </w:p>
    <w:p w14:paraId="2EE4A2ED">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4.系统运维人员：为保证平台的正常运行，系统上线后，供应商需指定专业人员对接医院技术问题，要求该人员具备分析、处理故障的能力。该人员需长期对本项目负责，如发生人员更换，需提前通知院方。</w:t>
      </w:r>
    </w:p>
    <w:p w14:paraId="267FD7F6">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（三）文档资料管理</w:t>
      </w:r>
    </w:p>
    <w:p w14:paraId="56081E0A">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1.文档是保证项目实施连贯性的重要保证，供应商需要提供完善的文档，并对项目进行过程中的文档进行有效的管理，接受采购人对项目各阶段评估分析和监督管理。</w:t>
      </w:r>
    </w:p>
    <w:p w14:paraId="092AA1DD">
      <w:pPr>
        <w:pStyle w:val="2"/>
        <w:rPr>
          <w:rFonts w:hint="default" w:ascii="仿宋" w:hAnsi="仿宋" w:eastAsia="仿宋"/>
          <w:b w:val="0"/>
          <w:bCs w:val="0"/>
          <w:szCs w:val="21"/>
          <w:lang w:val="en-US" w:eastAsia="zh-CN"/>
        </w:rPr>
      </w:pPr>
      <w:r>
        <w:rPr>
          <w:rFonts w:hint="default" w:ascii="仿宋" w:hAnsi="仿宋" w:eastAsia="仿宋"/>
          <w:b w:val="0"/>
          <w:bCs w:val="0"/>
          <w:szCs w:val="21"/>
          <w:lang w:val="en-US" w:eastAsia="zh-CN"/>
        </w:rPr>
        <w:t>2.整个项目的过程包括后期修改维护提供系统、完整的项目管理、设计和开发、操作说明等书面文档及其电子版。</w:t>
      </w:r>
    </w:p>
    <w:p w14:paraId="7ED51FBE">
      <w:pPr>
        <w:pStyle w:val="2"/>
        <w:rPr>
          <w:rFonts w:hint="default" w:ascii="仿宋" w:hAnsi="仿宋" w:eastAsia="仿宋"/>
          <w:b w:val="0"/>
          <w:bCs w:val="0"/>
          <w:szCs w:val="21"/>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77FB5"/>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BFB2829"/>
    <w:rsid w:val="3C36245C"/>
    <w:rsid w:val="3C5820D4"/>
    <w:rsid w:val="3C5D298C"/>
    <w:rsid w:val="3C60338E"/>
    <w:rsid w:val="3C840FCA"/>
    <w:rsid w:val="3CA90ECD"/>
    <w:rsid w:val="3CAE4D3F"/>
    <w:rsid w:val="3D3943C1"/>
    <w:rsid w:val="3DAC214A"/>
    <w:rsid w:val="3DBA0CE8"/>
    <w:rsid w:val="3DC926AD"/>
    <w:rsid w:val="3E291783"/>
    <w:rsid w:val="3F253EC2"/>
    <w:rsid w:val="3FDE6FD5"/>
    <w:rsid w:val="400B6ED4"/>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7D705B0"/>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676D9"/>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191F67"/>
    <w:rsid w:val="5D40525F"/>
    <w:rsid w:val="5D433C9B"/>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A52303"/>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88146D"/>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2E0F27"/>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4">
    <w:name w:val="Normal Indent"/>
    <w:basedOn w:val="1"/>
    <w:autoRedefine/>
    <w:qFormat/>
    <w:uiPriority w:val="0"/>
    <w:pPr>
      <w:ind w:firstLine="420"/>
    </w:pPr>
    <w:rPr>
      <w:rFonts w:ascii="Calibri" w:hAnsi="Calibri" w:eastAsia="宋体" w:cs="Times New Roman"/>
    </w:rPr>
  </w:style>
  <w:style w:type="paragraph" w:styleId="5">
    <w:name w:val="Body Text 3"/>
    <w:basedOn w:val="1"/>
    <w:unhideWhenUsed/>
    <w:qFormat/>
    <w:uiPriority w:val="99"/>
    <w:pPr>
      <w:spacing w:after="120"/>
    </w:pPr>
    <w:rPr>
      <w:rFonts w:ascii="Calibri" w:hAnsi="Calibri"/>
      <w:sz w:val="16"/>
      <w:szCs w:val="16"/>
      <w:lang w:val="zh-CN"/>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style4"/>
    <w:basedOn w:val="1"/>
    <w:next w:val="13"/>
    <w:autoRedefine/>
    <w:qFormat/>
    <w:uiPriority w:val="0"/>
    <w:pPr>
      <w:widowControl/>
      <w:spacing w:before="280" w:after="280"/>
    </w:pPr>
    <w:rPr>
      <w:rFonts w:ascii="宋体" w:hAnsi="Times New Roman" w:eastAsia="宋体" w:cs="Times New Roman"/>
      <w:sz w:val="18"/>
    </w:rPr>
  </w:style>
  <w:style w:type="paragraph" w:customStyle="1" w:styleId="13">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1"/>
    <w:link w:val="7"/>
    <w:autoRedefine/>
    <w:semiHidden/>
    <w:qFormat/>
    <w:uiPriority w:val="99"/>
    <w:rPr>
      <w:sz w:val="18"/>
      <w:szCs w:val="18"/>
    </w:rPr>
  </w:style>
  <w:style w:type="character" w:customStyle="1" w:styleId="15">
    <w:name w:val="页脚 Char"/>
    <w:basedOn w:val="11"/>
    <w:link w:val="6"/>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paragraph" w:customStyle="1" w:styleId="18">
    <w:name w:val="Table Paragraph"/>
    <w:basedOn w:val="1"/>
    <w:autoRedefine/>
    <w:qFormat/>
    <w:uiPriority w:val="1"/>
    <w:rPr>
      <w:rFonts w:ascii="Times New Roman" w:hAnsi="Times New Roman" w:eastAsia="宋体" w:cs="Times New Roman"/>
      <w:sz w:val="24"/>
      <w:szCs w:val="20"/>
    </w:rPr>
  </w:style>
  <w:style w:type="paragraph" w:customStyle="1" w:styleId="19">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0">
    <w:name w:val="List Paragraph"/>
    <w:basedOn w:val="1"/>
    <w:autoRedefine/>
    <w:qFormat/>
    <w:uiPriority w:val="34"/>
    <w:pPr>
      <w:ind w:firstLine="420" w:firstLineChars="200"/>
    </w:pPr>
  </w:style>
  <w:style w:type="character" w:customStyle="1" w:styleId="21">
    <w:name w:val="font11"/>
    <w:basedOn w:val="11"/>
    <w:qFormat/>
    <w:uiPriority w:val="0"/>
    <w:rPr>
      <w:rFonts w:hint="eastAsia" w:ascii="宋体" w:hAnsi="宋体" w:eastAsia="宋体" w:cs="宋体"/>
      <w:color w:val="000000"/>
      <w:sz w:val="21"/>
      <w:szCs w:val="21"/>
      <w:u w:val="none"/>
    </w:rPr>
  </w:style>
  <w:style w:type="character" w:customStyle="1" w:styleId="22">
    <w:name w:val="font21"/>
    <w:basedOn w:val="11"/>
    <w:qFormat/>
    <w:uiPriority w:val="0"/>
    <w:rPr>
      <w:rFonts w:hint="eastAsia" w:ascii="宋体" w:hAnsi="宋体" w:eastAsia="宋体" w:cs="宋体"/>
      <w:strike/>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7385</Words>
  <Characters>7604</Characters>
  <Lines>6</Lines>
  <Paragraphs>1</Paragraphs>
  <TotalTime>1</TotalTime>
  <ScaleCrop>false</ScaleCrop>
  <LinksUpToDate>false</LinksUpToDate>
  <CharactersWithSpaces>7708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2025-05-23T01:37:57Z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