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1DA15">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六安市中医院离线存储及网络安全态势感知服务项目</w:t>
      </w:r>
      <w:r>
        <w:rPr>
          <w:rFonts w:hint="eastAsia" w:asciiTheme="majorEastAsia" w:hAnsiTheme="majorEastAsia" w:eastAsiaTheme="majorEastAsia"/>
          <w:b/>
          <w:sz w:val="32"/>
          <w:szCs w:val="32"/>
        </w:rPr>
        <w:t>初步参数论证征集意见表</w:t>
      </w:r>
    </w:p>
    <w:p w14:paraId="7CAAF30E">
      <w:pPr>
        <w:spacing w:line="320" w:lineRule="exact"/>
        <w:rPr>
          <w:rFonts w:ascii="仿宋" w:hAnsi="仿宋" w:eastAsia="仿宋"/>
          <w:sz w:val="24"/>
          <w:szCs w:val="24"/>
        </w:rPr>
      </w:pPr>
    </w:p>
    <w:p w14:paraId="5B83025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0AD62E6">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12E4BE73">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1FF73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F3F6B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3912D5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B979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54AA2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A5805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417E49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3F80DAB">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14:paraId="7FE1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14:paraId="100DC3BC">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F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51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5A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14:paraId="27A3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F95C24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B88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CAE2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59E1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573CF">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8F272">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10E37">
            <w:pPr>
              <w:jc w:val="center"/>
              <w:rPr>
                <w:rFonts w:hint="eastAsia" w:ascii="仿宋" w:hAnsi="仿宋" w:eastAsia="仿宋" w:cs="仿宋"/>
                <w:i w:val="0"/>
                <w:iCs w:val="0"/>
                <w:color w:val="000000"/>
                <w:sz w:val="21"/>
                <w:szCs w:val="21"/>
                <w:u w:val="none"/>
              </w:rPr>
            </w:pPr>
          </w:p>
        </w:tc>
      </w:tr>
      <w:tr w14:paraId="3E89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70A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084609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0C01A50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48049D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6483693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4B9FEF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p w14:paraId="62E210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离线存储服务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78C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kern w:val="0"/>
                <w:sz w:val="21"/>
                <w:szCs w:val="21"/>
                <w:u w:val="none"/>
                <w:lang w:val="en-US" w:eastAsia="zh-CN" w:bidi="ar"/>
              </w:rPr>
            </w:pPr>
            <w:r>
              <w:rPr>
                <w:rFonts w:hint="eastAsia"/>
              </w:rPr>
              <w:t>磁带库</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53B33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1.所供设备需为国产化品牌，完全适配院内在用的容灾备份一体机（科力锐数据与备份恢复系统）。</w:t>
            </w:r>
          </w:p>
          <w:p w14:paraId="35FE17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eastAsia="宋体"/>
                <w:lang w:val="en-US" w:eastAsia="zh-CN"/>
              </w:rPr>
            </w:pPr>
            <w:r>
              <w:rPr>
                <w:rFonts w:hint="eastAsia" w:eastAsia="宋体"/>
                <w:lang w:val="en-US" w:eastAsia="zh-CN"/>
              </w:rPr>
              <w:t>2.可离线备份容量≥200TB。</w:t>
            </w:r>
          </w:p>
          <w:p w14:paraId="69465B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3.磁带库放置方式：机架式，可安装标准服务器机柜。</w:t>
            </w:r>
          </w:p>
          <w:p w14:paraId="3D31B3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4.支持目前主流的LTO9、LTO8等磁带机技术。</w:t>
            </w:r>
          </w:p>
          <w:p w14:paraId="524E07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5.连接方式（接口类型）:</w:t>
            </w:r>
          </w:p>
          <w:p w14:paraId="7001A8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具备SCSI接口，支持包括SAS（6Gb适用LTO-8）（12Gb 适用于LTO9），配备 SFF-8088 连接器；</w:t>
            </w:r>
          </w:p>
          <w:p w14:paraId="7A8D47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具备光纤通道接口（FC接口）接口，支持包括 FC（8Gb，适用于 LTO9，8，7），配备 LC 连接器；</w:t>
            </w:r>
          </w:p>
          <w:p w14:paraId="51E47A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单独提供一块相同速率FC板卡，用于备份系统服务器使用。</w:t>
            </w:r>
          </w:p>
          <w:p w14:paraId="2F9A11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6.单台磁带库可支持磁带盘数量≥40；磁带库支持磁带故柜、可支持扩展后槽位数量≥640。</w:t>
            </w:r>
          </w:p>
          <w:p w14:paraId="74DBF7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eastAsia="宋体"/>
                <w:lang w:val="en-US" w:eastAsia="zh-CN"/>
              </w:rPr>
            </w:pPr>
            <w:r>
              <w:rPr>
                <w:rFonts w:hint="eastAsia" w:eastAsia="宋体"/>
                <w:lang w:val="en-US" w:eastAsia="zh-CN"/>
              </w:rPr>
              <w:t>7.单台磁带机非压缩数据传输速率：持续数据传输率≥300MB/S。</w:t>
            </w:r>
          </w:p>
          <w:p w14:paraId="7D935E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kern w:val="0"/>
                <w:sz w:val="21"/>
                <w:szCs w:val="21"/>
                <w:u w:val="none"/>
                <w:lang w:val="en-US" w:eastAsia="zh-CN" w:bidi="ar"/>
              </w:rPr>
            </w:pPr>
            <w:r>
              <w:rPr>
                <w:rFonts w:hint="eastAsia" w:eastAsia="宋体"/>
                <w:lang w:val="en-US" w:eastAsia="zh-CN"/>
              </w:rPr>
              <w:t>8.要求设备具备自动告警和分析功能，能够自动分析设备在运行过程中的告警信息，提供自动分析后的故障报告。</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DAF5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7ABAE4">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E4935CA">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1AA43DA">
            <w:pPr>
              <w:jc w:val="center"/>
              <w:rPr>
                <w:rFonts w:hint="eastAsia" w:ascii="仿宋" w:hAnsi="仿宋" w:eastAsia="仿宋" w:cs="仿宋"/>
                <w:i w:val="0"/>
                <w:iCs w:val="0"/>
                <w:color w:val="000000"/>
                <w:sz w:val="21"/>
                <w:szCs w:val="21"/>
                <w:u w:val="none"/>
              </w:rPr>
            </w:pPr>
          </w:p>
        </w:tc>
      </w:tr>
      <w:tr w14:paraId="3D68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0D1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A69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宋体" w:cs="Times New Roman"/>
                <w:b w:val="0"/>
                <w:bCs/>
                <w:sz w:val="21"/>
                <w:szCs w:val="21"/>
                <w:lang w:val="en-US" w:eastAsia="zh-CN"/>
              </w:rPr>
              <w:t>磁带</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FA688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kern w:val="0"/>
                <w:sz w:val="21"/>
                <w:szCs w:val="21"/>
                <w:u w:val="none"/>
                <w:lang w:val="en-US" w:eastAsia="zh-CN" w:bidi="ar"/>
              </w:rPr>
            </w:pPr>
            <w:r>
              <w:rPr>
                <w:rFonts w:hint="eastAsia"/>
                <w:lang w:val="en-US" w:eastAsia="zh-CN"/>
              </w:rPr>
              <w:t>9.</w:t>
            </w:r>
            <w:r>
              <w:rPr>
                <w:rFonts w:hint="eastAsia"/>
              </w:rPr>
              <w:t xml:space="preserve">配置LTO 8 磁带 </w:t>
            </w:r>
            <w:r>
              <w:rPr>
                <w:rFonts w:hint="eastAsia"/>
                <w:lang w:val="en-US" w:eastAsia="zh-CN"/>
              </w:rPr>
              <w:t>≥18</w:t>
            </w:r>
            <w:r>
              <w:rPr>
                <w:rFonts w:hint="eastAsia"/>
              </w:rPr>
              <w:t>盘（含标签），清洗磁带</w:t>
            </w:r>
            <w:r>
              <w:rPr>
                <w:rFonts w:hint="eastAsia"/>
                <w:lang w:val="en-US" w:eastAsia="zh-CN"/>
              </w:rPr>
              <w:t>≥</w:t>
            </w:r>
            <w:r>
              <w:rPr>
                <w:rFonts w:hint="eastAsia"/>
              </w:rPr>
              <w:t>1盘</w:t>
            </w:r>
            <w:r>
              <w:rPr>
                <w:rFonts w:hint="eastAsia"/>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180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8CE525">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142A375">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7AE37FA">
            <w:pPr>
              <w:jc w:val="center"/>
              <w:rPr>
                <w:rFonts w:hint="eastAsia" w:ascii="仿宋" w:hAnsi="仿宋" w:eastAsia="仿宋" w:cs="仿宋"/>
                <w:i w:val="0"/>
                <w:iCs w:val="0"/>
                <w:color w:val="000000"/>
                <w:sz w:val="21"/>
                <w:szCs w:val="21"/>
                <w:u w:val="none"/>
              </w:rPr>
            </w:pPr>
          </w:p>
        </w:tc>
      </w:tr>
      <w:tr w14:paraId="13E6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2D8D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42F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宋体" w:cs="Times New Roman"/>
                <w:b w:val="0"/>
                <w:bCs/>
                <w:sz w:val="21"/>
                <w:szCs w:val="21"/>
                <w:lang w:val="en-US" w:eastAsia="zh-CN"/>
              </w:rPr>
            </w:pPr>
            <w:r>
              <w:rPr>
                <w:rFonts w:hint="eastAsia" w:ascii="仿宋" w:hAnsi="仿宋" w:eastAsia="宋体" w:cs="Times New Roman"/>
                <w:b w:val="0"/>
                <w:bCs/>
                <w:sz w:val="21"/>
                <w:szCs w:val="21"/>
                <w:lang w:val="en-US" w:eastAsia="zh-CN"/>
              </w:rPr>
              <w:t>其他</w:t>
            </w:r>
          </w:p>
          <w:p w14:paraId="4AAC4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宋体" w:cs="Times New Roman"/>
                <w:b w:val="0"/>
                <w:bCs/>
                <w:sz w:val="21"/>
                <w:szCs w:val="21"/>
                <w:lang w:val="en-US" w:eastAsia="zh-CN"/>
              </w:rPr>
              <w:t>要求</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FDFAE22">
            <w:pPr>
              <w:bidi w:val="0"/>
              <w:rPr>
                <w:rFonts w:hint="eastAsia"/>
                <w:lang w:val="en-US" w:eastAsia="zh-CN"/>
              </w:rPr>
            </w:pPr>
            <w:r>
              <w:rPr>
                <w:rFonts w:hint="eastAsia"/>
                <w:lang w:val="en-US" w:eastAsia="zh-CN"/>
              </w:rPr>
              <w:t>10.项目实施前需进行离线存储设备的备份与恢复测试，若未达到上述参数提及的功能要求，采购方有权终止此次项目。</w:t>
            </w:r>
          </w:p>
          <w:p w14:paraId="68438513">
            <w:pPr>
              <w:bidi w:val="0"/>
              <w:rPr>
                <w:rFonts w:hint="default"/>
                <w:lang w:val="en-US" w:eastAsia="zh-CN"/>
              </w:rPr>
            </w:pPr>
            <w:r>
              <w:rPr>
                <w:rFonts w:hint="eastAsia"/>
                <w:lang w:val="en-US" w:eastAsia="zh-CN"/>
              </w:rPr>
              <w:t>11.项目服务团队进场后，需明确服务项目经理及服务项目实施方案和维保服务方案。</w:t>
            </w:r>
          </w:p>
          <w:p w14:paraId="6076BFC1">
            <w:pPr>
              <w:bidi w:val="0"/>
              <w:rPr>
                <w:rFonts w:hint="eastAsia"/>
                <w:lang w:val="en-US" w:eastAsia="zh-CN"/>
              </w:rPr>
            </w:pPr>
            <w:r>
              <w:rPr>
                <w:rFonts w:hint="eastAsia"/>
                <w:lang w:val="en-US" w:eastAsia="zh-CN"/>
              </w:rPr>
              <w:t>12.本次服务项目提供的离线存储设备，需配备上述参数提及的所有功能，无需其他任何额外收费。</w:t>
            </w:r>
          </w:p>
          <w:p w14:paraId="14F28243">
            <w:pPr>
              <w:bidi w:val="0"/>
              <w:rPr>
                <w:rFonts w:hint="eastAsia"/>
                <w:lang w:val="en-US" w:eastAsia="zh-CN"/>
              </w:rPr>
            </w:pPr>
            <w:r>
              <w:rPr>
                <w:rFonts w:hint="eastAsia"/>
                <w:lang w:val="en-US" w:eastAsia="zh-CN"/>
              </w:rPr>
              <w:t>13.服务期内提供每年不少于四次的医院信息系统容灾应急演练，离线存储恢复现场支持等服务。</w:t>
            </w:r>
          </w:p>
          <w:p w14:paraId="2EE57B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lang w:val="en-US" w:eastAsia="zh-CN"/>
              </w:rPr>
            </w:pPr>
            <w:r>
              <w:rPr>
                <w:rFonts w:hint="eastAsia"/>
                <w:lang w:val="en-US" w:eastAsia="zh-CN"/>
              </w:rPr>
              <w:t>14.服务周期内提供原厂硬件质保及软件维保服务。</w:t>
            </w:r>
          </w:p>
          <w:p w14:paraId="05A2C7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kern w:val="0"/>
                <w:sz w:val="21"/>
                <w:szCs w:val="21"/>
                <w:u w:val="none"/>
                <w:lang w:val="en-US" w:eastAsia="zh-CN" w:bidi="ar"/>
              </w:rPr>
            </w:pPr>
            <w:r>
              <w:rPr>
                <w:rFonts w:hint="eastAsia"/>
                <w:lang w:val="en-US" w:eastAsia="zh-CN"/>
              </w:rPr>
              <w:t>15.年度服务周期结束后，经评估考核合格后，续签第二年度服务合同。（最多续签2次）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836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6C0727">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911723">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D6AF7FD">
            <w:pPr>
              <w:jc w:val="center"/>
              <w:rPr>
                <w:rFonts w:hint="eastAsia" w:ascii="仿宋" w:hAnsi="仿宋" w:eastAsia="仿宋" w:cs="仿宋"/>
                <w:i w:val="0"/>
                <w:iCs w:val="0"/>
                <w:color w:val="000000"/>
                <w:sz w:val="21"/>
                <w:szCs w:val="21"/>
                <w:u w:val="none"/>
              </w:rPr>
            </w:pPr>
          </w:p>
        </w:tc>
      </w:tr>
      <w:tr w14:paraId="1C79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restart"/>
            <w:tcBorders>
              <w:top w:val="single" w:color="000000" w:sz="4" w:space="0"/>
              <w:left w:val="single" w:color="000000" w:sz="4" w:space="0"/>
              <w:right w:val="single" w:color="000000" w:sz="4" w:space="0"/>
            </w:tcBorders>
            <w:noWrap w:val="0"/>
            <w:vAlign w:val="center"/>
          </w:tcPr>
          <w:p w14:paraId="209F2E6B">
            <w:pPr>
              <w:bidi w:val="0"/>
              <w:jc w:val="center"/>
              <w:rPr>
                <w:rFonts w:hint="default"/>
                <w:lang w:val="en-US" w:eastAsia="zh-CN"/>
              </w:rPr>
            </w:pPr>
            <w:r>
              <w:rPr>
                <w:rFonts w:hint="eastAsia"/>
                <w:lang w:val="en-US" w:eastAsia="zh-CN"/>
              </w:rPr>
              <w:t>网络安全态势感知服务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B215EA">
            <w:pPr>
              <w:bidi w:val="0"/>
              <w:rPr>
                <w:rFonts w:hint="eastAsia"/>
                <w:lang w:val="en-US" w:eastAsia="zh-CN"/>
              </w:rPr>
            </w:pPr>
            <w:r>
              <w:rPr>
                <w:rFonts w:hint="eastAsia" w:ascii="仿宋" w:hAnsi="仿宋" w:eastAsia="宋体" w:cs="Times New Roman"/>
                <w:b w:val="0"/>
                <w:bCs/>
                <w:sz w:val="21"/>
                <w:szCs w:val="21"/>
                <w:lang w:val="en-US" w:eastAsia="zh-CN"/>
              </w:rPr>
              <w:t>安全态势感知平台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5ADFE29">
            <w:pPr>
              <w:bidi w:val="0"/>
              <w:rPr>
                <w:rFonts w:hint="eastAsia"/>
                <w:lang w:val="en-US" w:eastAsia="zh-CN"/>
              </w:rPr>
            </w:pPr>
            <w:r>
              <w:rPr>
                <w:rFonts w:hint="eastAsia"/>
                <w:lang w:val="en-US" w:eastAsia="zh-CN"/>
              </w:rPr>
              <w:t>1.设备硬件规格要求：所供设备均满足国家信创国产化相关政策要求、标配≥2颗国产化CPU（12C），主频≥ 2.6GHz，内存≥128GB，系统盘≥1*480GB SSD，数据盘≥8*4T企业级机械硬盘，配备冗余电源，接口≥4千兆电口，≥2个万兆光口，配备四个万兆光模块。</w:t>
            </w:r>
          </w:p>
          <w:p w14:paraId="2D7FF910">
            <w:pPr>
              <w:bidi w:val="0"/>
              <w:rPr>
                <w:rFonts w:hint="eastAsia"/>
                <w:lang w:val="en-US" w:eastAsia="zh-CN"/>
              </w:rPr>
            </w:pPr>
            <w:r>
              <w:rPr>
                <w:rFonts w:hint="eastAsia"/>
                <w:lang w:val="en-US" w:eastAsia="zh-CN"/>
              </w:rPr>
              <w:t>2.性能要求：日接入日志量不低于2.5亿条/天，峰值不低于12000条/秒，带宽性能1Gbps时存储时长不少于1500天/1Gbps；支持自动识别内网的服务器及其开放的服务与端口，支持以列表形式显示资产IP、提供的服务及其开放的端口、设备类型、操作系统等信息；</w:t>
            </w:r>
          </w:p>
          <w:p w14:paraId="7081DAB9">
            <w:pPr>
              <w:bidi w:val="0"/>
              <w:rPr>
                <w:rFonts w:hint="eastAsia"/>
                <w:lang w:val="en-US" w:eastAsia="zh-CN"/>
              </w:rPr>
            </w:pPr>
            <w:r>
              <w:rPr>
                <w:rFonts w:hint="eastAsia"/>
                <w:lang w:val="en-US" w:eastAsia="zh-CN"/>
              </w:rPr>
              <w:t>3.具备主机类资产识别能力，支持在统一页面中展示资产的IP、MAC地址、主机名称、服务端口、资产责任人等详细情况。提供多种类型弱口令策略功能；支持自定义FTP弱口令检测，规则设置如空口令、用户名和密码相同、长度、弱口令列表等；</w:t>
            </w:r>
          </w:p>
          <w:p w14:paraId="04B7F2FB">
            <w:pPr>
              <w:bidi w:val="0"/>
              <w:rPr>
                <w:rFonts w:hint="eastAsia"/>
                <w:lang w:val="en-US" w:eastAsia="zh-CN"/>
              </w:rPr>
            </w:pPr>
            <w:r>
              <w:rPr>
                <w:rFonts w:hint="eastAsia"/>
                <w:lang w:val="en-US" w:eastAsia="zh-CN"/>
              </w:rPr>
              <w:t>4.提供整体展示资产脆弱性风险分析、漏洞情况、脆弱性风险详情（漏洞风险、配置风险、弱密码、web明文传输）等能力，提供第三方漏扫报告导入和解析能力；</w:t>
            </w:r>
          </w:p>
          <w:p w14:paraId="7FD79607">
            <w:pPr>
              <w:bidi w:val="0"/>
              <w:rPr>
                <w:rFonts w:hint="eastAsia"/>
                <w:lang w:val="en-US" w:eastAsia="zh-CN"/>
              </w:rPr>
            </w:pPr>
            <w:r>
              <w:rPr>
                <w:rFonts w:hint="eastAsia"/>
                <w:lang w:val="en-US" w:eastAsia="zh-CN"/>
              </w:rPr>
              <w:t>5.具备可视化分析能力，提供大屏展示、大数据分析和关联检索技术。支持通过首页搜索框输入IP/域名/URL/端口/通信对进行搜索。提供入口点溯源功能，支持分析出首次失陷、疑似入口点、首次遭受攻击等信息；</w:t>
            </w:r>
          </w:p>
          <w:p w14:paraId="0C8B2612">
            <w:pPr>
              <w:bidi w:val="0"/>
              <w:rPr>
                <w:rFonts w:hint="eastAsia"/>
                <w:lang w:val="en-US" w:eastAsia="zh-CN"/>
              </w:rPr>
            </w:pPr>
            <w:r>
              <w:rPr>
                <w:rFonts w:hint="eastAsia"/>
                <w:lang w:val="en-US" w:eastAsia="zh-CN"/>
              </w:rPr>
              <w:t>6.配置安全风险、脆弱性感知、外部威胁感知、安全报告、处置报告等多种方式呈现，提供报告导出功能。</w:t>
            </w:r>
          </w:p>
          <w:p w14:paraId="74AF0F59">
            <w:pPr>
              <w:bidi w:val="0"/>
              <w:rPr>
                <w:rFonts w:hint="eastAsia"/>
                <w:lang w:val="en-US" w:eastAsia="zh-CN"/>
              </w:rPr>
            </w:pPr>
            <w:r>
              <w:rPr>
                <w:rFonts w:hint="eastAsia"/>
                <w:lang w:val="en-US" w:eastAsia="zh-CN"/>
              </w:rPr>
              <w:t>7.配置挖矿病毒的全面检测，支持挖矿实时检测播报本地和云端的挖矿检测分析结果，支持基于攻击阶段展示挖矿主机数量和溯源处置，便于掌握各阶段挖矿主机分布情况。</w:t>
            </w:r>
          </w:p>
          <w:p w14:paraId="4D38CDCF">
            <w:pPr>
              <w:bidi w:val="0"/>
              <w:rPr>
                <w:rFonts w:hint="default"/>
                <w:lang w:val="en-US" w:eastAsia="zh-CN"/>
              </w:rPr>
            </w:pPr>
            <w:r>
              <w:rPr>
                <w:rFonts w:hint="eastAsia"/>
                <w:lang w:val="en-US" w:eastAsia="zh-CN"/>
              </w:rPr>
              <w:t>8.具备实时告警分析能力，支持网络安全攻防演练备战阶段的对外服务器外网暴露面分析、内网服务器暴露面分析；支持实战阶段的实时告警分析和攻击者分析，支持全过程可视溯源分析。</w:t>
            </w:r>
          </w:p>
          <w:p w14:paraId="08908136">
            <w:pPr>
              <w:bidi w:val="0"/>
              <w:rPr>
                <w:rFonts w:hint="default"/>
                <w:lang w:val="en-US" w:eastAsia="zh-CN"/>
              </w:rPr>
            </w:pPr>
            <w:r>
              <w:rPr>
                <w:rFonts w:hint="eastAsia"/>
                <w:lang w:val="en-US" w:eastAsia="zh-CN"/>
              </w:rPr>
              <w:t>9.为更好利旧我院现有设备，态势感知平台须支持与我院现有的网络安全设备进行对接、联动，无需额外费用。</w:t>
            </w:r>
          </w:p>
          <w:p w14:paraId="04C545B1">
            <w:pPr>
              <w:bidi w:val="0"/>
              <w:rPr>
                <w:rFonts w:hint="default"/>
                <w:lang w:val="en-US" w:eastAsia="zh-CN"/>
              </w:rPr>
            </w:pPr>
            <w:r>
              <w:rPr>
                <w:rFonts w:hint="eastAsia"/>
                <w:lang w:val="en-US" w:eastAsia="zh-CN"/>
              </w:rPr>
              <w:t>10.配置</w:t>
            </w:r>
            <w:r>
              <w:rPr>
                <w:rFonts w:hint="default"/>
                <w:lang w:val="en-US" w:eastAsia="zh-CN"/>
              </w:rPr>
              <w:t>基于人工智能模型检测各种变种漏洞和未知漏洞攻击行为，如Struts2系列漏洞、SQL注入漏洞、Java反序列化漏洞、CMS类型漏洞等</w:t>
            </w:r>
            <w:r>
              <w:rPr>
                <w:rFonts w:hint="eastAsia"/>
                <w:lang w:val="en-US" w:eastAsia="zh-CN"/>
              </w:rPr>
              <w:t>。</w:t>
            </w:r>
          </w:p>
          <w:p w14:paraId="21D40A07">
            <w:pPr>
              <w:bidi w:val="0"/>
              <w:rPr>
                <w:rFonts w:hint="eastAsia"/>
                <w:lang w:val="en-US" w:eastAsia="zh-CN"/>
              </w:rPr>
            </w:pPr>
            <w:r>
              <w:rPr>
                <w:rFonts w:hint="eastAsia"/>
                <w:lang w:val="en-US" w:eastAsia="zh-CN"/>
              </w:rPr>
              <w:t>11.配备网络安全相关知识库或实际发生的安全案例，帮助用户记录和总结内部安全知识和安全案例。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FB9298">
            <w:pPr>
              <w:bidi w:val="0"/>
              <w:rPr>
                <w:rFonts w:hint="eastAsia"/>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E6CC76">
            <w:pPr>
              <w:bidi w:val="0"/>
              <w:rPr>
                <w:rFonts w:hint="eastAsia"/>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B2A3F2">
            <w:pPr>
              <w:bidi w:val="0"/>
              <w:rPr>
                <w:rFonts w:hint="eastAsia"/>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F2915E6">
            <w:pPr>
              <w:bidi w:val="0"/>
              <w:rPr>
                <w:rFonts w:hint="eastAsia"/>
                <w:lang w:val="en-US" w:eastAsia="zh-CN"/>
              </w:rPr>
            </w:pPr>
          </w:p>
        </w:tc>
      </w:tr>
      <w:tr w14:paraId="7DF3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left w:val="single" w:color="000000" w:sz="4" w:space="0"/>
              <w:right w:val="single" w:color="000000" w:sz="4" w:space="0"/>
            </w:tcBorders>
            <w:noWrap w:val="0"/>
            <w:vAlign w:val="center"/>
          </w:tcPr>
          <w:p w14:paraId="31124F78">
            <w:pPr>
              <w:bidi w:val="0"/>
              <w:rPr>
                <w:rFonts w:hint="eastAsia"/>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FC84DB">
            <w:pPr>
              <w:bidi w:val="0"/>
              <w:rPr>
                <w:rFonts w:hint="eastAsia"/>
                <w:lang w:val="en-US" w:eastAsia="zh-CN"/>
              </w:rPr>
            </w:pPr>
            <w:r>
              <w:rPr>
                <w:rFonts w:hint="eastAsia" w:ascii="仿宋" w:hAnsi="仿宋" w:eastAsia="宋体" w:cs="Times New Roman"/>
                <w:b w:val="0"/>
                <w:bCs/>
                <w:sz w:val="21"/>
                <w:szCs w:val="21"/>
                <w:lang w:val="en-US" w:eastAsia="zh-CN"/>
              </w:rPr>
              <w:t>流量探针（一）</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4473DDE">
            <w:pPr>
              <w:bidi w:val="0"/>
              <w:rPr>
                <w:rFonts w:hint="eastAsia"/>
                <w:lang w:val="en-US" w:eastAsia="zh-CN"/>
              </w:rPr>
            </w:pPr>
            <w:r>
              <w:rPr>
                <w:rFonts w:hint="eastAsia"/>
                <w:lang w:val="en-US" w:eastAsia="zh-CN"/>
              </w:rPr>
              <w:t>12.硬件规格要求为：所供设备均满足国家信创国产化相关政策要求，标配国产化CPU，内存≥8GB，硬盘容量≥128GB SSD，接口≥6千兆电口+4千兆光口；本次需为使用方提供的服务组件性能要求为网络层吞吐量≥1Gbps，应用层吞吐量≥500Mbps；</w:t>
            </w:r>
          </w:p>
          <w:p w14:paraId="7C61D9A9">
            <w:pPr>
              <w:bidi w:val="0"/>
              <w:rPr>
                <w:rFonts w:hint="eastAsia"/>
                <w:lang w:val="en-US" w:eastAsia="zh-CN"/>
              </w:rPr>
            </w:pPr>
            <w:r>
              <w:rPr>
                <w:rFonts w:hint="eastAsia"/>
                <w:lang w:val="en-US" w:eastAsia="zh-CN"/>
              </w:rPr>
              <w:t>13.支持通过分流器抓取内网边界出口网络区域流量和互联网出口区域流量。支持对多种网络流量中主流协议进行识别和深度解析，用于取证分析、威胁发现，支持协议包括：flow、HTTP、DNS、SMB、NFS、FTP、tftp、DHCP、ICMP、NTP、HTTPS（SSL）、数据库协议（SQL Server、Mysql、DB2、Oracle、Mongodb、Redis）、路由协议（RIP、OSPF）、远程管理协议（RSH、SSH、RDP、Rlogin、Telnet、VNC）等。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313160">
            <w:pPr>
              <w:bidi w:val="0"/>
              <w:rPr>
                <w:rFonts w:hint="eastAsia"/>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9088D4">
            <w:pPr>
              <w:bidi w:val="0"/>
              <w:rPr>
                <w:rFonts w:hint="eastAsia"/>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8B366FB">
            <w:pPr>
              <w:bidi w:val="0"/>
              <w:rPr>
                <w:rFonts w:hint="eastAsia"/>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A6DD344">
            <w:pPr>
              <w:bidi w:val="0"/>
              <w:rPr>
                <w:rFonts w:hint="eastAsia"/>
                <w:lang w:val="en-US" w:eastAsia="zh-CN"/>
              </w:rPr>
            </w:pPr>
          </w:p>
        </w:tc>
      </w:tr>
      <w:tr w14:paraId="0D52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left w:val="single" w:color="000000" w:sz="4" w:space="0"/>
              <w:right w:val="single" w:color="000000" w:sz="4" w:space="0"/>
            </w:tcBorders>
            <w:noWrap w:val="0"/>
            <w:vAlign w:val="center"/>
          </w:tcPr>
          <w:p w14:paraId="21F5EEF2">
            <w:pPr>
              <w:bidi w:val="0"/>
              <w:rPr>
                <w:rFonts w:hint="eastAsia"/>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32DE9F">
            <w:pPr>
              <w:bidi w:val="0"/>
              <w:rPr>
                <w:rFonts w:hint="eastAsia"/>
                <w:lang w:val="en-US" w:eastAsia="zh-CN"/>
              </w:rPr>
            </w:pPr>
            <w:r>
              <w:rPr>
                <w:rFonts w:hint="eastAsia" w:ascii="仿宋" w:hAnsi="仿宋" w:eastAsia="宋体" w:cs="Times New Roman"/>
                <w:b w:val="0"/>
                <w:bCs/>
                <w:sz w:val="21"/>
                <w:szCs w:val="21"/>
                <w:lang w:val="en-US" w:eastAsia="zh-CN"/>
              </w:rPr>
              <w:t>流量探针（二）</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69901CA">
            <w:pPr>
              <w:bidi w:val="0"/>
              <w:rPr>
                <w:rFonts w:hint="eastAsia"/>
                <w:lang w:val="en-US" w:eastAsia="zh-CN"/>
              </w:rPr>
            </w:pPr>
            <w:r>
              <w:rPr>
                <w:rFonts w:hint="eastAsia"/>
                <w:lang w:val="en-US" w:eastAsia="zh-CN"/>
              </w:rPr>
              <w:t>14.硬件规格要求：所供设备均满足国家信创国产化相关政策要求、标配国产化CPU，内存≥16GB，硬盘容量≥480GB SSD，接口≥6千兆电口+2万兆光口；性能要求为网络层吞吐量≥3Gbps，应用层吞吐量≥1.2Gbps；</w:t>
            </w:r>
          </w:p>
          <w:p w14:paraId="2F849C2A">
            <w:pPr>
              <w:bidi w:val="0"/>
              <w:rPr>
                <w:rFonts w:hint="eastAsia"/>
                <w:lang w:val="en-US" w:eastAsia="zh-CN"/>
              </w:rPr>
            </w:pPr>
            <w:r>
              <w:rPr>
                <w:rFonts w:hint="eastAsia"/>
                <w:lang w:val="en-US" w:eastAsia="zh-CN"/>
              </w:rPr>
              <w:t>15.支持通过分流器抓取内网边界出口网络区域流量和互联网出口区域流量。支持对多种网络流量中主流协议进行识别和深度解析，用于取证分析、威胁发现，支持协议包括：flow、HTTP、DNS、SMB、NFS、FTP、tftp、DHCP、ICMP、NTP、HTTPS（SSL）、数据库协议（SQL Server、Mysql、DB2、Oracle、Mongodb、Redis）、路由协议（RIP、OSPF）、远程管理协议（RSH、SSH、RDP、Rlogin、Telnet、VNC）等。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C54D8C">
            <w:pPr>
              <w:bidi w:val="0"/>
              <w:rPr>
                <w:rFonts w:hint="eastAsia"/>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5EB7D2">
            <w:pPr>
              <w:bidi w:val="0"/>
              <w:rPr>
                <w:rFonts w:hint="eastAsia"/>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57F7CC0">
            <w:pPr>
              <w:bidi w:val="0"/>
              <w:rPr>
                <w:rFonts w:hint="eastAsia"/>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5DEE12C">
            <w:pPr>
              <w:bidi w:val="0"/>
              <w:rPr>
                <w:rFonts w:hint="eastAsia"/>
                <w:lang w:val="en-US" w:eastAsia="zh-CN"/>
              </w:rPr>
            </w:pPr>
          </w:p>
        </w:tc>
      </w:tr>
      <w:tr w14:paraId="1C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8" w:hRule="atLeast"/>
        </w:trPr>
        <w:tc>
          <w:tcPr>
            <w:tcW w:w="682" w:type="dxa"/>
            <w:vMerge w:val="continue"/>
            <w:tcBorders>
              <w:left w:val="single" w:color="000000" w:sz="4" w:space="0"/>
              <w:bottom w:val="single" w:color="000000" w:sz="4" w:space="0"/>
              <w:right w:val="single" w:color="000000" w:sz="4" w:space="0"/>
            </w:tcBorders>
            <w:noWrap w:val="0"/>
            <w:vAlign w:val="center"/>
          </w:tcPr>
          <w:p w14:paraId="40677C9F">
            <w:pPr>
              <w:bidi w:val="0"/>
              <w:rPr>
                <w:rFonts w:hint="eastAsia"/>
                <w:lang w:val="en-US" w:eastAsia="zh-CN"/>
              </w:rPr>
            </w:pPr>
          </w:p>
        </w:tc>
        <w:tc>
          <w:tcPr>
            <w:tcW w:w="1080" w:type="dxa"/>
            <w:tcBorders>
              <w:top w:val="single" w:color="000000" w:sz="4" w:space="0"/>
              <w:left w:val="single" w:color="000000" w:sz="4" w:space="0"/>
              <w:right w:val="single" w:color="000000" w:sz="4" w:space="0"/>
            </w:tcBorders>
            <w:noWrap w:val="0"/>
            <w:vAlign w:val="center"/>
          </w:tcPr>
          <w:p w14:paraId="5DC72FFA">
            <w:pPr>
              <w:bidi w:val="0"/>
              <w:rPr>
                <w:rFonts w:hint="eastAsia"/>
                <w:lang w:val="en-US" w:eastAsia="zh-CN"/>
              </w:rPr>
            </w:pPr>
            <w:r>
              <w:rPr>
                <w:rFonts w:hint="eastAsia" w:ascii="仿宋" w:hAnsi="仿宋" w:eastAsia="宋体" w:cs="Times New Roman"/>
                <w:b w:val="0"/>
                <w:bCs/>
                <w:sz w:val="21"/>
                <w:szCs w:val="21"/>
                <w:lang w:val="en-US" w:eastAsia="zh-CN"/>
              </w:rPr>
              <w:t>安全托管服务</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FB74C0D">
            <w:pPr>
              <w:bidi w:val="0"/>
              <w:rPr>
                <w:rFonts w:hint="eastAsia"/>
                <w:lang w:val="en-US" w:eastAsia="zh-CN"/>
              </w:rPr>
            </w:pPr>
            <w:r>
              <w:rPr>
                <w:rFonts w:hint="eastAsia"/>
                <w:lang w:val="en-US" w:eastAsia="zh-CN"/>
              </w:rPr>
              <w:t>16.本次应提供不少于80个资产（操作系统数量）授权的合同期内的安全值守服务。</w:t>
            </w:r>
          </w:p>
          <w:p w14:paraId="6A0D847B">
            <w:pPr>
              <w:bidi w:val="0"/>
              <w:rPr>
                <w:rFonts w:hint="eastAsia"/>
                <w:lang w:val="en-US" w:eastAsia="zh-CN"/>
              </w:rPr>
            </w:pPr>
            <w:r>
              <w:rPr>
                <w:rFonts w:hint="eastAsia"/>
                <w:lang w:val="en-US" w:eastAsia="zh-CN"/>
              </w:rPr>
              <w:t>17.7*24小时威胁发现与处置：围绕资产、漏洞、威胁、事件提供7*24小时的远程安全托管运营服务。通过采集使用方安全设备和工具的安全告警和安全日志，提供7*24小时持续不间断的安全威胁分析发现；分析研判包括但不限于对脆弱性、异常流量、攻击日志、病毒日志等数据进行采集和实时分析研判，支持将同一资产的多个告警进行聚合分析发现各类安全事件，并在告警详情中展示告警的基本信息，涉及的业务信息、攻击趋势、威胁详情、攻击原理、处置建议等内容。</w:t>
            </w:r>
          </w:p>
          <w:p w14:paraId="596E22ED">
            <w:pPr>
              <w:bidi w:val="0"/>
              <w:rPr>
                <w:rFonts w:hint="eastAsia"/>
                <w:lang w:val="en-US" w:eastAsia="zh-CN"/>
              </w:rPr>
            </w:pPr>
            <w:r>
              <w:rPr>
                <w:rFonts w:hint="eastAsia"/>
                <w:lang w:val="en-US" w:eastAsia="zh-CN"/>
              </w:rPr>
              <w:t>18.安全巡检服务：提供可视化报告和统计服务。收集日志信息，分析指定设备的特定时间的日志信息，发现面临的安全风险，对安全设备进行策略检查，根据检查结果提供整改建议；检查设备硬件和软件运行状态，建立基线标准。</w:t>
            </w:r>
          </w:p>
          <w:p w14:paraId="1BD0D3A7">
            <w:pPr>
              <w:bidi w:val="0"/>
              <w:rPr>
                <w:rFonts w:hint="eastAsia"/>
                <w:lang w:val="en-US" w:eastAsia="zh-CN"/>
              </w:rPr>
            </w:pPr>
            <w:r>
              <w:rPr>
                <w:rFonts w:hint="eastAsia"/>
                <w:lang w:val="en-US" w:eastAsia="zh-CN"/>
              </w:rPr>
              <w:t>19.高危可利用漏洞防护：配备漏洞扫描功能，通过相关扫描和评估工具以本地扫描的方式对院内信息系统和网络进行安全扫描，从内网和外网两个角度来查找网络结构、网络设备、服务器主机、数据和用户帐号/口令等安全对像目标存在的安全风险、漏洞和威胁。针对服务范围内资产扫描到的高危可利用漏洞，不限于为使用方提供漏洞修复方案和安全设备防护策略，保证使用方不因此出现重大事件和损失；</w:t>
            </w:r>
          </w:p>
          <w:p w14:paraId="7C7AAC2D">
            <w:pPr>
              <w:bidi w:val="0"/>
              <w:rPr>
                <w:rFonts w:hint="eastAsia"/>
                <w:lang w:val="en-US" w:eastAsia="zh-CN"/>
              </w:rPr>
            </w:pPr>
            <w:r>
              <w:rPr>
                <w:rFonts w:hint="eastAsia"/>
                <w:lang w:val="en-US" w:eastAsia="zh-CN"/>
              </w:rPr>
              <w:t>20暴露面梳理：供应商应使用安全工具对使用方服务资产开展互联网暴露面探测，以梳理资产面向互联网的开放情况，第一时间发现及处置违规暴露在互联网中的资产及存在的风险。收集到的暴露面信息至少包括域名、域名标题、IP地址、开放端口、资产信息、移动端暴露面，并且能采集对应暴露资产的访问进行截图证明。</w:t>
            </w:r>
          </w:p>
          <w:p w14:paraId="68F0AD4D">
            <w:pPr>
              <w:bidi w:val="0"/>
              <w:rPr>
                <w:rFonts w:hint="eastAsia"/>
                <w:lang w:val="en-US" w:eastAsia="zh-CN"/>
              </w:rPr>
            </w:pPr>
            <w:r>
              <w:rPr>
                <w:rFonts w:hint="eastAsia"/>
                <w:lang w:val="en-US" w:eastAsia="zh-CN"/>
              </w:rPr>
              <w:t>21.需配备一个专属安全服务团队，提供365*24小时不间断安全守护。根据使用方需求提供相应周期的安全报告，包括但不限于《网络安全威胁情报》、《特殊时期安全值守报告》、网络安全日、周、月、季及年报等；</w:t>
            </w:r>
          </w:p>
        </w:tc>
        <w:tc>
          <w:tcPr>
            <w:tcW w:w="735" w:type="dxa"/>
            <w:tcBorders>
              <w:top w:val="single" w:color="000000" w:sz="4" w:space="0"/>
              <w:left w:val="single" w:color="000000" w:sz="4" w:space="0"/>
              <w:right w:val="single" w:color="000000" w:sz="4" w:space="0"/>
            </w:tcBorders>
            <w:noWrap w:val="0"/>
            <w:vAlign w:val="center"/>
          </w:tcPr>
          <w:p w14:paraId="076B79A1">
            <w:pPr>
              <w:bidi w:val="0"/>
              <w:rPr>
                <w:rFonts w:hint="eastAsia"/>
                <w:lang w:val="en-US" w:eastAsia="zh-CN"/>
              </w:rPr>
            </w:pPr>
          </w:p>
        </w:tc>
        <w:tc>
          <w:tcPr>
            <w:tcW w:w="765" w:type="dxa"/>
            <w:tcBorders>
              <w:top w:val="single" w:color="000000" w:sz="4" w:space="0"/>
              <w:left w:val="single" w:color="000000" w:sz="4" w:space="0"/>
              <w:right w:val="single" w:color="000000" w:sz="4" w:space="0"/>
            </w:tcBorders>
            <w:noWrap w:val="0"/>
            <w:vAlign w:val="center"/>
          </w:tcPr>
          <w:p w14:paraId="4DB3EC89">
            <w:pPr>
              <w:bidi w:val="0"/>
              <w:rPr>
                <w:rFonts w:hint="eastAsia"/>
                <w:lang w:val="en-US" w:eastAsia="zh-CN"/>
              </w:rPr>
            </w:pPr>
          </w:p>
        </w:tc>
        <w:tc>
          <w:tcPr>
            <w:tcW w:w="645" w:type="dxa"/>
            <w:tcBorders>
              <w:top w:val="single" w:color="000000" w:sz="4" w:space="0"/>
              <w:left w:val="single" w:color="000000" w:sz="4" w:space="0"/>
              <w:right w:val="single" w:color="000000" w:sz="4" w:space="0"/>
            </w:tcBorders>
            <w:noWrap w:val="0"/>
            <w:vAlign w:val="center"/>
          </w:tcPr>
          <w:p w14:paraId="093AD6DE">
            <w:pPr>
              <w:bidi w:val="0"/>
              <w:rPr>
                <w:rFonts w:hint="eastAsia"/>
                <w:lang w:val="en-US" w:eastAsia="zh-CN"/>
              </w:rPr>
            </w:pPr>
          </w:p>
        </w:tc>
        <w:tc>
          <w:tcPr>
            <w:tcW w:w="878" w:type="dxa"/>
            <w:tcBorders>
              <w:top w:val="single" w:color="000000" w:sz="4" w:space="0"/>
              <w:left w:val="single" w:color="000000" w:sz="4" w:space="0"/>
              <w:right w:val="single" w:color="000000" w:sz="4" w:space="0"/>
            </w:tcBorders>
            <w:noWrap w:val="0"/>
            <w:vAlign w:val="center"/>
          </w:tcPr>
          <w:p w14:paraId="1223E68E">
            <w:pPr>
              <w:bidi w:val="0"/>
              <w:rPr>
                <w:rFonts w:hint="eastAsia"/>
                <w:lang w:val="en-US" w:eastAsia="zh-CN"/>
              </w:rPr>
            </w:pPr>
          </w:p>
        </w:tc>
      </w:tr>
      <w:tr w14:paraId="564A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8" w:hRule="atLeast"/>
        </w:trPr>
        <w:tc>
          <w:tcPr>
            <w:tcW w:w="682" w:type="dxa"/>
            <w:vMerge w:val="continue"/>
            <w:tcBorders>
              <w:left w:val="single" w:color="000000" w:sz="4" w:space="0"/>
              <w:bottom w:val="single" w:color="000000" w:sz="4" w:space="0"/>
              <w:right w:val="single" w:color="000000" w:sz="4" w:space="0"/>
            </w:tcBorders>
            <w:noWrap w:val="0"/>
            <w:vAlign w:val="center"/>
          </w:tcPr>
          <w:p w14:paraId="1421CDB9">
            <w:pPr>
              <w:bidi w:val="0"/>
            </w:pPr>
          </w:p>
        </w:tc>
        <w:tc>
          <w:tcPr>
            <w:tcW w:w="1080" w:type="dxa"/>
            <w:tcBorders>
              <w:left w:val="single" w:color="000000" w:sz="4" w:space="0"/>
              <w:bottom w:val="single" w:color="000000" w:sz="4" w:space="0"/>
              <w:right w:val="single" w:color="000000" w:sz="4" w:space="0"/>
            </w:tcBorders>
            <w:noWrap w:val="0"/>
            <w:vAlign w:val="center"/>
          </w:tcPr>
          <w:p w14:paraId="76BEFFBD">
            <w:pPr>
              <w:bidi w:val="0"/>
              <w:jc w:val="both"/>
            </w:pPr>
            <w:r>
              <w:rPr>
                <w:rFonts w:hint="eastAsia"/>
                <w:lang w:val="en-US" w:eastAsia="zh-CN"/>
              </w:rPr>
              <w:t>其他要求</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93FE9BA">
            <w:pPr>
              <w:rPr>
                <w:rFonts w:hint="eastAsia"/>
                <w:lang w:val="en-US" w:eastAsia="zh-CN"/>
              </w:rPr>
            </w:pPr>
            <w:r>
              <w:rPr>
                <w:rFonts w:hint="eastAsia"/>
                <w:lang w:val="en-US" w:eastAsia="zh-CN"/>
              </w:rPr>
              <w:t>22.安全事件经过安全服务团队的确认后，通告给使用方的各类安全事件的准确率不低于95%；服务范围内的所有安全事件的闭环处置比例达到100%。</w:t>
            </w:r>
          </w:p>
          <w:p w14:paraId="396A0026">
            <w:pPr>
              <w:rPr>
                <w:rFonts w:hint="eastAsia"/>
                <w:lang w:val="en-US" w:eastAsia="zh-CN"/>
              </w:rPr>
            </w:pPr>
            <w:r>
              <w:rPr>
                <w:rFonts w:hint="eastAsia"/>
                <w:lang w:val="en-US" w:eastAsia="zh-CN"/>
              </w:rPr>
              <w:t>23.按照国家标准对安全事件的分类分级指南，重大安全事件通报时间小于30分钟，一般事件的通报时间少于1小时。供应商应当满足重大事故应启动应急响应机制，工作时间15分钟之内云端专家进行响应，非工作时间30分钟之内云端专家进行响应，2小时内现场处置。</w:t>
            </w:r>
          </w:p>
          <w:p w14:paraId="5F3430A6">
            <w:pPr>
              <w:bidi w:val="0"/>
              <w:rPr>
                <w:rFonts w:hint="eastAsia"/>
                <w:lang w:val="en-US" w:eastAsia="zh-CN"/>
              </w:rPr>
            </w:pPr>
            <w:r>
              <w:rPr>
                <w:rFonts w:hint="eastAsia"/>
                <w:lang w:val="en-US" w:eastAsia="zh-CN"/>
              </w:rPr>
              <w:t>24.本次项目采购的网络安全态势感知服务，需配备上述参数提及的所有的投入设备及功能需求，无需其他任何额外收费。</w:t>
            </w:r>
          </w:p>
          <w:p w14:paraId="04EB8EBC">
            <w:pPr>
              <w:bidi w:val="0"/>
              <w:rPr>
                <w:rFonts w:hint="eastAsia"/>
                <w:lang w:val="en-US" w:eastAsia="zh-CN"/>
              </w:rPr>
            </w:pPr>
            <w:r>
              <w:rPr>
                <w:rFonts w:hint="eastAsia"/>
                <w:lang w:val="en-US" w:eastAsia="zh-CN"/>
              </w:rPr>
              <w:t>25.项目服务团队进场后，需明确服务项目经理及服务项目实施方案和维保服务方案。</w:t>
            </w:r>
          </w:p>
          <w:p w14:paraId="351674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lang w:val="en-US" w:eastAsia="zh-CN"/>
              </w:rPr>
            </w:pPr>
            <w:r>
              <w:rPr>
                <w:rFonts w:hint="eastAsia"/>
                <w:lang w:val="en-US" w:eastAsia="zh-CN"/>
              </w:rPr>
              <w:t>26.服务周期内提供原厂硬件质保及软件维保服务。</w:t>
            </w:r>
          </w:p>
          <w:p w14:paraId="545AA4FE">
            <w:pPr>
              <w:bidi w:val="0"/>
              <w:rPr>
                <w:rFonts w:hint="eastAsia"/>
                <w:lang w:val="en-US" w:eastAsia="zh-CN"/>
              </w:rPr>
            </w:pPr>
            <w:r>
              <w:rPr>
                <w:rFonts w:hint="eastAsia"/>
                <w:lang w:val="en-US" w:eastAsia="zh-CN"/>
              </w:rPr>
              <w:t>27</w:t>
            </w:r>
            <w:bookmarkStart w:id="0" w:name="_GoBack"/>
            <w:bookmarkEnd w:id="0"/>
            <w:r>
              <w:rPr>
                <w:rFonts w:hint="eastAsia"/>
                <w:lang w:val="en-US" w:eastAsia="zh-CN"/>
              </w:rPr>
              <w:t>.年度服务周期结束后，经评估考核合格后，续签第二年度服务合同。（最多续签2次）</w:t>
            </w:r>
          </w:p>
        </w:tc>
        <w:tc>
          <w:tcPr>
            <w:tcW w:w="735" w:type="dxa"/>
            <w:tcBorders>
              <w:left w:val="single" w:color="000000" w:sz="4" w:space="0"/>
              <w:bottom w:val="single" w:color="000000" w:sz="4" w:space="0"/>
              <w:right w:val="single" w:color="000000" w:sz="4" w:space="0"/>
            </w:tcBorders>
            <w:noWrap w:val="0"/>
            <w:vAlign w:val="center"/>
          </w:tcPr>
          <w:p w14:paraId="098A6276">
            <w:pPr>
              <w:bidi w:val="0"/>
              <w:rPr>
                <w:rFonts w:hint="eastAsia"/>
                <w:lang w:val="en-US" w:eastAsia="zh-CN"/>
              </w:rPr>
            </w:pPr>
          </w:p>
        </w:tc>
        <w:tc>
          <w:tcPr>
            <w:tcW w:w="765" w:type="dxa"/>
            <w:tcBorders>
              <w:left w:val="single" w:color="000000" w:sz="4" w:space="0"/>
              <w:bottom w:val="single" w:color="000000" w:sz="4" w:space="0"/>
              <w:right w:val="single" w:color="000000" w:sz="4" w:space="0"/>
            </w:tcBorders>
            <w:noWrap w:val="0"/>
            <w:vAlign w:val="center"/>
          </w:tcPr>
          <w:p w14:paraId="069577CB">
            <w:pPr>
              <w:bidi w:val="0"/>
              <w:rPr>
                <w:rFonts w:hint="eastAsia"/>
                <w:lang w:val="en-US" w:eastAsia="zh-CN"/>
              </w:rPr>
            </w:pPr>
          </w:p>
        </w:tc>
        <w:tc>
          <w:tcPr>
            <w:tcW w:w="645" w:type="dxa"/>
            <w:tcBorders>
              <w:left w:val="single" w:color="000000" w:sz="4" w:space="0"/>
              <w:bottom w:val="single" w:color="000000" w:sz="4" w:space="0"/>
              <w:right w:val="single" w:color="000000" w:sz="4" w:space="0"/>
            </w:tcBorders>
            <w:noWrap w:val="0"/>
            <w:vAlign w:val="center"/>
          </w:tcPr>
          <w:p w14:paraId="7D4D5847">
            <w:pPr>
              <w:bidi w:val="0"/>
              <w:rPr>
                <w:rFonts w:hint="eastAsia"/>
                <w:lang w:val="en-US" w:eastAsia="zh-CN"/>
              </w:rPr>
            </w:pPr>
          </w:p>
        </w:tc>
        <w:tc>
          <w:tcPr>
            <w:tcW w:w="878" w:type="dxa"/>
            <w:tcBorders>
              <w:left w:val="single" w:color="000000" w:sz="4" w:space="0"/>
              <w:bottom w:val="single" w:color="000000" w:sz="4" w:space="0"/>
              <w:right w:val="single" w:color="000000" w:sz="4" w:space="0"/>
            </w:tcBorders>
            <w:noWrap w:val="0"/>
            <w:vAlign w:val="center"/>
          </w:tcPr>
          <w:p w14:paraId="70F1658D">
            <w:pPr>
              <w:bidi w:val="0"/>
              <w:rPr>
                <w:rFonts w:hint="eastAsia"/>
                <w:lang w:val="en-US" w:eastAsia="zh-CN"/>
              </w:rPr>
            </w:pPr>
          </w:p>
        </w:tc>
      </w:tr>
    </w:tbl>
    <w:p w14:paraId="2B3B0EDC">
      <w:pPr>
        <w:pStyle w:val="3"/>
      </w:pPr>
    </w:p>
    <w:p w14:paraId="58635ED3">
      <w:pPr>
        <w:bidi w:val="0"/>
        <w:jc w:val="center"/>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04C2FAF8">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418C82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4220EC"/>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85D4A"/>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954FA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D7248"/>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365A8A"/>
    <w:rsid w:val="556B4EDD"/>
    <w:rsid w:val="55A423F8"/>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A3260"/>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目录 71"/>
    <w:basedOn w:val="1"/>
    <w:next w:val="1"/>
    <w:autoRedefine/>
    <w:qFormat/>
    <w:uiPriority w:val="0"/>
    <w:pPr>
      <w:ind w:left="2520"/>
    </w:pPr>
    <w:rPr>
      <w:rFonts w:ascii="Calibri"/>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3875</Words>
  <Characters>4338</Characters>
  <Lines>6</Lines>
  <Paragraphs>1</Paragraphs>
  <TotalTime>2</TotalTime>
  <ScaleCrop>false</ScaleCrop>
  <LinksUpToDate>false</LinksUpToDate>
  <CharactersWithSpaces>4452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2025-01-13T08:17:59Z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eyJoZGlkIjoiZjliMDljOTNiZjg2OGZjYmUzNmIzODA4M2U2ZDAwNTUiLCJ1c2VySWQiOiI5NDYyMTUwMjAifQ==</vt:lpwstr>
  </property>
</Properties>
</file>