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14"/>
        <w:ind w:firstLine="560" w:firstLineChars="200"/>
        <w:rPr>
          <w:rFonts w:ascii="仿宋_GB2312" w:eastAsia="仿宋_GB2312"/>
          <w:sz w:val="28"/>
          <w:szCs w:val="28"/>
        </w:rPr>
      </w:pPr>
    </w:p>
    <w:p w14:paraId="5F348A96">
      <w:pPr>
        <w:pStyle w:val="1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14"/>
        <w:ind w:left="0" w:leftChars="0" w:firstLine="0" w:firstLineChars="0"/>
        <w:rPr>
          <w:rFonts w:hint="eastAsia" w:ascii="Arial Black" w:hAnsi="Arial Black" w:eastAsia="华文彩云"/>
          <w:sz w:val="44"/>
        </w:rPr>
      </w:pPr>
    </w:p>
    <w:p w14:paraId="40B5F735">
      <w:pPr>
        <w:pStyle w:val="14"/>
        <w:rPr>
          <w:rFonts w:hint="eastAsia" w:ascii="Arial Black" w:hAnsi="Arial Black" w:eastAsia="华文彩云"/>
          <w:sz w:val="44"/>
        </w:rPr>
      </w:pPr>
    </w:p>
    <w:p w14:paraId="4DBA08AB">
      <w:pPr>
        <w:pStyle w:val="14"/>
        <w:rPr>
          <w:rFonts w:hint="eastAsia" w:ascii="Arial Black" w:hAnsi="Arial Black" w:eastAsia="华文彩云"/>
          <w:sz w:val="44"/>
        </w:rPr>
      </w:pPr>
    </w:p>
    <w:p w14:paraId="12FFADE8">
      <w:pPr>
        <w:pStyle w:val="1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六安市中医院口腔CBCT、牙片机环境</w:t>
      </w:r>
      <w:r>
        <w:rPr>
          <w:rFonts w:hint="eastAsia" w:ascii="宋体" w:hAnsi="宋体" w:cs="宋体"/>
          <w:b/>
          <w:bCs/>
          <w:kern w:val="0"/>
          <w:sz w:val="28"/>
          <w:szCs w:val="28"/>
          <w:u w:val="single"/>
          <w:shd w:val="clear" w:color="auto" w:fill="FFFFFF"/>
          <w:lang w:val="en-US" w:eastAsia="zh-CN" w:bidi="ar"/>
        </w:rPr>
        <w:t>保护</w:t>
      </w:r>
      <w:r>
        <w:rPr>
          <w:rFonts w:hint="eastAsia" w:ascii="宋体" w:hAnsi="宋体" w:eastAsia="宋体" w:cs="宋体"/>
          <w:b/>
          <w:bCs/>
          <w:kern w:val="0"/>
          <w:sz w:val="28"/>
          <w:szCs w:val="28"/>
          <w:u w:val="single"/>
          <w:shd w:val="clear" w:color="auto" w:fill="FFFFFF"/>
          <w:lang w:val="en-US" w:eastAsia="zh-CN" w:bidi="ar"/>
        </w:rPr>
        <w:t>竣工验收服务采购项目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LASZYYSBGCB2025002-2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12"/>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4EA06A92">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504314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12"/>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EB6DE3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33C3656F">
      <w:pPr>
        <w:pStyle w:val="12"/>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57B929D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2B1D27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925138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2A2CC02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11A1F13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6A84081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90A0D1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6D2309A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715984A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0FC76A4C">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4A723830">
      <w:pPr>
        <w:pStyle w:val="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05314F9C">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2CDCFCB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9CB5E2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5"/>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5"/>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5"/>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1、项目编号：LASZYYSBGCB2025002-2</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六安市中医院口腔CBCT、牙片机环境保护竣工验收服务采购项目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1</w:t>
      </w:r>
      <w:r>
        <w:rPr>
          <w:rFonts w:hint="eastAsia" w:ascii="宋体" w:hAnsi="宋体" w:cs="宋体" w:eastAsiaTheme="minorEastAsia"/>
          <w:color w:val="auto"/>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6、</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21F4688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42C6BCE6">
      <w:pPr>
        <w:widowControl/>
        <w:spacing w:line="560" w:lineRule="exac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eastAsiaTheme="minorEastAsia"/>
          <w:color w:val="333333"/>
          <w:kern w:val="2"/>
          <w:sz w:val="24"/>
          <w:szCs w:val="24"/>
          <w:highlight w:val="none"/>
          <w:shd w:val="clear" w:color="auto" w:fill="FFFFFF"/>
          <w:lang w:val="en-US" w:eastAsia="zh-CN" w:bidi="ar-SA"/>
        </w:rPr>
        <w:t>投标方具有在有效期内的CMA资质。</w:t>
      </w:r>
    </w:p>
    <w:p w14:paraId="1BDCD333">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②如国家法律法规对检测项目有其他要求的还应符合相关规定。</w:t>
      </w:r>
    </w:p>
    <w:p w14:paraId="317DC24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2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20"/>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1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center"/>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lang w:val="en-US" w:eastAsia="zh-CN"/>
        </w:rPr>
        <w:t xml:space="preserve">                                            </w:t>
      </w: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10</w:t>
      </w:r>
      <w:r>
        <w:rPr>
          <w:rFonts w:hint="eastAsia" w:asciiTheme="minorHAnsi" w:hAnsiTheme="minorHAnsi" w:eastAsiaTheme="minorEastAsia" w:cstheme="minorBidi"/>
          <w:sz w:val="24"/>
          <w:szCs w:val="24"/>
        </w:rPr>
        <w:t>日</w:t>
      </w:r>
    </w:p>
    <w:p w14:paraId="711268F0">
      <w:pPr>
        <w:pStyle w:val="21"/>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5"/>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22"/>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2EE6D87">
            <w:pPr>
              <w:widowControl/>
              <w:spacing w:line="560" w:lineRule="exact"/>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Times New Roman" w:hAnsi="Times New Roman" w:eastAsia="宋体" w:cs="Times New Roman"/>
                <w:sz w:val="24"/>
                <w:szCs w:val="24"/>
                <w:lang w:val="en-US" w:eastAsia="zh-CN"/>
              </w:rPr>
              <w:t>六安市中医院口腔CBCT、牙片机</w:t>
            </w:r>
            <w:r>
              <w:rPr>
                <w:rFonts w:hint="eastAsia" w:ascii="宋体" w:hAnsi="宋体" w:cs="宋体" w:eastAsiaTheme="minorEastAsia"/>
                <w:color w:val="333333"/>
                <w:sz w:val="24"/>
                <w:szCs w:val="24"/>
                <w:highlight w:val="none"/>
                <w:u w:val="none"/>
                <w:shd w:val="clear" w:color="auto" w:fill="FFFFFF"/>
                <w:lang w:val="en-US" w:eastAsia="zh-CN"/>
              </w:rPr>
              <w:t>环境保护竣工验收服务</w:t>
            </w:r>
          </w:p>
          <w:p w14:paraId="2D40AB21">
            <w:pPr>
              <w:widowControl/>
              <w:spacing w:line="560" w:lineRule="exact"/>
              <w:jc w:val="left"/>
              <w:rPr>
                <w:rFonts w:hint="default"/>
                <w:sz w:val="24"/>
                <w:szCs w:val="24"/>
                <w:lang w:val="en-US" w:eastAsia="zh-CN"/>
              </w:rPr>
            </w:pPr>
            <w:r>
              <w:rPr>
                <w:rFonts w:hint="eastAsia" w:ascii="Times New Roman" w:hAnsi="Times New Roman" w:eastAsia="宋体" w:cs="Times New Roman"/>
                <w:sz w:val="24"/>
                <w:szCs w:val="24"/>
                <w:lang w:val="en-US" w:eastAsia="zh-CN"/>
              </w:rPr>
              <w:t>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LASZYYSBGCB2025002-2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1</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22"/>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通过验收合格后按合同付款。</w:t>
            </w:r>
          </w:p>
          <w:p w14:paraId="5C29BD86">
            <w:pPr>
              <w:pStyle w:val="22"/>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2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right="0"/>
              <w:jc w:val="left"/>
              <w:rPr>
                <w:rFonts w:hint="default"/>
                <w:b w:val="0"/>
                <w:bCs w:val="0"/>
                <w:sz w:val="24"/>
                <w:szCs w:val="24"/>
              </w:rPr>
            </w:pPr>
            <w:r>
              <w:rPr>
                <w:rFonts w:hint="default"/>
                <w:b w:val="0"/>
                <w:bCs w:val="0"/>
                <w:sz w:val="24"/>
                <w:szCs w:val="24"/>
                <w:lang w:val="en-US"/>
              </w:rPr>
              <w:sym w:font="Wingdings" w:char="F082"/>
            </w:r>
            <w:r>
              <w:rPr>
                <w:rFonts w:hint="eastAsia"/>
                <w:b w:val="0"/>
                <w:bCs w:val="0"/>
                <w:sz w:val="24"/>
                <w:szCs w:val="24"/>
                <w:lang w:val="en-US" w:eastAsia="zh-CN"/>
              </w:rPr>
              <w:t>自医院项目</w:t>
            </w:r>
            <w:r>
              <w:rPr>
                <w:rFonts w:hint="default"/>
                <w:b w:val="0"/>
                <w:bCs w:val="0"/>
                <w:sz w:val="24"/>
                <w:szCs w:val="24"/>
                <w:lang w:val="en-US"/>
              </w:rPr>
              <w:t>具备</w:t>
            </w:r>
            <w:r>
              <w:rPr>
                <w:rFonts w:hint="eastAsia"/>
                <w:b w:val="0"/>
                <w:bCs w:val="0"/>
                <w:sz w:val="24"/>
                <w:szCs w:val="24"/>
                <w:lang w:val="en-US" w:eastAsia="zh-CN"/>
              </w:rPr>
              <w:t>检测验收</w:t>
            </w:r>
            <w:r>
              <w:rPr>
                <w:rFonts w:hint="default"/>
                <w:b w:val="0"/>
                <w:bCs w:val="0"/>
                <w:sz w:val="24"/>
                <w:szCs w:val="24"/>
                <w:lang w:val="en-US"/>
              </w:rPr>
              <w:t>条件后30个工作日内（以医院实际通知之日起计算）</w:t>
            </w:r>
            <w:r>
              <w:rPr>
                <w:rFonts w:hint="eastAsia"/>
                <w:b w:val="0"/>
                <w:bCs w:val="0"/>
                <w:sz w:val="24"/>
                <w:szCs w:val="24"/>
                <w:lang w:val="en-US" w:eastAsia="zh-CN"/>
              </w:rPr>
              <w:t>完成</w:t>
            </w:r>
            <w:r>
              <w:rPr>
                <w:rFonts w:hint="eastAsia" w:ascii="宋体" w:hAnsi="宋体" w:cs="宋体" w:eastAsiaTheme="minorEastAsia"/>
                <w:color w:val="333333"/>
                <w:sz w:val="24"/>
                <w:szCs w:val="24"/>
                <w:highlight w:val="none"/>
                <w:u w:val="none"/>
                <w:shd w:val="clear" w:color="auto" w:fill="FFFFFF"/>
                <w:lang w:val="en-US" w:eastAsia="zh-CN"/>
              </w:rPr>
              <w:t>环境保护竣工验收工作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w:t>
            </w:r>
            <w:bookmarkStart w:id="49" w:name="_GoBack"/>
            <w:bookmarkEnd w:id="49"/>
            <w:r>
              <w:rPr>
                <w:rFonts w:hint="eastAsia" w:ascii="宋体" w:hAnsi="宋体"/>
                <w:color w:val="000000"/>
                <w:szCs w:val="21"/>
              </w:rPr>
              <w:t>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lang w:eastAsia="zh-CN"/>
              </w:rPr>
              <w:t>装订</w:t>
            </w:r>
            <w:r>
              <w:rPr>
                <w:rFonts w:hint="eastAsia" w:ascii="宋体" w:hAnsi="宋体"/>
                <w:sz w:val="24"/>
                <w:szCs w:val="24"/>
              </w:rPr>
              <w:t>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5"/>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6EB4951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bookmarkStart w:id="11" w:name="_Toc363199266"/>
      <w:bookmarkStart w:id="12" w:name="_Toc438648662"/>
      <w:bookmarkStart w:id="13" w:name="_Toc216158625"/>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60F2698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77C5071F">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①投标方具有在有效期内的CMA资质。</w:t>
      </w:r>
    </w:p>
    <w:p w14:paraId="1C4CB6A9">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②如国家法律法规对检测项目有其他要求的还应符合相关规定。</w:t>
      </w:r>
    </w:p>
    <w:p w14:paraId="1F096FAB">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3C8C513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341C1BA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62221893">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2BABC2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2FE253D5">
      <w:pPr>
        <w:widowControl/>
        <w:spacing w:line="560" w:lineRule="exact"/>
        <w:ind w:firstLine="480" w:firstLineChars="200"/>
        <w:jc w:val="left"/>
        <w:rPr>
          <w:rFonts w:ascii="宋体" w:hAnsi="宋体"/>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725A621">
      <w:pPr>
        <w:rPr>
          <w:rFonts w:ascii="宋体" w:hAnsi="宋体" w:cs="宋体"/>
          <w:sz w:val="24"/>
          <w:szCs w:val="24"/>
        </w:rPr>
      </w:pPr>
    </w:p>
    <w:p w14:paraId="781D26B8">
      <w:pPr>
        <w:pStyle w:val="5"/>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5"/>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15"/>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9"/>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5"/>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5"/>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5"/>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5"/>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1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14"/>
        <w:ind w:firstLine="480" w:firstLineChars="200"/>
        <w:rPr>
          <w:rFonts w:hint="default"/>
          <w:lang w:val="en-US" w:eastAsia="zh-CN"/>
        </w:rPr>
      </w:pPr>
      <w:r>
        <w:rPr>
          <w:rFonts w:hint="eastAsia"/>
          <w:lang w:val="en-US" w:eastAsia="zh-CN"/>
        </w:rPr>
        <w:t>5、合同具体文本自行拟定。</w:t>
      </w:r>
    </w:p>
    <w:p w14:paraId="01A22497">
      <w:pPr>
        <w:pStyle w:val="5"/>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5"/>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5"/>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p w14:paraId="3CA55AD3">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六安市中医院口腔CBCT、牙片机环境保护竣工验收服务</w:t>
      </w:r>
    </w:p>
    <w:p w14:paraId="2735EF6C">
      <w:pPr>
        <w:widowControl/>
        <w:ind w:firstLine="1470" w:firstLineChars="700"/>
        <w:jc w:val="left"/>
        <w:rPr>
          <w:rFonts w:hint="eastAsia" w:ascii="宋体" w:hAnsi="宋体" w:cs="宋体"/>
          <w:b/>
          <w:bCs/>
          <w:sz w:val="28"/>
          <w:szCs w:val="28"/>
          <w:lang w:eastAsia="zh-CN"/>
        </w:rPr>
      </w:pPr>
      <w:r>
        <w:rPr>
          <w:rFonts w:hint="eastAsia" w:ascii="仿宋" w:hAnsi="仿宋" w:eastAsia="仿宋" w:cs="仿宋"/>
          <w:kern w:val="2"/>
          <w:sz w:val="21"/>
          <w:szCs w:val="24"/>
          <w:lang w:val="en-US" w:eastAsia="zh-CN" w:bidi="ar-SA"/>
        </w:rPr>
        <w:t>数量：设备2台、机房2间；                 预算：1万</w:t>
      </w:r>
    </w:p>
    <w:p w14:paraId="4A56E66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17"/>
        <w:tblpPr w:leftFromText="180" w:rightFromText="180" w:vertAnchor="page" w:horzAnchor="page" w:tblpX="1949" w:tblpY="3453"/>
        <w:tblOverlap w:val="never"/>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03"/>
        <w:gridCol w:w="1335"/>
        <w:gridCol w:w="1719"/>
        <w:gridCol w:w="2646"/>
      </w:tblGrid>
      <w:tr w14:paraId="7EE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1" w:type="dxa"/>
            <w:vAlign w:val="center"/>
          </w:tcPr>
          <w:p w14:paraId="7831DF4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503" w:type="dxa"/>
            <w:vAlign w:val="center"/>
          </w:tcPr>
          <w:p w14:paraId="0660E37A">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设备名称</w:t>
            </w:r>
          </w:p>
        </w:tc>
        <w:tc>
          <w:tcPr>
            <w:tcW w:w="1335" w:type="dxa"/>
            <w:vAlign w:val="center"/>
          </w:tcPr>
          <w:p w14:paraId="09555CA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719" w:type="dxa"/>
            <w:vAlign w:val="center"/>
          </w:tcPr>
          <w:p w14:paraId="7DFDA495">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646" w:type="dxa"/>
            <w:vAlign w:val="center"/>
          </w:tcPr>
          <w:p w14:paraId="5F8264C5">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设备使用位置</w:t>
            </w:r>
          </w:p>
        </w:tc>
      </w:tr>
      <w:tr w14:paraId="1D44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38C5A26F">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503" w:type="dxa"/>
            <w:vAlign w:val="center"/>
          </w:tcPr>
          <w:p w14:paraId="5254C93B">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口腔CBCT</w:t>
            </w:r>
          </w:p>
        </w:tc>
        <w:tc>
          <w:tcPr>
            <w:tcW w:w="1335" w:type="dxa"/>
            <w:vAlign w:val="center"/>
          </w:tcPr>
          <w:p w14:paraId="670619D4">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232CF15C">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646" w:type="dxa"/>
            <w:vAlign w:val="center"/>
          </w:tcPr>
          <w:p w14:paraId="682CDE84">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r w14:paraId="700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40F5AD26">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503" w:type="dxa"/>
            <w:vAlign w:val="center"/>
          </w:tcPr>
          <w:p w14:paraId="261066BA">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口腔牙片机</w:t>
            </w:r>
          </w:p>
        </w:tc>
        <w:tc>
          <w:tcPr>
            <w:tcW w:w="1335" w:type="dxa"/>
            <w:vAlign w:val="center"/>
          </w:tcPr>
          <w:p w14:paraId="202F0B30">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10370FB2">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646" w:type="dxa"/>
            <w:vAlign w:val="center"/>
          </w:tcPr>
          <w:p w14:paraId="75E0FD8D">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3号楼二层西侧</w:t>
            </w:r>
          </w:p>
        </w:tc>
      </w:tr>
    </w:tbl>
    <w:p w14:paraId="2ABF6737">
      <w:pPr>
        <w:jc w:val="both"/>
        <w:rPr>
          <w:rFonts w:hint="eastAsia" w:ascii="宋体" w:hAnsi="宋体" w:cs="宋体"/>
          <w:b/>
          <w:bCs/>
          <w:sz w:val="28"/>
          <w:szCs w:val="28"/>
          <w:lang w:eastAsia="zh-CN"/>
        </w:rPr>
      </w:pPr>
    </w:p>
    <w:p w14:paraId="07B98386">
      <w:pPr>
        <w:widowControl/>
        <w:numPr>
          <w:ilvl w:val="0"/>
          <w:numId w:val="2"/>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w:t>
      </w:r>
      <w:r>
        <w:rPr>
          <w:rFonts w:hint="eastAsia" w:ascii="仿宋" w:hAnsi="仿宋" w:eastAsia="仿宋" w:cs="仿宋"/>
          <w:color w:val="3D3D3D"/>
          <w:kern w:val="0"/>
          <w:sz w:val="28"/>
          <w:szCs w:val="28"/>
          <w:shd w:val="clear" w:color="auto" w:fill="FFFFFF"/>
          <w:lang w:val="en-US" w:eastAsia="zh-CN" w:bidi="ar"/>
        </w:rPr>
        <w:t>环境保护竣工验收</w:t>
      </w:r>
      <w:r>
        <w:rPr>
          <w:rFonts w:hint="eastAsia" w:ascii="仿宋" w:hAnsi="仿宋" w:eastAsia="仿宋" w:cs="微软雅黑"/>
          <w:color w:val="000000"/>
          <w:kern w:val="0"/>
          <w:sz w:val="28"/>
          <w:szCs w:val="28"/>
          <w:lang w:val="en-US" w:eastAsia="zh-CN"/>
        </w:rPr>
        <w:t>所有费用，包括检测费，检测报告编制费，车旅费等。非一次性验收，直到设备验收结束）</w:t>
      </w:r>
      <w:r>
        <w:rPr>
          <w:rFonts w:hint="eastAsia" w:ascii="仿宋" w:hAnsi="仿宋" w:eastAsia="仿宋" w:cs="仿宋"/>
          <w:color w:val="000000"/>
          <w:sz w:val="28"/>
          <w:szCs w:val="28"/>
          <w:lang w:eastAsia="zh-CN"/>
        </w:rPr>
        <w:t>。</w:t>
      </w:r>
    </w:p>
    <w:p w14:paraId="493D1BB4">
      <w:pPr>
        <w:pStyle w:val="2"/>
        <w:numPr>
          <w:ilvl w:val="0"/>
          <w:numId w:val="0"/>
        </w:numPr>
        <w:rPr>
          <w:rFonts w:hint="eastAsia" w:ascii="宋体" w:hAnsi="宋体" w:cs="宋体"/>
          <w:b/>
          <w:bCs/>
          <w:sz w:val="28"/>
          <w:szCs w:val="28"/>
          <w:lang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（三）完成地点及时间：六安市中医院，在本院规定的时间内完成建设项目环境保护竣工验收服务工作。</w:t>
      </w:r>
    </w:p>
    <w:p w14:paraId="6117360C">
      <w:pPr>
        <w:pStyle w:val="5"/>
        <w:spacing w:line="440" w:lineRule="exact"/>
        <w:ind w:firstLine="0"/>
        <w:jc w:val="center"/>
        <w:rPr>
          <w:rFonts w:hint="eastAsia"/>
        </w:rPr>
      </w:pPr>
    </w:p>
    <w:p w14:paraId="11766A9D">
      <w:pPr>
        <w:pStyle w:val="5"/>
        <w:spacing w:line="440" w:lineRule="exact"/>
        <w:ind w:firstLine="0"/>
        <w:jc w:val="center"/>
        <w:rPr>
          <w:rFonts w:hint="eastAsia"/>
        </w:rPr>
      </w:pPr>
    </w:p>
    <w:p w14:paraId="29865694">
      <w:pPr>
        <w:pStyle w:val="5"/>
        <w:spacing w:line="440" w:lineRule="exact"/>
        <w:ind w:firstLine="0"/>
        <w:jc w:val="center"/>
        <w:rPr>
          <w:rFonts w:hint="eastAsia"/>
        </w:rPr>
      </w:pPr>
    </w:p>
    <w:p w14:paraId="22ACDACA">
      <w:pPr>
        <w:rPr>
          <w:rFonts w:hint="eastAsia"/>
        </w:rPr>
      </w:pPr>
    </w:p>
    <w:p w14:paraId="430A1626">
      <w:pPr>
        <w:rPr>
          <w:rFonts w:hint="eastAsia"/>
        </w:rPr>
      </w:pPr>
    </w:p>
    <w:p w14:paraId="663CA12D">
      <w:pPr>
        <w:rPr>
          <w:rFonts w:hint="eastAsia"/>
        </w:rPr>
      </w:pPr>
    </w:p>
    <w:p w14:paraId="553C8D78">
      <w:pPr>
        <w:pStyle w:val="5"/>
        <w:spacing w:line="440" w:lineRule="exact"/>
        <w:ind w:firstLine="0"/>
        <w:jc w:val="center"/>
        <w:rPr>
          <w:rFonts w:hint="eastAsia"/>
        </w:rPr>
      </w:pPr>
    </w:p>
    <w:p w14:paraId="5A278985">
      <w:pPr>
        <w:pStyle w:val="5"/>
        <w:spacing w:line="440" w:lineRule="exact"/>
        <w:ind w:firstLine="0"/>
        <w:jc w:val="center"/>
        <w:rPr>
          <w:rFonts w:hint="eastAsia"/>
        </w:rPr>
      </w:pPr>
    </w:p>
    <w:p w14:paraId="48F9B37C">
      <w:pPr>
        <w:pStyle w:val="5"/>
        <w:spacing w:line="440" w:lineRule="exact"/>
        <w:ind w:firstLine="0"/>
        <w:jc w:val="center"/>
        <w:rPr>
          <w:rFonts w:hint="eastAsia"/>
        </w:rPr>
      </w:pPr>
      <w:r>
        <w:rPr>
          <w:rFonts w:hint="eastAsia"/>
        </w:rPr>
        <w:t>采购需求</w:t>
      </w:r>
    </w:p>
    <w:p w14:paraId="37C9A563">
      <w:pPr>
        <w:widowControl/>
        <w:adjustRightInd w:val="0"/>
        <w:snapToGrid w:val="0"/>
        <w:spacing w:line="360" w:lineRule="auto"/>
        <w:ind w:firstLine="280" w:firstLineChars="100"/>
        <w:jc w:val="left"/>
        <w:rPr>
          <w:rFonts w:hint="eastAsia" w:ascii="仿宋" w:hAnsi="仿宋" w:eastAsia="仿宋" w:cs="仿宋"/>
          <w:sz w:val="28"/>
          <w:szCs w:val="28"/>
        </w:rPr>
      </w:pPr>
    </w:p>
    <w:p w14:paraId="5172D19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1.投标方具有在有效期内的CMA资质；</w:t>
      </w:r>
    </w:p>
    <w:p w14:paraId="06763671">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2.出具满足省生态环境厅要求的验收报告。</w:t>
      </w:r>
    </w:p>
    <w:p w14:paraId="1BB5B37C">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3.如国家法律法规对检测项目有其他要求的还应符合相关规定。</w:t>
      </w:r>
    </w:p>
    <w:p w14:paraId="0261EF7C">
      <w:pPr>
        <w:pStyle w:val="14"/>
        <w:rPr>
          <w:rFonts w:hint="eastAsia" w:ascii="仿宋" w:hAnsi="仿宋" w:eastAsia="仿宋" w:cs="仿宋"/>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竣工验收检测报告需符合</w:t>
      </w:r>
      <w:r>
        <w:rPr>
          <w:rFonts w:hint="eastAsia" w:ascii="仿宋" w:hAnsi="仿宋" w:eastAsia="仿宋" w:cs="仿宋"/>
          <w:sz w:val="28"/>
          <w:szCs w:val="28"/>
          <w:highlight w:val="none"/>
        </w:rPr>
        <w:t>GBZ1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rPr>
        <w:t>等相关技术规范的要求。</w:t>
      </w:r>
    </w:p>
    <w:p w14:paraId="40FD052B">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5.本次报价包含环境保护竣工验收所有费用，包括专家、检测、车旅费等;</w:t>
      </w:r>
    </w:p>
    <w:p w14:paraId="0FECD0E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6.不得将服务项目进行任何形式的转包;结算方式;</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1A85DF12">
      <w:pPr>
        <w:jc w:val="center"/>
        <w:rPr>
          <w:rFonts w:hint="eastAsia" w:ascii="宋体" w:hAnsi="宋体" w:cs="宋体"/>
          <w:b/>
          <w:bCs/>
          <w:sz w:val="28"/>
          <w:szCs w:val="28"/>
          <w:lang w:eastAsia="zh-CN"/>
        </w:rPr>
      </w:pPr>
    </w:p>
    <w:p w14:paraId="02411003">
      <w:pPr>
        <w:jc w:val="center"/>
        <w:rPr>
          <w:rFonts w:hint="eastAsia" w:ascii="宋体" w:hAnsi="宋体" w:cs="宋体"/>
          <w:b/>
          <w:bCs/>
          <w:sz w:val="28"/>
          <w:szCs w:val="28"/>
          <w:lang w:eastAsia="zh-CN"/>
        </w:rPr>
      </w:pPr>
    </w:p>
    <w:p w14:paraId="0838486E">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5"/>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bl>
    <w:p w14:paraId="5F4F2F75">
      <w:pPr>
        <w:pStyle w:val="5"/>
        <w:spacing w:before="0" w:after="0" w:line="560" w:lineRule="exact"/>
        <w:rPr>
          <w:rFonts w:hint="eastAsia" w:ascii="宋体" w:hAnsi="宋体" w:eastAsia="宋体" w:cs="宋体"/>
          <w:sz w:val="28"/>
          <w:szCs w:val="28"/>
        </w:rPr>
      </w:pPr>
      <w:bookmarkStart w:id="25" w:name="_Toc19606"/>
    </w:p>
    <w:p w14:paraId="281C0371">
      <w:pPr>
        <w:pStyle w:val="5"/>
        <w:spacing w:before="0" w:after="0" w:line="560" w:lineRule="exact"/>
        <w:rPr>
          <w:rFonts w:hint="eastAsia" w:ascii="宋体" w:hAnsi="宋体" w:eastAsia="宋体" w:cs="宋体"/>
          <w:sz w:val="28"/>
          <w:szCs w:val="28"/>
        </w:rPr>
      </w:pPr>
    </w:p>
    <w:p w14:paraId="5617A504">
      <w:pPr>
        <w:pStyle w:val="5"/>
        <w:spacing w:before="0" w:after="0" w:line="560" w:lineRule="exact"/>
        <w:rPr>
          <w:rFonts w:hint="eastAsia" w:ascii="宋体" w:hAnsi="宋体" w:eastAsia="宋体" w:cs="宋体"/>
          <w:sz w:val="28"/>
          <w:szCs w:val="28"/>
        </w:rPr>
      </w:pPr>
    </w:p>
    <w:p w14:paraId="259FA478">
      <w:pPr>
        <w:pStyle w:val="5"/>
        <w:spacing w:before="0" w:after="0" w:line="560" w:lineRule="exact"/>
        <w:rPr>
          <w:rFonts w:hint="eastAsia" w:ascii="宋体" w:hAnsi="宋体" w:eastAsia="宋体" w:cs="宋体"/>
          <w:sz w:val="28"/>
          <w:szCs w:val="28"/>
        </w:rPr>
      </w:pPr>
    </w:p>
    <w:p w14:paraId="163F6451">
      <w:pPr>
        <w:pStyle w:val="5"/>
        <w:spacing w:before="0" w:after="0" w:line="560" w:lineRule="exact"/>
        <w:rPr>
          <w:rFonts w:ascii="宋体" w:hAnsi="宋体" w:eastAsia="宋体" w:cs="宋体"/>
          <w:sz w:val="28"/>
          <w:szCs w:val="28"/>
        </w:rPr>
      </w:pPr>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5"/>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10"/>
        <w:rPr>
          <w:rFonts w:hint="eastAsia"/>
          <w:lang w:val="en-US" w:eastAsia="zh-CN"/>
        </w:rPr>
      </w:pPr>
    </w:p>
    <w:p w14:paraId="7155268E">
      <w:pPr>
        <w:pStyle w:val="5"/>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5"/>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14"/>
        <w:ind w:firstLine="640" w:firstLineChars="200"/>
        <w:jc w:val="center"/>
        <w:rPr>
          <w:sz w:val="32"/>
          <w:szCs w:val="32"/>
        </w:rPr>
      </w:pPr>
      <w:r>
        <w:rPr>
          <w:rFonts w:hint="eastAsia"/>
          <w:sz w:val="32"/>
          <w:szCs w:val="32"/>
        </w:rPr>
        <w:t>（格式自拟）</w:t>
      </w:r>
    </w:p>
    <w:p w14:paraId="4C07FB29">
      <w:pPr>
        <w:pStyle w:val="5"/>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5"/>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5"/>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5"/>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6"/>
        <w:ind w:firstLine="482" w:firstLineChars="200"/>
        <w:rPr>
          <w:sz w:val="24"/>
          <w:szCs w:val="24"/>
          <w:lang w:val="en-US"/>
        </w:rPr>
      </w:pPr>
    </w:p>
    <w:p w14:paraId="55A8B47F">
      <w:pPr>
        <w:ind w:firstLine="420" w:firstLineChars="200"/>
      </w:pPr>
    </w:p>
    <w:p w14:paraId="33C2C5C9">
      <w:pPr>
        <w:ind w:firstLine="420" w:firstLineChars="200"/>
      </w:pPr>
    </w:p>
    <w:p w14:paraId="2AFCF006">
      <w:pPr>
        <w:pStyle w:val="10"/>
        <w:rPr>
          <w:rFonts w:ascii="宋体" w:hAnsi="宋体" w:eastAsia="宋体" w:cs="宋体"/>
          <w:sz w:val="24"/>
          <w:szCs w:val="24"/>
        </w:rPr>
      </w:pPr>
    </w:p>
    <w:p w14:paraId="12C53073">
      <w:pPr>
        <w:pStyle w:val="10"/>
        <w:rPr>
          <w:rFonts w:ascii="宋体" w:hAnsi="宋体" w:eastAsia="宋体" w:cs="宋体"/>
          <w:sz w:val="24"/>
          <w:szCs w:val="24"/>
        </w:rPr>
      </w:pPr>
    </w:p>
    <w:p w14:paraId="332CC143">
      <w:pPr>
        <w:pStyle w:val="5"/>
        <w:spacing w:before="0" w:after="0" w:line="560" w:lineRule="exact"/>
        <w:rPr>
          <w:rFonts w:hint="eastAsia" w:ascii="宋体" w:hAnsi="宋体" w:eastAsia="宋体" w:cs="宋体"/>
          <w:sz w:val="28"/>
          <w:szCs w:val="28"/>
        </w:rPr>
      </w:pPr>
      <w:bookmarkStart w:id="36" w:name="_Toc20869"/>
    </w:p>
    <w:p w14:paraId="60931584">
      <w:pPr>
        <w:pStyle w:val="5"/>
        <w:spacing w:before="0" w:after="0" w:line="560" w:lineRule="exact"/>
        <w:rPr>
          <w:rFonts w:ascii="宋体" w:hAnsi="宋体" w:eastAsia="宋体" w:cs="宋体"/>
          <w:sz w:val="28"/>
          <w:szCs w:val="28"/>
        </w:rPr>
      </w:pPr>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p w14:paraId="1BB16914">
      <w:pPr>
        <w:pStyle w:val="5"/>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1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3BAC13D">
      <w:pPr>
        <w:pStyle w:val="5"/>
        <w:spacing w:before="0" w:after="0" w:line="560" w:lineRule="exact"/>
        <w:rPr>
          <w:rFonts w:hint="eastAsia" w:ascii="宋体" w:hAnsi="宋体" w:eastAsia="宋体" w:cs="宋体"/>
          <w:sz w:val="28"/>
          <w:szCs w:val="28"/>
        </w:rPr>
      </w:pPr>
      <w:bookmarkStart w:id="40" w:name="_Toc7900"/>
    </w:p>
    <w:p w14:paraId="15DD9589">
      <w:pPr>
        <w:rPr>
          <w:rFonts w:hint="eastAsia"/>
        </w:rPr>
      </w:pPr>
    </w:p>
    <w:p w14:paraId="02E5078C">
      <w:pPr>
        <w:pStyle w:val="5"/>
        <w:spacing w:before="0" w:after="0" w:line="560" w:lineRule="exact"/>
        <w:rPr>
          <w:rFonts w:ascii="宋体" w:hAnsi="宋体" w:eastAsia="宋体" w:cs="宋体"/>
          <w:sz w:val="24"/>
          <w:szCs w:val="24"/>
        </w:rPr>
      </w:pPr>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15"/>
        <w:ind w:left="0" w:leftChars="0" w:firstLine="0" w:firstLineChars="0"/>
      </w:pPr>
      <w:bookmarkStart w:id="41" w:name="_Toc471299110"/>
    </w:p>
    <w:p w14:paraId="3BE93289">
      <w:pPr>
        <w:pStyle w:val="5"/>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4"/>
    <w:p w14:paraId="64D4E4FA">
      <w:pPr>
        <w:pStyle w:val="15"/>
        <w:ind w:left="0" w:leftChars="0" w:firstLine="0" w:firstLineChars="0"/>
      </w:pPr>
    </w:p>
    <w:p w14:paraId="63BED203">
      <w:pPr>
        <w:pStyle w:val="15"/>
        <w:ind w:left="0" w:leftChars="0" w:firstLine="0" w:firstLineChars="0"/>
      </w:pPr>
    </w:p>
    <w:p w14:paraId="5068A373">
      <w:pPr>
        <w:pStyle w:val="6"/>
        <w:spacing w:before="0" w:after="0"/>
        <w:rPr>
          <w:rFonts w:hint="eastAsia" w:ascii="宋体" w:hAnsi="宋体" w:cs="宋体"/>
          <w:sz w:val="28"/>
          <w:szCs w:val="28"/>
        </w:rPr>
      </w:pPr>
      <w:bookmarkStart w:id="45" w:name="_Toc4795"/>
    </w:p>
    <w:p w14:paraId="44278FC8">
      <w:pPr>
        <w:pStyle w:val="6"/>
        <w:spacing w:before="0" w:after="0"/>
        <w:rPr>
          <w:rFonts w:hint="eastAsia" w:ascii="宋体" w:hAnsi="宋体" w:cs="宋体"/>
          <w:sz w:val="28"/>
          <w:szCs w:val="28"/>
        </w:rPr>
      </w:pPr>
    </w:p>
    <w:p w14:paraId="615D9623">
      <w:pPr>
        <w:pStyle w:val="6"/>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5"/>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5"/>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08F41314">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、相关业绩合同；</w:t>
      </w:r>
    </w:p>
    <w:p w14:paraId="1D2FB56B">
      <w:r>
        <w:rPr>
          <w:rFonts w:hint="eastAsia" w:ascii="楷体" w:hAnsi="楷体" w:eastAsia="楷体"/>
          <w:color w:val="000000"/>
          <w:sz w:val="24"/>
          <w:szCs w:val="24"/>
          <w:lang w:eastAsia="zh-CN"/>
        </w:rPr>
        <w:t>二</w:t>
      </w:r>
      <w:r>
        <w:rPr>
          <w:rFonts w:hint="eastAsia" w:ascii="楷体" w:hAnsi="楷体" w:eastAsia="楷体"/>
          <w:color w:val="000000"/>
          <w:sz w:val="24"/>
          <w:szCs w:val="24"/>
        </w:rPr>
        <w:t>、谈判文件要求和投标供应商认为有必要提交的其他证明材料。</w:t>
      </w:r>
    </w:p>
    <w:p w14:paraId="37E9DC82">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六安市中医院口腔CBCT、牙片机环境保护竣工验收服务采购项目（第二次）</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lang w:val="en-US" w:eastAsia="zh-CN" w:bidi="ar"/>
        </w:rPr>
        <w:t>口腔CBCT、牙片机放射性职业病危害预评价和控制效果评价服务采购项目进行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13"/>
        <w:keepNext w:val="0"/>
        <w:keepLines w:val="0"/>
        <w:widowControl w:val="0"/>
        <w:suppressLineNumbers w:val="0"/>
        <w:spacing w:before="0" w:beforeAutospacing="0" w:after="120" w:afterAutospacing="0"/>
        <w:ind w:left="0" w:right="0" w:firstLine="240" w:firstLineChars="100"/>
        <w:jc w:val="both"/>
        <w:rPr>
          <w:lang w:val="en-US"/>
        </w:rPr>
      </w:pPr>
    </w:p>
    <w:tbl>
      <w:tblPr>
        <w:tblStyle w:val="16"/>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六安市中医院口腔CBCT、牙片机环境保护竣工验收服务采购项目</w:t>
            </w:r>
            <w:r>
              <w:rPr>
                <w:rFonts w:hint="eastAsia" w:ascii="宋体" w:hAnsi="宋体" w:cs="宋体"/>
                <w:kern w:val="2"/>
                <w:sz w:val="24"/>
                <w:szCs w:val="24"/>
                <w:lang w:val="en-US" w:eastAsia="zh-CN" w:bidi="ar"/>
              </w:rPr>
              <w:t>（第二次）</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16</w:t>
      </w:r>
      <w:r>
        <w:rPr>
          <w:rFonts w:hint="eastAsia" w:ascii="宋体" w:hAnsi="宋体" w:eastAsia="宋体" w:cs="宋体"/>
          <w:kern w:val="2"/>
          <w:sz w:val="28"/>
          <w:szCs w:val="28"/>
          <w:lang w:val="en-US" w:eastAsia="zh-CN" w:bidi="ar"/>
        </w:rPr>
        <w:t>日</w:t>
      </w:r>
    </w:p>
    <w:p w14:paraId="450730F6">
      <w:pPr>
        <w:pStyle w:val="1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p w14:paraId="5F59BA3F"/>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04BAF"/>
    <w:rsid w:val="18A77266"/>
    <w:rsid w:val="517D3EF8"/>
    <w:rsid w:val="53616244"/>
    <w:rsid w:val="5BD75D61"/>
    <w:rsid w:val="5ED70A23"/>
    <w:rsid w:val="6B604BAF"/>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unhideWhenUsed/>
    <w:qFormat/>
    <w:uiPriority w:val="99"/>
    <w:pPr>
      <w:jc w:val="left"/>
    </w:pPr>
    <w:rPr>
      <w:kern w:val="0"/>
      <w:sz w:val="24"/>
    </w:rPr>
  </w:style>
  <w:style w:type="paragraph" w:styleId="14">
    <w:name w:val="Body Text First Indent"/>
    <w:basedOn w:val="2"/>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1">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2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8039</Words>
  <Characters>8381</Characters>
  <Lines>0</Lines>
  <Paragraphs>0</Paragraphs>
  <TotalTime>13</TotalTime>
  <ScaleCrop>false</ScaleCrop>
  <LinksUpToDate>false</LinksUpToDate>
  <CharactersWithSpaces>9098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2025-01-03T07:23:00Z</dcterms:created>
  <dc:creator>睡不着</dc:creator>
  <cp:lastModifiedBy>睡不着</cp:lastModifiedBy>
  <dcterms:modified xsi:type="dcterms:W3CDTF">2025-01-10T08:49:03Z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0B16522375A8430D9E26B50990D5472B_11</vt:lpwstr>
  </property>
  <property fmtid="{D5CDD505-2E9C-101B-9397-08002B2CF9AE}" pid="4" name="KSOTemplateDocerSaveRecord">
    <vt:lpwstr>eyJoZGlkIjoiNjM0YTQ2ZTVkMGNhZmM5MmRhODBjNTk3OGNhYjEyMjYiLCJ1c2VySWQiOiIyNTk4MjI1MDEifQ==</vt:lpwstr>
  </property>
</Properties>
</file>