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38E51">
      <w:pPr>
        <w:spacing w:line="400" w:lineRule="exact"/>
        <w:ind w:firstLine="643" w:firstLineChars="200"/>
        <w:jc w:val="center"/>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采购需求</w:t>
      </w:r>
    </w:p>
    <w:p w14:paraId="738BE91C">
      <w:pPr>
        <w:spacing w:line="400" w:lineRule="exact"/>
        <w:ind w:firstLine="482" w:firstLineChars="200"/>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一、项目分包</w:t>
      </w:r>
    </w:p>
    <w:p w14:paraId="7C739702">
      <w:pPr>
        <w:pStyle w:val="2"/>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一包：外固定包；第二包：供应室耗材包；第三包：器械包；第四包：病理科耗材；第五包：五官耗材包；第六包：手术室ICU耗材；第七包：卫生材料包；第八包：消毒包；第九包：通用材料包；第十包：中药制剂包；第十一包：口腔义齿包；第十二包：介入包。（具体分包产品见招标公告附件处）</w:t>
      </w:r>
    </w:p>
    <w:p w14:paraId="23CF5396">
      <w:pPr>
        <w:pStyle w:val="2"/>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本项目共分为十二个包，供应商可分投也可全投（可兼中）。</w:t>
      </w:r>
    </w:p>
    <w:p w14:paraId="0345B170">
      <w:pPr>
        <w:numPr>
          <w:ilvl w:val="0"/>
          <w:numId w:val="1"/>
        </w:numPr>
        <w:spacing w:line="400" w:lineRule="exact"/>
        <w:ind w:firstLine="482" w:firstLineChars="200"/>
        <w:rPr>
          <w:rFonts w:hint="eastAsia" w:ascii="仿宋" w:hAnsi="仿宋" w:eastAsia="仿宋" w:cs="仿宋"/>
          <w:b/>
          <w:color w:val="auto"/>
          <w:sz w:val="24"/>
          <w:szCs w:val="24"/>
          <w:highlight w:val="none"/>
          <w:lang w:val="en-US" w:eastAsia="zh-CN"/>
        </w:rPr>
      </w:pPr>
      <w:bookmarkStart w:id="0" w:name="_Toc5825"/>
      <w:r>
        <w:rPr>
          <w:rFonts w:hint="eastAsia" w:ascii="仿宋" w:hAnsi="仿宋" w:eastAsia="仿宋" w:cs="仿宋"/>
          <w:b/>
          <w:color w:val="auto"/>
          <w:sz w:val="24"/>
          <w:szCs w:val="24"/>
          <w:highlight w:val="none"/>
          <w:lang w:val="en-US" w:eastAsia="zh-CN"/>
        </w:rPr>
        <w:t>服务要求</w:t>
      </w:r>
    </w:p>
    <w:p w14:paraId="7C554E3C">
      <w:pPr>
        <w:numPr>
          <w:ilvl w:val="0"/>
          <w:numId w:val="0"/>
        </w:numPr>
        <w:spacing w:line="360" w:lineRule="auto"/>
        <w:ind w:firstLine="480" w:firstLineChars="200"/>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1.耗材配送服务：配送商具备完成本项目基本的物流及仓储能力，配送商须承诺接到医疗机构采购计划后，在规定时间内完成配送（一般耗材配送不超过72小时；急救耗材配送不超过1小时响应，2小时送达</w:t>
      </w:r>
      <w:r>
        <w:rPr>
          <w:rFonts w:hint="eastAsia" w:ascii="仿宋" w:hAnsi="仿宋" w:eastAsia="仿宋" w:cs="仿宋"/>
          <w:color w:val="0000FF"/>
          <w:kern w:val="0"/>
          <w:sz w:val="24"/>
          <w:szCs w:val="24"/>
          <w:highlight w:val="none"/>
          <w:lang w:val="en-US" w:eastAsia="zh-CN" w:bidi="ar-SA"/>
        </w:rPr>
        <w:t>（50公里内）</w:t>
      </w:r>
      <w:r>
        <w:rPr>
          <w:rFonts w:hint="eastAsia" w:ascii="仿宋" w:hAnsi="仿宋" w:eastAsia="仿宋" w:cs="仿宋"/>
          <w:kern w:val="0"/>
          <w:sz w:val="24"/>
          <w:szCs w:val="24"/>
          <w:highlight w:val="none"/>
          <w:lang w:val="en-US" w:eastAsia="zh-CN" w:bidi="ar-SA"/>
        </w:rPr>
        <w:t>，节假日照常配送；特别紧急的必须按采购人要求及时送到），投标文件中须提供承诺函，格式自拟。为满足耗材供应及时性，配送商须配备运输车辆不少于两辆。</w:t>
      </w:r>
    </w:p>
    <w:p w14:paraId="0B87452A">
      <w:pPr>
        <w:numPr>
          <w:ilvl w:val="0"/>
          <w:numId w:val="0"/>
        </w:numPr>
        <w:spacing w:line="360" w:lineRule="auto"/>
        <w:ind w:firstLine="480" w:firstLineChars="200"/>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2.配送商须在配送服务方案中明确落实及时送达的具体安排及应急预案和响应措施。（按采购人要求的基数进行急救耗材备货，否则造成的后果由配送商承担。）</w:t>
      </w:r>
    </w:p>
    <w:p w14:paraId="24CBC7E8">
      <w:pPr>
        <w:numPr>
          <w:ilvl w:val="0"/>
          <w:numId w:val="0"/>
        </w:numPr>
        <w:spacing w:line="360" w:lineRule="auto"/>
        <w:ind w:firstLine="480" w:firstLineChars="200"/>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3.跟台服务：</w:t>
      </w:r>
      <w:r>
        <w:rPr>
          <w:rFonts w:hint="eastAsia" w:ascii="仿宋" w:hAnsi="仿宋" w:eastAsia="仿宋" w:cs="仿宋"/>
          <w:color w:val="0000FF"/>
          <w:kern w:val="0"/>
          <w:sz w:val="24"/>
          <w:szCs w:val="24"/>
          <w:highlight w:val="none"/>
          <w:lang w:val="en-US" w:eastAsia="zh-CN" w:bidi="ar-SA"/>
        </w:rPr>
        <w:t>如需跟台耗材包，</w:t>
      </w:r>
      <w:r>
        <w:rPr>
          <w:rFonts w:hint="eastAsia" w:ascii="仿宋" w:hAnsi="仿宋" w:eastAsia="仿宋" w:cs="仿宋"/>
          <w:kern w:val="0"/>
          <w:sz w:val="24"/>
          <w:szCs w:val="24"/>
          <w:highlight w:val="none"/>
          <w:lang w:val="en-US" w:eastAsia="zh-CN" w:bidi="ar-SA"/>
        </w:rPr>
        <w:t>配送商须有</w:t>
      </w:r>
      <w:r>
        <w:rPr>
          <w:rFonts w:hint="eastAsia" w:ascii="仿宋" w:hAnsi="仿宋" w:eastAsia="仿宋" w:cs="仿宋"/>
          <w:color w:val="0000FF"/>
          <w:kern w:val="0"/>
          <w:sz w:val="24"/>
          <w:szCs w:val="24"/>
          <w:highlight w:val="none"/>
          <w:lang w:val="en-US" w:eastAsia="zh-CN" w:bidi="ar-SA"/>
        </w:rPr>
        <w:t>两名以上</w:t>
      </w:r>
      <w:r>
        <w:rPr>
          <w:rFonts w:hint="eastAsia" w:ascii="仿宋" w:hAnsi="仿宋" w:eastAsia="仿宋" w:cs="仿宋"/>
          <w:kern w:val="0"/>
          <w:sz w:val="24"/>
          <w:szCs w:val="24"/>
          <w:highlight w:val="none"/>
          <w:lang w:val="en-US" w:eastAsia="zh-CN" w:bidi="ar-SA"/>
        </w:rPr>
        <w:t>配合耗材使用跟台服务人员，服务人员需具备临床医学或医护专业人员证书。部分高值及手术耗材要提供专业的配套服务，对医用耗材的使用提供相应的技术支持。</w:t>
      </w:r>
    </w:p>
    <w:p w14:paraId="335D362C">
      <w:pPr>
        <w:numPr>
          <w:ilvl w:val="0"/>
          <w:numId w:val="0"/>
        </w:numPr>
        <w:spacing w:line="360" w:lineRule="auto"/>
        <w:ind w:firstLine="480" w:firstLineChars="200"/>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4.售后服务团队：配送商应有完善且固定的配送及售后服务人员</w:t>
      </w:r>
      <w:r>
        <w:rPr>
          <w:rFonts w:hint="eastAsia" w:ascii="仿宋" w:hAnsi="仿宋" w:eastAsia="仿宋" w:cs="仿宋"/>
          <w:color w:val="0000FF"/>
          <w:kern w:val="0"/>
          <w:sz w:val="24"/>
          <w:szCs w:val="24"/>
          <w:highlight w:val="none"/>
          <w:lang w:val="en-US" w:eastAsia="zh-CN" w:bidi="ar-SA"/>
        </w:rPr>
        <w:t>（需提供社保证明）</w:t>
      </w:r>
      <w:r>
        <w:rPr>
          <w:rFonts w:hint="eastAsia" w:ascii="仿宋" w:hAnsi="仿宋" w:eastAsia="仿宋" w:cs="仿宋"/>
          <w:kern w:val="0"/>
          <w:sz w:val="24"/>
          <w:szCs w:val="24"/>
          <w:highlight w:val="none"/>
          <w:lang w:val="en-US" w:eastAsia="zh-CN" w:bidi="ar-SA"/>
        </w:rPr>
        <w:t>，其中要有专人负责本项目。</w:t>
      </w:r>
    </w:p>
    <w:p w14:paraId="429AE848">
      <w:pPr>
        <w:numPr>
          <w:ilvl w:val="0"/>
          <w:numId w:val="0"/>
        </w:numPr>
        <w:spacing w:line="360" w:lineRule="auto"/>
        <w:ind w:firstLine="480" w:firstLineChars="200"/>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5.耗材效期管理服务：配送耗材剩余有效期不少于总有效期的三分之二时间。</w:t>
      </w:r>
    </w:p>
    <w:p w14:paraId="58D1732B">
      <w:pPr>
        <w:numPr>
          <w:ilvl w:val="0"/>
          <w:numId w:val="0"/>
        </w:numPr>
        <w:spacing w:line="360" w:lineRule="auto"/>
        <w:ind w:firstLine="480" w:firstLineChars="200"/>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6.耗材退换服务：采购人术前检测发现产品损坏、因质量问题不能正常使用等，配送商应提供免费退换服务。</w:t>
      </w:r>
    </w:p>
    <w:p w14:paraId="52E6FA51">
      <w:pPr>
        <w:pStyle w:val="2"/>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7.在采购周期内，</w:t>
      </w:r>
      <w:r>
        <w:rPr>
          <w:rFonts w:hint="eastAsia" w:ascii="仿宋" w:hAnsi="仿宋" w:eastAsia="仿宋" w:cs="仿宋"/>
          <w:color w:val="0000FF"/>
          <w:kern w:val="0"/>
          <w:sz w:val="24"/>
          <w:szCs w:val="24"/>
          <w:highlight w:val="none"/>
          <w:lang w:val="en-US" w:eastAsia="zh-CN" w:bidi="ar-SA"/>
        </w:rPr>
        <w:t>如有需要，则</w:t>
      </w:r>
      <w:r>
        <w:rPr>
          <w:rFonts w:hint="eastAsia" w:ascii="仿宋" w:hAnsi="仿宋" w:eastAsia="仿宋" w:cs="仿宋"/>
          <w:kern w:val="0"/>
          <w:sz w:val="24"/>
          <w:szCs w:val="24"/>
          <w:highlight w:val="none"/>
          <w:lang w:val="en-US" w:eastAsia="zh-CN" w:bidi="ar-SA"/>
        </w:rPr>
        <w:t>中标人须承担手术中的防护费用、耗材的消毒费用和提供使用耗材的配套设备。</w:t>
      </w:r>
    </w:p>
    <w:p w14:paraId="39FA5F52">
      <w:pPr>
        <w:pStyle w:val="2"/>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8.本项目所有包别的产品资格后审，在中标合同签订后、供货前，中标人须向采购人提供所供产品合法有效的注册证</w:t>
      </w:r>
      <w:r>
        <w:rPr>
          <w:rFonts w:hint="eastAsia" w:ascii="仿宋" w:hAnsi="仿宋" w:eastAsia="仿宋" w:cs="仿宋"/>
          <w:color w:val="4874CB" w:themeColor="accent1"/>
          <w:kern w:val="0"/>
          <w:sz w:val="24"/>
          <w:szCs w:val="24"/>
          <w:highlight w:val="none"/>
          <w:lang w:val="en-US" w:eastAsia="zh-CN" w:bidi="ar-SA"/>
          <w14:textFill>
            <w14:solidFill>
              <w14:schemeClr w14:val="accent1"/>
            </w14:solidFill>
          </w14:textFill>
        </w:rPr>
        <w:t>等有效证件</w:t>
      </w:r>
      <w:r>
        <w:rPr>
          <w:rFonts w:hint="eastAsia" w:ascii="仿宋" w:hAnsi="仿宋" w:eastAsia="仿宋" w:cs="仿宋"/>
          <w:kern w:val="0"/>
          <w:sz w:val="24"/>
          <w:szCs w:val="24"/>
          <w:highlight w:val="none"/>
          <w:lang w:val="en-US" w:eastAsia="zh-CN" w:bidi="ar-SA"/>
        </w:rPr>
        <w:t>。</w:t>
      </w:r>
    </w:p>
    <w:p w14:paraId="28DFC519">
      <w:pPr>
        <w:pStyle w:val="2"/>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9.供应商所供货物须满足临床使用需求，如无法满足供应商须无条件配合采购人调换。</w:t>
      </w:r>
    </w:p>
    <w:p w14:paraId="00986809">
      <w:pPr>
        <w:pStyle w:val="2"/>
        <w:rPr>
          <w:rFonts w:hint="eastAsia" w:ascii="仿宋" w:hAnsi="仿宋" w:eastAsia="仿宋" w:cs="仿宋"/>
          <w:color w:val="0000FF"/>
          <w:kern w:val="0"/>
          <w:sz w:val="24"/>
          <w:szCs w:val="24"/>
          <w:highlight w:val="none"/>
          <w:lang w:val="en-US" w:eastAsia="zh-CN" w:bidi="ar-SA"/>
        </w:rPr>
      </w:pPr>
      <w:r>
        <w:rPr>
          <w:rFonts w:hint="eastAsia" w:ascii="仿宋" w:hAnsi="仿宋" w:eastAsia="仿宋" w:cs="仿宋"/>
          <w:color w:val="0000FF"/>
          <w:kern w:val="0"/>
          <w:sz w:val="24"/>
          <w:szCs w:val="24"/>
          <w:highlight w:val="none"/>
          <w:lang w:val="en-US" w:eastAsia="zh-CN" w:bidi="ar-SA"/>
        </w:rPr>
        <w:t>10.采购人分院（包括但不限于马店分院（霍邱县第六人民医院））遵照成交单价可与中标（成交）人另行签订采购合同。</w:t>
      </w:r>
    </w:p>
    <w:p w14:paraId="515E93DA">
      <w:pPr>
        <w:spacing w:line="400" w:lineRule="exact"/>
        <w:ind w:firstLine="482" w:firstLineChars="200"/>
        <w:rPr>
          <w:rFonts w:hint="eastAsia" w:ascii="仿宋" w:hAnsi="仿宋" w:eastAsia="仿宋" w:cs="仿宋"/>
          <w:sz w:val="24"/>
          <w:szCs w:val="24"/>
          <w:lang w:val="en-US" w:eastAsia="zh-CN"/>
        </w:rPr>
      </w:pPr>
      <w:r>
        <w:rPr>
          <w:rFonts w:hint="eastAsia" w:ascii="仿宋" w:hAnsi="仿宋" w:eastAsia="仿宋" w:cs="仿宋"/>
          <w:b/>
          <w:color w:val="auto"/>
          <w:sz w:val="24"/>
          <w:szCs w:val="24"/>
          <w:highlight w:val="none"/>
          <w:lang w:val="en-US" w:eastAsia="zh-CN"/>
        </w:rPr>
        <w:t>三、</w:t>
      </w:r>
      <w:r>
        <w:rPr>
          <w:rFonts w:hint="eastAsia" w:ascii="仿宋" w:hAnsi="仿宋" w:eastAsia="仿宋" w:cs="仿宋"/>
          <w:b/>
          <w:color w:val="auto"/>
          <w:sz w:val="24"/>
          <w:szCs w:val="24"/>
          <w:highlight w:val="none"/>
        </w:rPr>
        <w:t>报价</w:t>
      </w:r>
      <w:bookmarkEnd w:id="0"/>
      <w:r>
        <w:rPr>
          <w:rFonts w:hint="eastAsia" w:ascii="仿宋" w:hAnsi="仿宋" w:eastAsia="仿宋" w:cs="仿宋"/>
          <w:b/>
          <w:color w:val="auto"/>
          <w:sz w:val="24"/>
          <w:szCs w:val="24"/>
          <w:highlight w:val="none"/>
          <w:lang w:val="en-US" w:eastAsia="zh-CN"/>
        </w:rPr>
        <w:t>及注意事项</w:t>
      </w:r>
    </w:p>
    <w:p w14:paraId="7309F32F">
      <w:pPr>
        <w:numPr>
          <w:ilvl w:val="0"/>
          <w:numId w:val="0"/>
        </w:numPr>
        <w:spacing w:line="360" w:lineRule="auto"/>
        <w:ind w:left="-60" w:leftChars="0" w:firstLine="480" w:firstLineChars="0"/>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1.</w:t>
      </w:r>
      <w:r>
        <w:rPr>
          <w:rFonts w:hint="eastAsia" w:ascii="仿宋" w:hAnsi="仿宋" w:eastAsia="仿宋" w:cs="仿宋"/>
          <w:color w:val="000000"/>
          <w:kern w:val="0"/>
          <w:sz w:val="24"/>
          <w:szCs w:val="24"/>
          <w:highlight w:val="none"/>
          <w:lang w:val="en-US" w:eastAsia="zh-CN" w:bidi="ar"/>
        </w:rPr>
        <w:t>本项目采用整体下浮率报价，所报整体下浮率为配送清单目录内单项产品的下浮率，即</w:t>
      </w:r>
      <w:r>
        <w:rPr>
          <w:rFonts w:hint="eastAsia" w:ascii="仿宋" w:hAnsi="仿宋" w:eastAsia="仿宋" w:cs="仿宋"/>
          <w:b/>
          <w:bCs/>
          <w:sz w:val="24"/>
          <w:szCs w:val="24"/>
          <w:highlight w:val="none"/>
          <w:lang w:val="en-US" w:eastAsia="zh-CN"/>
        </w:rPr>
        <w:t>耗材成交单价=单价限价*（1-整体下浮率）</w:t>
      </w:r>
      <w:r>
        <w:rPr>
          <w:rFonts w:hint="eastAsia" w:ascii="仿宋" w:hAnsi="仿宋" w:eastAsia="仿宋" w:cs="仿宋"/>
          <w:b w:val="0"/>
          <w:bCs w:val="0"/>
          <w:sz w:val="24"/>
          <w:szCs w:val="24"/>
          <w:highlight w:val="none"/>
          <w:lang w:val="en-US" w:eastAsia="zh-CN"/>
        </w:rPr>
        <w:t>。</w:t>
      </w:r>
      <w:r>
        <w:rPr>
          <w:rFonts w:hint="eastAsia" w:ascii="仿宋" w:hAnsi="仿宋" w:eastAsia="仿宋" w:cs="仿宋"/>
          <w:color w:val="000000"/>
          <w:kern w:val="0"/>
          <w:sz w:val="24"/>
          <w:szCs w:val="24"/>
          <w:highlight w:val="none"/>
          <w:lang w:val="en-US" w:eastAsia="zh-CN" w:bidi="ar"/>
        </w:rPr>
        <w:t>结算时以耗材成交单价为计算基础，根据实际供货量据实结算。</w:t>
      </w:r>
    </w:p>
    <w:p w14:paraId="50350A73">
      <w:pPr>
        <w:numPr>
          <w:ilvl w:val="0"/>
          <w:numId w:val="0"/>
        </w:numPr>
        <w:spacing w:line="360" w:lineRule="auto"/>
        <w:ind w:left="-60" w:leftChars="0" w:firstLine="480" w:firstLineChars="0"/>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lang w:val="en-US" w:eastAsia="zh-CN" w:bidi="ar-SA"/>
        </w:rPr>
        <w:t>2.</w:t>
      </w:r>
      <w:r>
        <w:rPr>
          <w:rFonts w:hint="eastAsia" w:ascii="仿宋" w:hAnsi="仿宋" w:eastAsia="仿宋" w:cs="仿宋"/>
          <w:sz w:val="24"/>
          <w:szCs w:val="24"/>
          <w:highlight w:val="none"/>
          <w:lang w:eastAsia="zh-CN"/>
        </w:rPr>
        <w:t>配送商需服从医院</w:t>
      </w:r>
      <w:r>
        <w:rPr>
          <w:rFonts w:hint="eastAsia" w:ascii="仿宋" w:hAnsi="仿宋" w:eastAsia="仿宋" w:cs="仿宋"/>
          <w:sz w:val="24"/>
          <w:szCs w:val="24"/>
          <w:highlight w:val="none"/>
        </w:rPr>
        <w:t>物资精细化管理系统</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SPD）</w:t>
      </w:r>
      <w:r>
        <w:rPr>
          <w:rFonts w:hint="eastAsia" w:ascii="仿宋" w:hAnsi="仿宋" w:eastAsia="仿宋" w:cs="仿宋"/>
          <w:sz w:val="24"/>
          <w:szCs w:val="24"/>
          <w:highlight w:val="none"/>
          <w:lang w:eastAsia="zh-CN"/>
        </w:rPr>
        <w:t>管理，</w:t>
      </w:r>
      <w:r>
        <w:rPr>
          <w:rFonts w:hint="eastAsia" w:ascii="仿宋" w:hAnsi="仿宋" w:eastAsia="仿宋" w:cs="仿宋"/>
          <w:sz w:val="24"/>
          <w:szCs w:val="24"/>
          <w:highlight w:val="none"/>
          <w:lang w:val="en-US" w:eastAsia="zh-CN"/>
        </w:rPr>
        <w:t>SPD</w:t>
      </w:r>
      <w:r>
        <w:rPr>
          <w:rFonts w:hint="eastAsia" w:ascii="仿宋" w:hAnsi="仿宋" w:eastAsia="仿宋" w:cs="仿宋"/>
          <w:sz w:val="24"/>
          <w:szCs w:val="24"/>
          <w:highlight w:val="none"/>
          <w:lang w:eastAsia="zh-CN"/>
        </w:rPr>
        <w:t>管理</w:t>
      </w:r>
      <w:r>
        <w:rPr>
          <w:rFonts w:hint="eastAsia" w:ascii="仿宋" w:hAnsi="仿宋" w:eastAsia="仿宋" w:cs="仿宋"/>
          <w:sz w:val="24"/>
          <w:szCs w:val="24"/>
          <w:highlight w:val="none"/>
        </w:rPr>
        <w:t>费用按</w:t>
      </w:r>
      <w:r>
        <w:rPr>
          <w:rFonts w:hint="eastAsia" w:ascii="仿宋" w:hAnsi="仿宋" w:eastAsia="仿宋" w:cs="仿宋"/>
          <w:sz w:val="24"/>
          <w:szCs w:val="24"/>
          <w:highlight w:val="none"/>
          <w:lang w:eastAsia="zh-CN"/>
        </w:rPr>
        <w:t>医院现有规定执行</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最高不超过配送耗材结算金额的</w:t>
      </w:r>
      <w:r>
        <w:rPr>
          <w:rFonts w:hint="eastAsia" w:ascii="仿宋" w:hAnsi="仿宋" w:eastAsia="仿宋" w:cs="仿宋"/>
          <w:color w:val="4874CB" w:themeColor="accent1"/>
          <w:sz w:val="24"/>
          <w:szCs w:val="24"/>
          <w:highlight w:val="none"/>
          <w:lang w:val="en-US" w:eastAsia="zh-CN"/>
          <w14:textFill>
            <w14:solidFill>
              <w14:schemeClr w14:val="accent1"/>
            </w14:solidFill>
          </w14:textFill>
        </w:rPr>
        <w:t>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由</w:t>
      </w:r>
      <w:r>
        <w:rPr>
          <w:rFonts w:hint="eastAsia" w:ascii="仿宋" w:hAnsi="仿宋" w:eastAsia="仿宋" w:cs="仿宋"/>
          <w:sz w:val="24"/>
          <w:szCs w:val="24"/>
          <w:highlight w:val="none"/>
          <w:lang w:eastAsia="zh-CN"/>
        </w:rPr>
        <w:t>配送商</w:t>
      </w:r>
      <w:r>
        <w:rPr>
          <w:rFonts w:hint="eastAsia" w:ascii="仿宋" w:hAnsi="仿宋" w:eastAsia="仿宋" w:cs="仿宋"/>
          <w:sz w:val="24"/>
          <w:szCs w:val="24"/>
          <w:highlight w:val="none"/>
        </w:rPr>
        <w:t>支付。</w:t>
      </w:r>
    </w:p>
    <w:p w14:paraId="6EF2CC5C">
      <w:pPr>
        <w:numPr>
          <w:ilvl w:val="0"/>
          <w:numId w:val="0"/>
        </w:numPr>
        <w:spacing w:line="360" w:lineRule="auto"/>
        <w:ind w:left="-60" w:leftChars="0" w:firstLine="480" w:firstLineChars="0"/>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lang w:val="en-US" w:eastAsia="zh-CN" w:bidi="ar-SA"/>
        </w:rPr>
        <w:t>3.</w:t>
      </w:r>
      <w:r>
        <w:rPr>
          <w:rFonts w:hint="eastAsia" w:ascii="仿宋" w:hAnsi="仿宋" w:eastAsia="仿宋" w:cs="仿宋"/>
          <w:sz w:val="24"/>
          <w:szCs w:val="24"/>
          <w:highlight w:val="none"/>
          <w:lang w:eastAsia="zh-CN"/>
        </w:rPr>
        <w:t>配送商</w:t>
      </w:r>
      <w:r>
        <w:rPr>
          <w:rFonts w:hint="eastAsia" w:ascii="仿宋" w:hAnsi="仿宋" w:eastAsia="仿宋" w:cs="仿宋"/>
          <w:sz w:val="24"/>
          <w:szCs w:val="24"/>
          <w:highlight w:val="none"/>
        </w:rPr>
        <w:t>应充分理解采购人因招标周期内预计的需求变化而导致包内部分产品无法使用以及使用量增减的情况</w:t>
      </w:r>
      <w:r>
        <w:rPr>
          <w:rFonts w:hint="eastAsia" w:ascii="仿宋" w:hAnsi="仿宋" w:eastAsia="仿宋" w:cs="仿宋"/>
          <w:sz w:val="24"/>
          <w:szCs w:val="24"/>
          <w:highlight w:val="none"/>
          <w:lang w:eastAsia="zh-CN"/>
        </w:rPr>
        <w:t>。</w:t>
      </w:r>
    </w:p>
    <w:p w14:paraId="1EEA57C6">
      <w:pPr>
        <w:pStyle w:val="2"/>
        <w:numPr>
          <w:ilvl w:val="0"/>
          <w:numId w:val="0"/>
        </w:num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sz w:val="24"/>
          <w:szCs w:val="24"/>
          <w:highlight w:val="none"/>
          <w:lang w:eastAsia="zh-CN"/>
        </w:rPr>
        <w:t>配送商</w:t>
      </w:r>
      <w:r>
        <w:rPr>
          <w:rFonts w:hint="eastAsia" w:ascii="仿宋" w:hAnsi="仿宋" w:eastAsia="仿宋" w:cs="仿宋"/>
          <w:bCs/>
          <w:kern w:val="2"/>
          <w:sz w:val="24"/>
          <w:szCs w:val="24"/>
          <w:highlight w:val="none"/>
          <w:lang w:val="en-US" w:eastAsia="zh-CN" w:bidi="ar"/>
        </w:rPr>
        <w:t>所配送产品如为一类医疗器械，须具有有效的医疗器械备案凭证；如为二类或三类医疗器械，须具有有效的医疗器械注册证、医疗器械注册登记表，以上证明材料合同签订后由</w:t>
      </w:r>
      <w:r>
        <w:rPr>
          <w:rFonts w:hint="eastAsia" w:ascii="仿宋" w:hAnsi="仿宋" w:eastAsia="仿宋" w:cs="仿宋"/>
          <w:sz w:val="24"/>
          <w:szCs w:val="24"/>
          <w:highlight w:val="none"/>
          <w:lang w:eastAsia="zh-CN"/>
        </w:rPr>
        <w:t>配送商</w:t>
      </w:r>
      <w:r>
        <w:rPr>
          <w:rFonts w:hint="eastAsia" w:ascii="仿宋" w:hAnsi="仿宋" w:eastAsia="仿宋" w:cs="仿宋"/>
          <w:bCs/>
          <w:kern w:val="2"/>
          <w:sz w:val="24"/>
          <w:szCs w:val="24"/>
          <w:highlight w:val="none"/>
          <w:lang w:val="en-US" w:eastAsia="zh-CN" w:bidi="ar"/>
        </w:rPr>
        <w:t>在供货前向采购人提供查验。如无法提供，一切后果及责任由</w:t>
      </w:r>
      <w:r>
        <w:rPr>
          <w:rFonts w:hint="eastAsia" w:ascii="仿宋" w:hAnsi="仿宋" w:eastAsia="仿宋" w:cs="仿宋"/>
          <w:sz w:val="24"/>
          <w:szCs w:val="24"/>
          <w:highlight w:val="none"/>
          <w:lang w:eastAsia="zh-CN"/>
        </w:rPr>
        <w:t>配送商</w:t>
      </w:r>
      <w:r>
        <w:rPr>
          <w:rFonts w:hint="eastAsia" w:ascii="仿宋" w:hAnsi="仿宋" w:eastAsia="仿宋" w:cs="仿宋"/>
          <w:bCs/>
          <w:kern w:val="2"/>
          <w:sz w:val="24"/>
          <w:szCs w:val="24"/>
          <w:highlight w:val="none"/>
          <w:lang w:val="en-US" w:eastAsia="zh-CN" w:bidi="ar"/>
        </w:rPr>
        <w:t>承担。</w:t>
      </w:r>
    </w:p>
    <w:p w14:paraId="4F541050">
      <w:pPr>
        <w:spacing w:line="40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color w:val="auto"/>
          <w:sz w:val="24"/>
          <w:szCs w:val="24"/>
          <w:highlight w:val="none"/>
          <w:lang w:val="en-US" w:eastAsia="zh-CN"/>
        </w:rPr>
        <w:t>5.所投耗材必须提供注册证和27位医保编码，并且能够与省医保局耗材编码数据库品种相匹配。</w:t>
      </w:r>
    </w:p>
    <w:p w14:paraId="53DCCE70">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6.投标供应商以本项目招标公告附件中下载的产品需求表为依据进行分包报价。</w:t>
      </w:r>
    </w:p>
    <w:p w14:paraId="618A8487">
      <w:pPr>
        <w:spacing w:line="40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投标供应商在填报价格时应与产品生产企业或产品总代充分沟通。如果因投标供应商原因造成不能供货，将按《购销合同》中相关约定扣除中标供应商的履约保证金，中标供应商补偿给采购人造成的一切经济损失。</w:t>
      </w:r>
    </w:p>
    <w:p w14:paraId="5BDE29C4">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8.开标一览表填写格式：开标一览表须填写投标固定降幅（百分比）。中标后投标供应商的中标金额以投标时最终投标报价的固定降幅为准，请各投标供应商谨慎报价。所有投标报价不得高于省平台价格，在履行合同期间，如遇中标价高于省平台价格的按平台价格执行。</w:t>
      </w:r>
    </w:p>
    <w:p w14:paraId="54535570">
      <w:pPr>
        <w:pStyle w:val="6"/>
        <w:keepNext w:val="0"/>
        <w:keepLines w:val="0"/>
        <w:pageBreakBefore w:val="0"/>
        <w:widowControl w:val="0"/>
        <w:kinsoku/>
        <w:wordWrap/>
        <w:overflowPunct/>
        <w:topLinePunct w:val="0"/>
        <w:autoSpaceDE/>
        <w:autoSpaceDN/>
        <w:bidi w:val="0"/>
        <w:adjustRightInd/>
        <w:snapToGrid/>
        <w:spacing w:line="370" w:lineRule="exact"/>
        <w:ind w:firstLine="42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9.投标供应商不得以产品中标价格、授权等问题，影响医院采购和临床使用。如相同产品省内其他医院能正常采购，供应商不得以缺货等原因拒绝供货。</w:t>
      </w:r>
    </w:p>
    <w:p w14:paraId="0C160EBD">
      <w:pPr>
        <w:pStyle w:val="6"/>
        <w:keepNext w:val="0"/>
        <w:keepLines w:val="0"/>
        <w:pageBreakBefore w:val="0"/>
        <w:widowControl w:val="0"/>
        <w:kinsoku/>
        <w:wordWrap/>
        <w:overflowPunct/>
        <w:topLinePunct w:val="0"/>
        <w:autoSpaceDE/>
        <w:autoSpaceDN/>
        <w:bidi w:val="0"/>
        <w:adjustRightInd/>
        <w:snapToGrid/>
        <w:spacing w:line="370" w:lineRule="exact"/>
        <w:ind w:firstLine="420"/>
        <w:textAlignment w:val="auto"/>
        <w:rPr>
          <w:rFonts w:hint="eastAsia" w:ascii="仿宋" w:hAnsi="仿宋" w:eastAsia="仿宋" w:cs="仿宋"/>
          <w:b w:val="0"/>
          <w:bCs w:val="0"/>
          <w:color w:val="0000FF"/>
          <w:sz w:val="24"/>
          <w:szCs w:val="24"/>
          <w:lang w:val="en-US" w:eastAsia="zh-CN"/>
        </w:rPr>
      </w:pPr>
      <w:r>
        <w:rPr>
          <w:rFonts w:hint="eastAsia" w:ascii="仿宋" w:hAnsi="仿宋" w:eastAsia="仿宋" w:cs="仿宋"/>
          <w:sz w:val="24"/>
          <w:szCs w:val="24"/>
          <w:lang w:val="en-US" w:eastAsia="zh-CN"/>
        </w:rPr>
        <w:t>10.违约处理。</w:t>
      </w:r>
      <w:r>
        <w:rPr>
          <w:rFonts w:hint="eastAsia" w:ascii="仿宋" w:hAnsi="仿宋" w:eastAsia="仿宋" w:cs="仿宋"/>
          <w:b w:val="0"/>
          <w:bCs w:val="0"/>
          <w:color w:val="0000FF"/>
          <w:sz w:val="24"/>
          <w:szCs w:val="24"/>
          <w:lang w:val="en-US" w:eastAsia="zh-CN"/>
        </w:rPr>
        <w:t>若中标人不能按合同（或“两票制”【</w:t>
      </w:r>
      <w:r>
        <w:rPr>
          <w:rFonts w:hint="eastAsia" w:ascii="仿宋" w:hAnsi="仿宋" w:eastAsia="仿宋" w:cs="仿宋"/>
          <w:b w:val="0"/>
          <w:bCs w:val="0"/>
          <w:i w:val="0"/>
          <w:iCs w:val="0"/>
          <w:color w:val="0000FF"/>
          <w:sz w:val="24"/>
          <w:szCs w:val="24"/>
          <w:lang w:val="en-US" w:eastAsia="zh-CN"/>
        </w:rPr>
        <w:t>采购周期内如政策调整执行两票制的情况】）</w:t>
      </w:r>
      <w:r>
        <w:rPr>
          <w:rFonts w:hint="eastAsia" w:ascii="仿宋" w:hAnsi="仿宋" w:eastAsia="仿宋" w:cs="仿宋"/>
          <w:b w:val="0"/>
          <w:bCs w:val="0"/>
          <w:color w:val="0000FF"/>
          <w:sz w:val="24"/>
          <w:szCs w:val="24"/>
          <w:lang w:val="en-US" w:eastAsia="zh-CN"/>
        </w:rPr>
        <w:t>要求在约定时间内供货，采购人有权按评审结果依次指定其他成交候选人（配送企业）进行配送，其他配送企业指定顺序按本包中标候选人顺序依次指定有配送能力的候选人予以配送，即第二中标候选人无能力配送则顺延至第三中标候选人予以配送（本招标文件均按此执行）。由此造成的耗材差价、措施费等费用均由乙方承担，</w:t>
      </w:r>
      <w:r>
        <w:rPr>
          <w:rFonts w:hint="eastAsia" w:ascii="仿宋" w:hAnsi="仿宋" w:eastAsia="仿宋" w:cs="仿宋"/>
          <w:b w:val="0"/>
          <w:bCs w:val="0"/>
          <w:color w:val="0000FF"/>
          <w:sz w:val="24"/>
          <w:szCs w:val="24"/>
          <w:lang w:eastAsia="zh-CN"/>
        </w:rPr>
        <w:t>此损失先在中标人履约保证金中予以扣除（扣除后中标人须在</w:t>
      </w:r>
      <w:r>
        <w:rPr>
          <w:rFonts w:hint="eastAsia" w:ascii="仿宋" w:hAnsi="仿宋" w:eastAsia="仿宋" w:cs="仿宋"/>
          <w:b w:val="0"/>
          <w:bCs w:val="0"/>
          <w:color w:val="0000FF"/>
          <w:sz w:val="24"/>
          <w:szCs w:val="24"/>
          <w:lang w:val="en-US" w:eastAsia="zh-CN"/>
        </w:rPr>
        <w:t>3个工作日内予以补齐履约保证金，违者视同中标人自愿解除合同，采购人不予退还剩余履约保证金并不予支付未付货款，同时有权将中标人履约情况报六安市公共资源交易监督部门予以处罚</w:t>
      </w:r>
      <w:r>
        <w:rPr>
          <w:rFonts w:hint="eastAsia" w:ascii="仿宋" w:hAnsi="仿宋" w:eastAsia="仿宋" w:cs="仿宋"/>
          <w:b w:val="0"/>
          <w:bCs w:val="0"/>
          <w:color w:val="0000FF"/>
          <w:sz w:val="24"/>
          <w:szCs w:val="24"/>
          <w:lang w:eastAsia="zh-CN"/>
        </w:rPr>
        <w:t>），履约保证金不足的则由采购人在中标人货款中予以扣除</w:t>
      </w:r>
      <w:r>
        <w:rPr>
          <w:rFonts w:hint="eastAsia" w:ascii="仿宋" w:hAnsi="仿宋" w:eastAsia="仿宋" w:cs="仿宋"/>
          <w:b w:val="0"/>
          <w:bCs w:val="0"/>
          <w:color w:val="0000FF"/>
          <w:sz w:val="24"/>
          <w:szCs w:val="24"/>
          <w:lang w:val="en-US" w:eastAsia="zh-CN"/>
        </w:rPr>
        <w:t>。</w:t>
      </w:r>
    </w:p>
    <w:p w14:paraId="60E3F45A">
      <w:pPr>
        <w:pStyle w:val="6"/>
        <w:keepNext w:val="0"/>
        <w:keepLines w:val="0"/>
        <w:pageBreakBefore w:val="0"/>
        <w:widowControl w:val="0"/>
        <w:kinsoku/>
        <w:wordWrap/>
        <w:overflowPunct/>
        <w:topLinePunct w:val="0"/>
        <w:autoSpaceDE/>
        <w:autoSpaceDN/>
        <w:bidi w:val="0"/>
        <w:adjustRightInd/>
        <w:snapToGrid/>
        <w:spacing w:line="370" w:lineRule="exact"/>
        <w:ind w:firstLine="420"/>
        <w:textAlignment w:val="auto"/>
        <w:rPr>
          <w:rFonts w:hint="eastAsia" w:ascii="仿宋" w:hAnsi="仿宋" w:eastAsia="仿宋" w:cs="仿宋"/>
          <w:b w:val="0"/>
          <w:bCs w:val="0"/>
          <w:color w:val="0000FF"/>
          <w:sz w:val="24"/>
          <w:szCs w:val="24"/>
          <w:lang w:eastAsia="zh-CN"/>
        </w:rPr>
      </w:pPr>
      <w:r>
        <w:rPr>
          <w:rFonts w:hint="eastAsia" w:ascii="仿宋" w:hAnsi="仿宋" w:eastAsia="仿宋" w:cs="仿宋"/>
          <w:b w:val="0"/>
          <w:bCs w:val="0"/>
          <w:color w:val="0000FF"/>
          <w:sz w:val="24"/>
          <w:szCs w:val="24"/>
        </w:rPr>
        <w:t>中标人自收到</w:t>
      </w:r>
      <w:r>
        <w:rPr>
          <w:rFonts w:hint="eastAsia" w:ascii="仿宋" w:hAnsi="仿宋" w:eastAsia="仿宋" w:cs="仿宋"/>
          <w:b w:val="0"/>
          <w:bCs w:val="0"/>
          <w:color w:val="0000FF"/>
          <w:sz w:val="24"/>
          <w:szCs w:val="24"/>
          <w:lang w:eastAsia="zh-CN"/>
        </w:rPr>
        <w:t>采购人</w:t>
      </w:r>
      <w:r>
        <w:rPr>
          <w:rFonts w:hint="eastAsia" w:ascii="仿宋" w:hAnsi="仿宋" w:eastAsia="仿宋" w:cs="仿宋"/>
          <w:b w:val="0"/>
          <w:bCs w:val="0"/>
          <w:color w:val="0000FF"/>
          <w:sz w:val="24"/>
          <w:szCs w:val="24"/>
        </w:rPr>
        <w:t>供货计划</w:t>
      </w:r>
      <w:r>
        <w:rPr>
          <w:rFonts w:hint="eastAsia" w:ascii="仿宋" w:hAnsi="仿宋" w:eastAsia="仿宋" w:cs="仿宋"/>
          <w:b w:val="0"/>
          <w:bCs w:val="0"/>
          <w:color w:val="0000FF"/>
          <w:sz w:val="24"/>
          <w:szCs w:val="24"/>
          <w:lang w:eastAsia="zh-CN"/>
        </w:rPr>
        <w:t>之日</w:t>
      </w:r>
      <w:r>
        <w:rPr>
          <w:rFonts w:hint="eastAsia" w:ascii="仿宋" w:hAnsi="仿宋" w:eastAsia="仿宋" w:cs="仿宋"/>
          <w:b w:val="0"/>
          <w:bCs w:val="0"/>
          <w:color w:val="0000FF"/>
          <w:sz w:val="24"/>
          <w:szCs w:val="24"/>
        </w:rPr>
        <w:t>起</w:t>
      </w:r>
      <w:r>
        <w:rPr>
          <w:rFonts w:hint="eastAsia" w:ascii="仿宋" w:hAnsi="仿宋" w:eastAsia="仿宋" w:cs="仿宋"/>
          <w:b w:val="0"/>
          <w:bCs w:val="0"/>
          <w:color w:val="0000FF"/>
          <w:sz w:val="24"/>
          <w:szCs w:val="24"/>
          <w:lang w:val="en-US" w:eastAsia="zh-CN"/>
        </w:rPr>
        <w:t>48小时</w:t>
      </w:r>
      <w:r>
        <w:rPr>
          <w:rFonts w:hint="eastAsia" w:ascii="仿宋" w:hAnsi="仿宋" w:eastAsia="仿宋" w:cs="仿宋"/>
          <w:b w:val="0"/>
          <w:bCs w:val="0"/>
          <w:color w:val="0000FF"/>
          <w:sz w:val="24"/>
          <w:szCs w:val="24"/>
        </w:rPr>
        <w:t>内</w:t>
      </w:r>
      <w:r>
        <w:rPr>
          <w:rFonts w:hint="eastAsia" w:ascii="仿宋" w:hAnsi="仿宋" w:eastAsia="仿宋" w:cs="仿宋"/>
          <w:b w:val="0"/>
          <w:bCs w:val="0"/>
          <w:color w:val="0000FF"/>
          <w:sz w:val="24"/>
          <w:szCs w:val="24"/>
          <w:lang w:val="en-US" w:eastAsia="zh-CN"/>
        </w:rPr>
        <w:t>未</w:t>
      </w:r>
      <w:r>
        <w:rPr>
          <w:rFonts w:hint="eastAsia" w:ascii="仿宋" w:hAnsi="仿宋" w:eastAsia="仿宋" w:cs="仿宋"/>
          <w:b w:val="0"/>
          <w:bCs w:val="0"/>
          <w:color w:val="0000FF"/>
          <w:sz w:val="24"/>
          <w:szCs w:val="24"/>
        </w:rPr>
        <w:t>能供货</w:t>
      </w:r>
      <w:r>
        <w:rPr>
          <w:rFonts w:hint="eastAsia" w:ascii="仿宋" w:hAnsi="仿宋" w:eastAsia="仿宋" w:cs="仿宋"/>
          <w:b w:val="0"/>
          <w:bCs w:val="0"/>
          <w:color w:val="0000FF"/>
          <w:sz w:val="24"/>
          <w:szCs w:val="24"/>
          <w:lang w:eastAsia="zh-CN"/>
        </w:rPr>
        <w:t>（</w:t>
      </w:r>
      <w:r>
        <w:rPr>
          <w:rFonts w:hint="eastAsia" w:ascii="仿宋" w:hAnsi="仿宋" w:eastAsia="仿宋" w:cs="仿宋"/>
          <w:b w:val="0"/>
          <w:bCs w:val="0"/>
          <w:color w:val="0000FF"/>
          <w:sz w:val="24"/>
          <w:szCs w:val="24"/>
          <w:lang w:val="en-US" w:eastAsia="zh-CN"/>
        </w:rPr>
        <w:t>或未按采购人</w:t>
      </w:r>
      <w:r>
        <w:rPr>
          <w:rFonts w:hint="eastAsia" w:ascii="仿宋" w:hAnsi="仿宋" w:eastAsia="仿宋" w:cs="仿宋"/>
          <w:b w:val="0"/>
          <w:bCs w:val="0"/>
          <w:color w:val="0000FF"/>
          <w:sz w:val="24"/>
          <w:szCs w:val="24"/>
        </w:rPr>
        <w:t>供货计划供货</w:t>
      </w:r>
      <w:r>
        <w:rPr>
          <w:rFonts w:hint="eastAsia" w:ascii="仿宋" w:hAnsi="仿宋" w:eastAsia="仿宋" w:cs="仿宋"/>
          <w:b w:val="0"/>
          <w:bCs w:val="0"/>
          <w:color w:val="0000FF"/>
          <w:sz w:val="24"/>
          <w:szCs w:val="24"/>
          <w:lang w:eastAsia="zh-CN"/>
        </w:rPr>
        <w:t>）情形</w:t>
      </w:r>
      <w:r>
        <w:rPr>
          <w:rFonts w:hint="eastAsia" w:ascii="仿宋" w:hAnsi="仿宋" w:eastAsia="仿宋" w:cs="仿宋"/>
          <w:b w:val="0"/>
          <w:bCs w:val="0"/>
          <w:i w:val="0"/>
          <w:iCs w:val="0"/>
          <w:color w:val="0000FF"/>
          <w:sz w:val="24"/>
          <w:szCs w:val="24"/>
          <w:lang w:val="en-US" w:eastAsia="zh-CN"/>
        </w:rPr>
        <w:t>的</w:t>
      </w:r>
      <w:r>
        <w:rPr>
          <w:rFonts w:hint="eastAsia" w:ascii="仿宋" w:hAnsi="仿宋" w:eastAsia="仿宋" w:cs="仿宋"/>
          <w:b w:val="0"/>
          <w:bCs w:val="0"/>
          <w:color w:val="0000FF"/>
          <w:sz w:val="24"/>
          <w:szCs w:val="24"/>
        </w:rPr>
        <w:t>则由</w:t>
      </w:r>
      <w:r>
        <w:rPr>
          <w:rFonts w:hint="eastAsia" w:ascii="仿宋" w:hAnsi="仿宋" w:eastAsia="仿宋" w:cs="仿宋"/>
          <w:b w:val="0"/>
          <w:bCs w:val="0"/>
          <w:color w:val="0000FF"/>
          <w:sz w:val="24"/>
          <w:szCs w:val="24"/>
          <w:lang w:eastAsia="zh-CN"/>
        </w:rPr>
        <w:t>采购人</w:t>
      </w:r>
      <w:r>
        <w:rPr>
          <w:rFonts w:hint="eastAsia" w:ascii="仿宋" w:hAnsi="仿宋" w:eastAsia="仿宋" w:cs="仿宋"/>
          <w:b w:val="0"/>
          <w:bCs w:val="0"/>
          <w:color w:val="0000FF"/>
          <w:sz w:val="24"/>
          <w:szCs w:val="24"/>
        </w:rPr>
        <w:t>扣除</w:t>
      </w:r>
      <w:r>
        <w:rPr>
          <w:rFonts w:hint="eastAsia" w:ascii="仿宋" w:hAnsi="仿宋" w:eastAsia="仿宋" w:cs="仿宋"/>
          <w:b w:val="0"/>
          <w:bCs w:val="0"/>
          <w:color w:val="0000FF"/>
          <w:sz w:val="24"/>
          <w:szCs w:val="24"/>
          <w:lang w:val="en-US" w:eastAsia="zh-CN"/>
        </w:rPr>
        <w:t>5</w:t>
      </w:r>
      <w:r>
        <w:rPr>
          <w:rFonts w:hint="eastAsia" w:ascii="仿宋" w:hAnsi="仿宋" w:eastAsia="仿宋" w:cs="仿宋"/>
          <w:b w:val="0"/>
          <w:bCs w:val="0"/>
          <w:color w:val="0000FF"/>
          <w:sz w:val="24"/>
          <w:szCs w:val="24"/>
        </w:rPr>
        <w:t>0%的履约保证金并不予退还</w:t>
      </w:r>
      <w:r>
        <w:rPr>
          <w:rFonts w:hint="eastAsia" w:ascii="仿宋" w:hAnsi="仿宋" w:eastAsia="仿宋" w:cs="仿宋"/>
          <w:b w:val="0"/>
          <w:bCs w:val="0"/>
          <w:color w:val="0000FF"/>
          <w:sz w:val="24"/>
          <w:szCs w:val="24"/>
          <w:lang w:eastAsia="zh-CN"/>
        </w:rPr>
        <w:t>，中标人须在扣除后</w:t>
      </w:r>
      <w:r>
        <w:rPr>
          <w:rFonts w:hint="eastAsia" w:ascii="仿宋" w:hAnsi="仿宋" w:eastAsia="仿宋" w:cs="仿宋"/>
          <w:b w:val="0"/>
          <w:bCs w:val="0"/>
          <w:color w:val="0000FF"/>
          <w:sz w:val="24"/>
          <w:szCs w:val="24"/>
          <w:lang w:val="en-US" w:eastAsia="zh-CN"/>
        </w:rPr>
        <w:t>3个工作日内予以补齐</w:t>
      </w:r>
      <w:r>
        <w:rPr>
          <w:rFonts w:hint="eastAsia" w:ascii="仿宋" w:hAnsi="仿宋" w:eastAsia="仿宋" w:cs="仿宋"/>
          <w:b w:val="0"/>
          <w:bCs w:val="0"/>
          <w:color w:val="0000FF"/>
          <w:sz w:val="24"/>
          <w:szCs w:val="24"/>
          <w:lang w:eastAsia="zh-CN"/>
        </w:rPr>
        <w:t>履约保证金，逾期未补齐视同中标人自愿解除合同，采购人不予退还剩余履约保证金，同时不予支付未付货款，并有权将中标人履约情况报六安市公共资源交易监督部门予以处罚；</w:t>
      </w:r>
    </w:p>
    <w:p w14:paraId="566F703B">
      <w:pPr>
        <w:pStyle w:val="6"/>
        <w:keepNext w:val="0"/>
        <w:keepLines w:val="0"/>
        <w:pageBreakBefore w:val="0"/>
        <w:widowControl w:val="0"/>
        <w:kinsoku/>
        <w:wordWrap/>
        <w:overflowPunct/>
        <w:topLinePunct w:val="0"/>
        <w:autoSpaceDE/>
        <w:autoSpaceDN/>
        <w:bidi w:val="0"/>
        <w:adjustRightInd/>
        <w:snapToGrid/>
        <w:spacing w:line="370" w:lineRule="exact"/>
        <w:textAlignment w:val="auto"/>
        <w:rPr>
          <w:rFonts w:hint="eastAsia" w:ascii="仿宋" w:hAnsi="仿宋" w:eastAsia="仿宋" w:cs="仿宋"/>
          <w:b w:val="0"/>
          <w:bCs w:val="0"/>
          <w:color w:val="0000FF"/>
          <w:sz w:val="24"/>
          <w:szCs w:val="24"/>
        </w:rPr>
      </w:pPr>
      <w:r>
        <w:rPr>
          <w:rFonts w:hint="eastAsia" w:ascii="仿宋" w:hAnsi="仿宋" w:eastAsia="仿宋" w:cs="仿宋"/>
          <w:b w:val="0"/>
          <w:bCs w:val="0"/>
          <w:color w:val="0000FF"/>
          <w:sz w:val="24"/>
          <w:szCs w:val="24"/>
        </w:rPr>
        <w:t>中标人自收到</w:t>
      </w:r>
      <w:r>
        <w:rPr>
          <w:rFonts w:hint="eastAsia" w:ascii="仿宋" w:hAnsi="仿宋" w:eastAsia="仿宋" w:cs="仿宋"/>
          <w:b w:val="0"/>
          <w:bCs w:val="0"/>
          <w:color w:val="0000FF"/>
          <w:sz w:val="24"/>
          <w:szCs w:val="24"/>
          <w:lang w:eastAsia="zh-CN"/>
        </w:rPr>
        <w:t>采购人</w:t>
      </w:r>
      <w:r>
        <w:rPr>
          <w:rFonts w:hint="eastAsia" w:ascii="仿宋" w:hAnsi="仿宋" w:eastAsia="仿宋" w:cs="仿宋"/>
          <w:b w:val="0"/>
          <w:bCs w:val="0"/>
          <w:color w:val="0000FF"/>
          <w:sz w:val="24"/>
          <w:szCs w:val="24"/>
        </w:rPr>
        <w:t>供货计划</w:t>
      </w:r>
      <w:r>
        <w:rPr>
          <w:rFonts w:hint="eastAsia" w:ascii="仿宋" w:hAnsi="仿宋" w:eastAsia="仿宋" w:cs="仿宋"/>
          <w:b w:val="0"/>
          <w:bCs w:val="0"/>
          <w:color w:val="0000FF"/>
          <w:sz w:val="24"/>
          <w:szCs w:val="24"/>
          <w:lang w:eastAsia="zh-CN"/>
        </w:rPr>
        <w:t>之日</w:t>
      </w:r>
      <w:r>
        <w:rPr>
          <w:rFonts w:hint="eastAsia" w:ascii="仿宋" w:hAnsi="仿宋" w:eastAsia="仿宋" w:cs="仿宋"/>
          <w:b w:val="0"/>
          <w:bCs w:val="0"/>
          <w:color w:val="0000FF"/>
          <w:sz w:val="24"/>
          <w:szCs w:val="24"/>
        </w:rPr>
        <w:t>起</w:t>
      </w:r>
      <w:r>
        <w:rPr>
          <w:rFonts w:hint="eastAsia" w:ascii="仿宋" w:hAnsi="仿宋" w:eastAsia="仿宋" w:cs="仿宋"/>
          <w:b w:val="0"/>
          <w:bCs w:val="0"/>
          <w:color w:val="0000FF"/>
          <w:sz w:val="24"/>
          <w:szCs w:val="24"/>
          <w:lang w:val="en-US" w:eastAsia="zh-CN"/>
        </w:rPr>
        <w:t>7</w:t>
      </w:r>
      <w:r>
        <w:rPr>
          <w:rFonts w:hint="eastAsia" w:ascii="仿宋" w:hAnsi="仿宋" w:eastAsia="仿宋" w:cs="仿宋"/>
          <w:b w:val="0"/>
          <w:bCs w:val="0"/>
          <w:color w:val="0000FF"/>
          <w:sz w:val="24"/>
          <w:szCs w:val="24"/>
        </w:rPr>
        <w:t>个</w:t>
      </w:r>
      <w:r>
        <w:rPr>
          <w:rFonts w:hint="eastAsia" w:ascii="仿宋" w:hAnsi="仿宋" w:eastAsia="仿宋" w:cs="仿宋"/>
          <w:b w:val="0"/>
          <w:bCs w:val="0"/>
          <w:color w:val="0000FF"/>
          <w:sz w:val="24"/>
          <w:szCs w:val="24"/>
          <w:lang w:val="en-US" w:eastAsia="zh-CN"/>
        </w:rPr>
        <w:t>工作日</w:t>
      </w:r>
      <w:r>
        <w:rPr>
          <w:rFonts w:hint="eastAsia" w:ascii="仿宋" w:hAnsi="仿宋" w:eastAsia="仿宋" w:cs="仿宋"/>
          <w:b w:val="0"/>
          <w:bCs w:val="0"/>
          <w:color w:val="0000FF"/>
          <w:sz w:val="24"/>
          <w:szCs w:val="24"/>
        </w:rPr>
        <w:t>内</w:t>
      </w:r>
      <w:r>
        <w:rPr>
          <w:rFonts w:hint="eastAsia" w:ascii="仿宋" w:hAnsi="仿宋" w:eastAsia="仿宋" w:cs="仿宋"/>
          <w:b w:val="0"/>
          <w:bCs w:val="0"/>
          <w:color w:val="0000FF"/>
          <w:sz w:val="24"/>
          <w:szCs w:val="24"/>
          <w:lang w:val="en-US" w:eastAsia="zh-CN"/>
        </w:rPr>
        <w:t>未</w:t>
      </w:r>
      <w:r>
        <w:rPr>
          <w:rFonts w:hint="eastAsia" w:ascii="仿宋" w:hAnsi="仿宋" w:eastAsia="仿宋" w:cs="仿宋"/>
          <w:b w:val="0"/>
          <w:bCs w:val="0"/>
          <w:color w:val="0000FF"/>
          <w:sz w:val="24"/>
          <w:szCs w:val="24"/>
        </w:rPr>
        <w:t>能供货</w:t>
      </w:r>
      <w:r>
        <w:rPr>
          <w:rFonts w:hint="eastAsia" w:ascii="仿宋" w:hAnsi="仿宋" w:eastAsia="仿宋" w:cs="仿宋"/>
          <w:b w:val="0"/>
          <w:bCs w:val="0"/>
          <w:color w:val="0000FF"/>
          <w:sz w:val="24"/>
          <w:szCs w:val="24"/>
          <w:lang w:eastAsia="zh-CN"/>
        </w:rPr>
        <w:t>（</w:t>
      </w:r>
      <w:r>
        <w:rPr>
          <w:rFonts w:hint="eastAsia" w:ascii="仿宋" w:hAnsi="仿宋" w:eastAsia="仿宋" w:cs="仿宋"/>
          <w:b w:val="0"/>
          <w:bCs w:val="0"/>
          <w:color w:val="0000FF"/>
          <w:sz w:val="24"/>
          <w:szCs w:val="24"/>
          <w:lang w:val="en-US" w:eastAsia="zh-CN"/>
        </w:rPr>
        <w:t>或未按采购人</w:t>
      </w:r>
      <w:r>
        <w:rPr>
          <w:rFonts w:hint="eastAsia" w:ascii="仿宋" w:hAnsi="仿宋" w:eastAsia="仿宋" w:cs="仿宋"/>
          <w:b w:val="0"/>
          <w:bCs w:val="0"/>
          <w:color w:val="0000FF"/>
          <w:sz w:val="24"/>
          <w:szCs w:val="24"/>
        </w:rPr>
        <w:t>供货计划供货</w:t>
      </w:r>
      <w:r>
        <w:rPr>
          <w:rFonts w:hint="eastAsia" w:ascii="仿宋" w:hAnsi="仿宋" w:eastAsia="仿宋" w:cs="仿宋"/>
          <w:b w:val="0"/>
          <w:bCs w:val="0"/>
          <w:color w:val="0000FF"/>
          <w:sz w:val="24"/>
          <w:szCs w:val="24"/>
          <w:lang w:eastAsia="zh-CN"/>
        </w:rPr>
        <w:t>）情形</w:t>
      </w:r>
      <w:r>
        <w:rPr>
          <w:rFonts w:hint="eastAsia" w:ascii="仿宋" w:hAnsi="仿宋" w:eastAsia="仿宋" w:cs="仿宋"/>
          <w:b w:val="0"/>
          <w:bCs w:val="0"/>
          <w:color w:val="0000FF"/>
          <w:sz w:val="24"/>
          <w:szCs w:val="24"/>
          <w:lang w:val="en-US" w:eastAsia="zh-CN"/>
        </w:rPr>
        <w:t>的</w:t>
      </w:r>
      <w:r>
        <w:rPr>
          <w:rFonts w:hint="eastAsia" w:ascii="仿宋" w:hAnsi="仿宋" w:eastAsia="仿宋" w:cs="仿宋"/>
          <w:b w:val="0"/>
          <w:bCs w:val="0"/>
          <w:color w:val="0000FF"/>
          <w:sz w:val="24"/>
          <w:szCs w:val="24"/>
        </w:rPr>
        <w:t>则由</w:t>
      </w:r>
      <w:r>
        <w:rPr>
          <w:rFonts w:hint="eastAsia" w:ascii="仿宋" w:hAnsi="仿宋" w:eastAsia="仿宋" w:cs="仿宋"/>
          <w:b w:val="0"/>
          <w:bCs w:val="0"/>
          <w:color w:val="0000FF"/>
          <w:sz w:val="24"/>
          <w:szCs w:val="24"/>
          <w:lang w:eastAsia="zh-CN"/>
        </w:rPr>
        <w:t>采购人</w:t>
      </w:r>
      <w:r>
        <w:rPr>
          <w:rFonts w:hint="eastAsia" w:ascii="仿宋" w:hAnsi="仿宋" w:eastAsia="仿宋" w:cs="仿宋"/>
          <w:b w:val="0"/>
          <w:bCs w:val="0"/>
          <w:color w:val="0000FF"/>
          <w:sz w:val="24"/>
          <w:szCs w:val="24"/>
        </w:rPr>
        <w:t>扣除</w:t>
      </w:r>
      <w:r>
        <w:rPr>
          <w:rFonts w:hint="eastAsia" w:ascii="仿宋" w:hAnsi="仿宋" w:eastAsia="仿宋" w:cs="仿宋"/>
          <w:b w:val="0"/>
          <w:bCs w:val="0"/>
          <w:color w:val="0000FF"/>
          <w:sz w:val="24"/>
          <w:szCs w:val="24"/>
          <w:lang w:val="en-US" w:eastAsia="zh-CN"/>
        </w:rPr>
        <w:t>全部</w:t>
      </w:r>
      <w:r>
        <w:rPr>
          <w:rFonts w:hint="eastAsia" w:ascii="仿宋" w:hAnsi="仿宋" w:eastAsia="仿宋" w:cs="仿宋"/>
          <w:b w:val="0"/>
          <w:bCs w:val="0"/>
          <w:color w:val="0000FF"/>
          <w:sz w:val="24"/>
          <w:szCs w:val="24"/>
        </w:rPr>
        <w:t>履约保证金并不予退还</w:t>
      </w:r>
      <w:r>
        <w:rPr>
          <w:rFonts w:hint="eastAsia" w:ascii="仿宋" w:hAnsi="仿宋" w:eastAsia="仿宋" w:cs="仿宋"/>
          <w:b w:val="0"/>
          <w:bCs w:val="0"/>
          <w:color w:val="0000FF"/>
          <w:sz w:val="24"/>
          <w:szCs w:val="24"/>
          <w:lang w:eastAsia="zh-CN"/>
        </w:rPr>
        <w:t>，采购人有权解除</w:t>
      </w:r>
      <w:r>
        <w:rPr>
          <w:rFonts w:hint="eastAsia" w:ascii="仿宋" w:hAnsi="仿宋" w:eastAsia="仿宋" w:cs="仿宋"/>
          <w:b w:val="0"/>
          <w:bCs w:val="0"/>
          <w:color w:val="0000FF"/>
          <w:sz w:val="24"/>
          <w:szCs w:val="24"/>
        </w:rPr>
        <w:t>合同</w:t>
      </w:r>
      <w:r>
        <w:rPr>
          <w:rFonts w:hint="eastAsia" w:ascii="仿宋" w:hAnsi="仿宋" w:eastAsia="仿宋" w:cs="仿宋"/>
          <w:b w:val="0"/>
          <w:bCs w:val="0"/>
          <w:color w:val="0000FF"/>
          <w:sz w:val="24"/>
          <w:szCs w:val="24"/>
          <w:lang w:eastAsia="zh-CN"/>
        </w:rPr>
        <w:t>并不予支付未付货款</w:t>
      </w:r>
      <w:r>
        <w:rPr>
          <w:rFonts w:hint="eastAsia" w:ascii="仿宋" w:hAnsi="仿宋" w:eastAsia="仿宋" w:cs="仿宋"/>
          <w:b w:val="0"/>
          <w:bCs w:val="0"/>
          <w:color w:val="0000FF"/>
          <w:sz w:val="24"/>
          <w:szCs w:val="24"/>
        </w:rPr>
        <w:t>，</w:t>
      </w:r>
      <w:r>
        <w:rPr>
          <w:rFonts w:hint="eastAsia" w:ascii="仿宋" w:hAnsi="仿宋" w:eastAsia="仿宋" w:cs="仿宋"/>
          <w:b w:val="0"/>
          <w:bCs w:val="0"/>
          <w:color w:val="0000FF"/>
          <w:sz w:val="24"/>
          <w:szCs w:val="24"/>
          <w:lang w:eastAsia="zh-CN"/>
        </w:rPr>
        <w:t>采购人有权</w:t>
      </w:r>
      <w:r>
        <w:rPr>
          <w:rFonts w:hint="eastAsia" w:ascii="仿宋" w:hAnsi="仿宋" w:eastAsia="仿宋" w:cs="仿宋"/>
          <w:b w:val="0"/>
          <w:bCs w:val="0"/>
          <w:color w:val="0000FF"/>
          <w:sz w:val="24"/>
          <w:szCs w:val="24"/>
        </w:rPr>
        <w:t>将</w:t>
      </w:r>
      <w:r>
        <w:rPr>
          <w:rFonts w:hint="eastAsia" w:ascii="仿宋" w:hAnsi="仿宋" w:eastAsia="仿宋" w:cs="仿宋"/>
          <w:b w:val="0"/>
          <w:bCs w:val="0"/>
          <w:color w:val="0000FF"/>
          <w:sz w:val="24"/>
          <w:szCs w:val="24"/>
          <w:lang w:eastAsia="zh-CN"/>
        </w:rPr>
        <w:t>中标人</w:t>
      </w:r>
      <w:r>
        <w:rPr>
          <w:rFonts w:hint="eastAsia" w:ascii="仿宋" w:hAnsi="仿宋" w:eastAsia="仿宋" w:cs="仿宋"/>
          <w:b w:val="0"/>
          <w:bCs w:val="0"/>
          <w:color w:val="0000FF"/>
          <w:sz w:val="24"/>
          <w:szCs w:val="24"/>
        </w:rPr>
        <w:t>履约情况</w:t>
      </w:r>
      <w:r>
        <w:rPr>
          <w:rFonts w:hint="eastAsia" w:ascii="仿宋" w:hAnsi="仿宋" w:eastAsia="仿宋" w:cs="仿宋"/>
          <w:b w:val="0"/>
          <w:bCs w:val="0"/>
          <w:color w:val="0000FF"/>
          <w:sz w:val="24"/>
          <w:szCs w:val="24"/>
          <w:lang w:eastAsia="zh-CN"/>
        </w:rPr>
        <w:t>报六安</w:t>
      </w:r>
      <w:r>
        <w:rPr>
          <w:rFonts w:hint="eastAsia" w:ascii="仿宋" w:hAnsi="仿宋" w:eastAsia="仿宋" w:cs="仿宋"/>
          <w:b w:val="0"/>
          <w:bCs w:val="0"/>
          <w:color w:val="0000FF"/>
          <w:sz w:val="24"/>
          <w:szCs w:val="24"/>
        </w:rPr>
        <w:t>市公共资源交易管理部门予以处罚。</w:t>
      </w:r>
    </w:p>
    <w:p w14:paraId="692F8AA3">
      <w:pPr>
        <w:pStyle w:val="6"/>
        <w:keepNext w:val="0"/>
        <w:keepLines w:val="0"/>
        <w:pageBreakBefore w:val="0"/>
        <w:widowControl w:val="0"/>
        <w:kinsoku/>
        <w:wordWrap/>
        <w:overflowPunct/>
        <w:topLinePunct w:val="0"/>
        <w:autoSpaceDE/>
        <w:autoSpaceDN/>
        <w:bidi w:val="0"/>
        <w:adjustRightInd/>
        <w:snapToGrid/>
        <w:spacing w:line="370" w:lineRule="exact"/>
        <w:textAlignment w:val="auto"/>
        <w:rPr>
          <w:rFonts w:hint="eastAsia" w:ascii="仿宋" w:hAnsi="仿宋" w:eastAsia="仿宋" w:cs="仿宋"/>
          <w:b w:val="0"/>
          <w:bCs w:val="0"/>
          <w:color w:val="0000FF"/>
          <w:sz w:val="24"/>
          <w:szCs w:val="24"/>
          <w:lang w:val="en-US" w:eastAsia="zh-CN"/>
        </w:rPr>
      </w:pPr>
      <w:r>
        <w:rPr>
          <w:rFonts w:hint="eastAsia" w:ascii="仿宋" w:hAnsi="仿宋" w:eastAsia="仿宋" w:cs="仿宋"/>
          <w:b w:val="0"/>
          <w:bCs w:val="0"/>
          <w:color w:val="0000FF"/>
          <w:sz w:val="24"/>
          <w:szCs w:val="24"/>
          <w:lang w:val="en-US" w:eastAsia="zh-CN"/>
        </w:rPr>
        <w:t>中标人第1次未按约定时间供货情形经采购人约谈，中标人在10个日历天内未进行整改（或整改未达到采购人要求）的，采购人有权暂停中标人配送资格并按本项目中标候选人顺序指定其他有配送能力企业予以配送，由此造成差价和措施费等一切损失由中标人承担并从履约保证金和货款中予以扣除。</w:t>
      </w:r>
    </w:p>
    <w:p w14:paraId="0DB90C45">
      <w:pPr>
        <w:pStyle w:val="6"/>
        <w:keepNext w:val="0"/>
        <w:keepLines w:val="0"/>
        <w:pageBreakBefore w:val="0"/>
        <w:widowControl w:val="0"/>
        <w:kinsoku/>
        <w:wordWrap/>
        <w:overflowPunct/>
        <w:topLinePunct w:val="0"/>
        <w:autoSpaceDE/>
        <w:autoSpaceDN/>
        <w:bidi w:val="0"/>
        <w:adjustRightInd/>
        <w:snapToGrid/>
        <w:spacing w:line="370" w:lineRule="exact"/>
        <w:textAlignment w:val="auto"/>
        <w:rPr>
          <w:rFonts w:hint="eastAsia" w:ascii="仿宋" w:hAnsi="仿宋" w:eastAsia="仿宋" w:cs="仿宋"/>
          <w:b w:val="0"/>
          <w:bCs w:val="0"/>
          <w:color w:val="0000FF"/>
          <w:sz w:val="24"/>
          <w:szCs w:val="24"/>
        </w:rPr>
      </w:pPr>
      <w:r>
        <w:rPr>
          <w:rFonts w:hint="eastAsia" w:ascii="仿宋" w:hAnsi="仿宋" w:eastAsia="仿宋" w:cs="仿宋"/>
          <w:b w:val="0"/>
          <w:bCs w:val="0"/>
          <w:color w:val="0000FF"/>
          <w:sz w:val="24"/>
          <w:szCs w:val="24"/>
          <w:lang w:val="en-US" w:eastAsia="zh-CN"/>
        </w:rPr>
        <w:t>中标人第2次未按约定时间供货情形经采购人约谈，中标人在10个日历天内未进行整改（或整改未达到采购人要求）的，采购人将解除合同并不予支付未付货款，同时不予退还全部履约保证金，并有权将中标人履约情况报六安市公共资源交易监督部门予以处罚。</w:t>
      </w:r>
    </w:p>
    <w:p w14:paraId="5A4F3C9C">
      <w:pPr>
        <w:pStyle w:val="6"/>
        <w:keepNext w:val="0"/>
        <w:keepLines w:val="0"/>
        <w:pageBreakBefore w:val="0"/>
        <w:widowControl w:val="0"/>
        <w:kinsoku/>
        <w:wordWrap/>
        <w:overflowPunct/>
        <w:topLinePunct w:val="0"/>
        <w:autoSpaceDE/>
        <w:autoSpaceDN/>
        <w:bidi w:val="0"/>
        <w:adjustRightInd/>
        <w:snapToGrid/>
        <w:spacing w:line="370" w:lineRule="exact"/>
        <w:textAlignment w:val="auto"/>
        <w:rPr>
          <w:rFonts w:hint="eastAsia" w:ascii="仿宋" w:hAnsi="仿宋" w:eastAsia="仿宋" w:cs="仿宋"/>
          <w:sz w:val="24"/>
          <w:szCs w:val="24"/>
        </w:rPr>
      </w:pPr>
      <w:r>
        <w:rPr>
          <w:rFonts w:hint="eastAsia" w:ascii="仿宋" w:hAnsi="仿宋" w:eastAsia="仿宋" w:cs="仿宋"/>
          <w:b w:val="0"/>
          <w:bCs w:val="0"/>
          <w:color w:val="0000FF"/>
          <w:sz w:val="24"/>
          <w:szCs w:val="24"/>
        </w:rPr>
        <w:t>其它违约情况参照执行上述处罚措施。</w:t>
      </w:r>
    </w:p>
    <w:p w14:paraId="41382421">
      <w:pPr>
        <w:spacing w:line="400" w:lineRule="exact"/>
        <w:ind w:firstLine="480" w:firstLineChars="200"/>
        <w:rPr>
          <w:rFonts w:hint="eastAsia" w:ascii="仿宋" w:hAnsi="仿宋" w:eastAsia="仿宋" w:cs="仿宋"/>
          <w:sz w:val="24"/>
          <w:szCs w:val="24"/>
        </w:rPr>
      </w:pPr>
      <w:r>
        <w:rPr>
          <w:rFonts w:hint="eastAsia" w:ascii="仿宋" w:hAnsi="仿宋" w:eastAsia="仿宋" w:cs="仿宋"/>
          <w:b w:val="0"/>
          <w:bCs w:val="0"/>
          <w:color w:val="auto"/>
          <w:sz w:val="24"/>
          <w:szCs w:val="24"/>
          <w:lang w:val="en-US" w:eastAsia="zh-CN"/>
        </w:rPr>
        <w:t>11.</w:t>
      </w:r>
      <w:r>
        <w:rPr>
          <w:rFonts w:hint="eastAsia" w:ascii="仿宋" w:hAnsi="仿宋" w:eastAsia="仿宋" w:cs="仿宋"/>
          <w:b w:val="0"/>
          <w:bCs w:val="0"/>
          <w:color w:val="auto"/>
          <w:sz w:val="24"/>
          <w:szCs w:val="24"/>
        </w:rPr>
        <w:t>中标候选人凭履约保证金打款回执签订合同。</w:t>
      </w:r>
    </w:p>
    <w:p w14:paraId="6E148728">
      <w:pPr>
        <w:pStyle w:val="3"/>
        <w:spacing w:line="360" w:lineRule="auto"/>
        <w:ind w:firstLine="480" w:firstLineChars="200"/>
        <w:rPr>
          <w:rFonts w:hint="eastAsia" w:ascii="仿宋" w:hAnsi="仿宋" w:eastAsia="仿宋" w:cs="仿宋"/>
          <w:strike/>
          <w:dstrike w:val="0"/>
          <w:color w:val="0000FF"/>
          <w:sz w:val="24"/>
          <w:szCs w:val="24"/>
          <w:highlight w:val="none"/>
          <w:lang w:val="en-US" w:eastAsia="zh-CN"/>
        </w:rPr>
      </w:pPr>
      <w:r>
        <w:rPr>
          <w:rFonts w:hint="eastAsia" w:ascii="仿宋" w:hAnsi="仿宋" w:eastAsia="仿宋" w:cs="仿宋"/>
          <w:sz w:val="24"/>
          <w:szCs w:val="24"/>
          <w:highlight w:val="none"/>
          <w:lang w:val="en-US" w:eastAsia="zh-CN"/>
        </w:rPr>
        <w:t>12.</w:t>
      </w:r>
      <w:r>
        <w:rPr>
          <w:rFonts w:hint="eastAsia" w:ascii="仿宋" w:hAnsi="仿宋" w:eastAsia="仿宋" w:cs="仿宋"/>
          <w:color w:val="auto"/>
          <w:sz w:val="24"/>
          <w:szCs w:val="24"/>
          <w:highlight w:val="none"/>
          <w:lang w:val="en-US" w:eastAsia="zh-CN"/>
        </w:rPr>
        <w:t>采购周期内如遇国家省市相关部门政策调整，以调整后的政策为准。采购周期内一切产品如遇国家、省、市带量采购的，均执行国家、省、市带量采购，采购期自动终止。</w:t>
      </w:r>
    </w:p>
    <w:p w14:paraId="1234F0A4">
      <w:pPr>
        <w:spacing w:line="400" w:lineRule="exact"/>
        <w:ind w:firstLine="480" w:firstLineChars="200"/>
        <w:rPr>
          <w:rFonts w:hint="eastAsia" w:ascii="仿宋" w:hAnsi="仿宋" w:eastAsia="仿宋" w:cs="仿宋"/>
          <w:color w:val="4874CB" w:themeColor="accent1"/>
          <w:sz w:val="24"/>
          <w:szCs w:val="24"/>
          <w:lang w:val="en-US" w:eastAsia="zh-CN"/>
          <w14:textFill>
            <w14:solidFill>
              <w14:schemeClr w14:val="accent1"/>
            </w14:solidFill>
          </w14:textFill>
        </w:rPr>
      </w:pPr>
    </w:p>
    <w:p w14:paraId="1F1341A0">
      <w:pPr>
        <w:spacing w:line="400" w:lineRule="exact"/>
        <w:ind w:firstLine="480" w:firstLineChars="200"/>
        <w:rPr>
          <w:rFonts w:hint="default" w:ascii="仿宋" w:hAnsi="仿宋" w:eastAsia="仿宋" w:cs="仿宋"/>
          <w:color w:val="4874CB" w:themeColor="accent1"/>
          <w:sz w:val="24"/>
          <w:szCs w:val="24"/>
          <w:lang w:val="en-US" w:eastAsia="zh-CN"/>
          <w14:textFill>
            <w14:solidFill>
              <w14:schemeClr w14:val="accent1"/>
            </w14:solidFill>
          </w14:textFill>
        </w:rPr>
      </w:pPr>
      <w:r>
        <w:rPr>
          <w:rFonts w:hint="eastAsia" w:ascii="仿宋" w:hAnsi="仿宋" w:eastAsia="仿宋" w:cs="仿宋"/>
          <w:color w:val="4874CB" w:themeColor="accent1"/>
          <w:sz w:val="24"/>
          <w:szCs w:val="24"/>
          <w:lang w:val="en-US" w:eastAsia="zh-CN"/>
          <w14:textFill>
            <w14:solidFill>
              <w14:schemeClr w14:val="accent1"/>
            </w14:solidFill>
          </w14:textFill>
        </w:rPr>
        <w:t>注：产品需求表中部分产品无价格，请在征求意见表中提供真实指导价或销售价供采购人参考；如表单中有已经带量的耗材，请指出。</w:t>
      </w:r>
    </w:p>
    <w:p w14:paraId="5B4C0745">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br w:type="page"/>
      </w:r>
      <w:bookmarkStart w:id="1" w:name="_GoBack"/>
      <w:bookmarkEnd w:id="1"/>
    </w:p>
    <w:p w14:paraId="05FDE4D6">
      <w:pPr>
        <w:pStyle w:val="2"/>
        <w:ind w:left="0" w:leftChars="0" w:firstLine="0" w:firstLineChars="0"/>
        <w:jc w:val="center"/>
        <w:rPr>
          <w:rFonts w:hint="eastAsia" w:ascii="仿宋" w:hAnsi="仿宋" w:eastAsia="仿宋" w:cs="仿宋"/>
          <w:b/>
          <w:color w:val="auto"/>
          <w:kern w:val="2"/>
          <w:sz w:val="21"/>
          <w:szCs w:val="21"/>
          <w:highlight w:val="none"/>
          <w:lang w:val="en-US" w:eastAsia="zh-CN" w:bidi="ar-SA"/>
        </w:rPr>
      </w:pPr>
      <w:r>
        <w:rPr>
          <w:rFonts w:hint="eastAsia" w:ascii="仿宋" w:hAnsi="仿宋" w:eastAsia="仿宋" w:cs="仿宋"/>
          <w:b/>
          <w:color w:val="auto"/>
          <w:kern w:val="2"/>
          <w:sz w:val="21"/>
          <w:szCs w:val="21"/>
          <w:highlight w:val="none"/>
          <w:lang w:val="en-US" w:eastAsia="zh-CN" w:bidi="ar-SA"/>
        </w:rPr>
        <w:t>评分办法</w:t>
      </w:r>
    </w:p>
    <w:tbl>
      <w:tblPr>
        <w:tblStyle w:val="8"/>
        <w:tblW w:w="9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470"/>
        <w:gridCol w:w="1754"/>
        <w:gridCol w:w="4394"/>
        <w:gridCol w:w="1770"/>
      </w:tblGrid>
      <w:tr w14:paraId="33CC8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52" w:hRule="atLeast"/>
          <w:jc w:val="center"/>
        </w:trPr>
        <w:tc>
          <w:tcPr>
            <w:tcW w:w="1470" w:type="dxa"/>
            <w:tcBorders>
              <w:top w:val="single" w:color="auto" w:sz="4" w:space="0"/>
              <w:left w:val="single" w:color="auto" w:sz="4" w:space="0"/>
              <w:bottom w:val="single" w:color="auto" w:sz="4" w:space="0"/>
              <w:right w:val="single" w:color="auto" w:sz="4" w:space="0"/>
            </w:tcBorders>
            <w:noWrap w:val="0"/>
            <w:vAlign w:val="center"/>
          </w:tcPr>
          <w:p w14:paraId="500E87AF">
            <w:pPr>
              <w:spacing w:line="400" w:lineRule="exact"/>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类别</w:t>
            </w:r>
          </w:p>
        </w:tc>
        <w:tc>
          <w:tcPr>
            <w:tcW w:w="1754" w:type="dxa"/>
            <w:tcBorders>
              <w:top w:val="single" w:color="auto" w:sz="4" w:space="0"/>
              <w:left w:val="single" w:color="auto" w:sz="4" w:space="0"/>
              <w:bottom w:val="single" w:color="auto" w:sz="4" w:space="0"/>
              <w:right w:val="single" w:color="auto" w:sz="4" w:space="0"/>
            </w:tcBorders>
            <w:noWrap w:val="0"/>
            <w:vAlign w:val="center"/>
          </w:tcPr>
          <w:p w14:paraId="5A947485">
            <w:pPr>
              <w:spacing w:line="400" w:lineRule="exact"/>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评分内容</w:t>
            </w:r>
          </w:p>
        </w:tc>
        <w:tc>
          <w:tcPr>
            <w:tcW w:w="4394" w:type="dxa"/>
            <w:tcBorders>
              <w:top w:val="single" w:color="auto" w:sz="4" w:space="0"/>
              <w:left w:val="single" w:color="auto" w:sz="4" w:space="0"/>
              <w:bottom w:val="single" w:color="auto" w:sz="4" w:space="0"/>
              <w:right w:val="single" w:color="auto" w:sz="4" w:space="0"/>
            </w:tcBorders>
            <w:noWrap w:val="0"/>
            <w:vAlign w:val="center"/>
          </w:tcPr>
          <w:p w14:paraId="488FB8A8">
            <w:pPr>
              <w:spacing w:line="400" w:lineRule="exact"/>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评分标准</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79C2C22">
            <w:pPr>
              <w:spacing w:line="400" w:lineRule="exact"/>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分值范围</w:t>
            </w:r>
          </w:p>
        </w:tc>
      </w:tr>
      <w:tr w14:paraId="66CE7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1470" w:type="dxa"/>
            <w:vMerge w:val="restart"/>
            <w:tcBorders>
              <w:top w:val="single" w:color="auto" w:sz="4" w:space="0"/>
              <w:left w:val="single" w:color="auto" w:sz="4" w:space="0"/>
              <w:right w:val="single" w:color="auto" w:sz="4" w:space="0"/>
            </w:tcBorders>
            <w:noWrap w:val="0"/>
            <w:vAlign w:val="center"/>
          </w:tcPr>
          <w:p w14:paraId="0C6712C9">
            <w:pPr>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技术标分</w:t>
            </w:r>
          </w:p>
          <w:p w14:paraId="74A8BC3A">
            <w:pPr>
              <w:spacing w:line="400" w:lineRule="exact"/>
              <w:jc w:val="center"/>
              <w:rPr>
                <w:rFonts w:hint="eastAsia" w:ascii="仿宋" w:hAnsi="仿宋" w:eastAsia="仿宋" w:cs="仿宋"/>
                <w:b/>
                <w:bCs/>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分）</w:t>
            </w:r>
          </w:p>
        </w:tc>
        <w:tc>
          <w:tcPr>
            <w:tcW w:w="1754" w:type="dxa"/>
            <w:tcBorders>
              <w:top w:val="single" w:color="auto" w:sz="4" w:space="0"/>
              <w:left w:val="single" w:color="auto" w:sz="4" w:space="0"/>
              <w:bottom w:val="single" w:color="auto" w:sz="4" w:space="0"/>
              <w:right w:val="single" w:color="auto" w:sz="4" w:space="0"/>
            </w:tcBorders>
            <w:noWrap w:val="0"/>
            <w:vAlign w:val="center"/>
          </w:tcPr>
          <w:p w14:paraId="29511C78">
            <w:pPr>
              <w:spacing w:line="400" w:lineRule="exact"/>
              <w:jc w:val="center"/>
              <w:rPr>
                <w:rFonts w:hint="eastAsia" w:ascii="仿宋" w:hAnsi="仿宋" w:eastAsia="仿宋" w:cs="仿宋"/>
                <w:b/>
                <w:bCs/>
                <w:sz w:val="21"/>
                <w:szCs w:val="21"/>
                <w:highlight w:val="none"/>
              </w:rPr>
            </w:pPr>
            <w:r>
              <w:rPr>
                <w:rFonts w:hint="eastAsia" w:ascii="仿宋" w:hAnsi="仿宋" w:eastAsia="仿宋" w:cs="仿宋"/>
                <w:b w:val="0"/>
                <w:bCs w:val="0"/>
                <w:sz w:val="21"/>
                <w:szCs w:val="21"/>
                <w:highlight w:val="none"/>
              </w:rPr>
              <w:t>体系认证</w:t>
            </w:r>
          </w:p>
        </w:tc>
        <w:tc>
          <w:tcPr>
            <w:tcW w:w="4394" w:type="dxa"/>
            <w:tcBorders>
              <w:top w:val="single" w:color="auto" w:sz="4" w:space="0"/>
              <w:left w:val="single" w:color="auto" w:sz="4" w:space="0"/>
              <w:bottom w:val="single" w:color="auto" w:sz="4" w:space="0"/>
              <w:right w:val="single" w:color="auto" w:sz="4" w:space="0"/>
            </w:tcBorders>
            <w:noWrap w:val="0"/>
            <w:vAlign w:val="center"/>
          </w:tcPr>
          <w:p w14:paraId="354D2D23">
            <w:pPr>
              <w:shd w:val="clear" w:color="auto" w:fill="auto"/>
              <w:adjustRightInd/>
              <w:snapToGrid/>
              <w:spacing w:line="400" w:lineRule="exact"/>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val="en-US" w:eastAsia="zh-CN"/>
              </w:rPr>
              <w:t>投标人</w:t>
            </w:r>
            <w:r>
              <w:rPr>
                <w:rFonts w:hint="eastAsia" w:ascii="仿宋" w:hAnsi="仿宋" w:eastAsia="仿宋" w:cs="仿宋"/>
                <w:color w:val="000000"/>
                <w:sz w:val="21"/>
                <w:szCs w:val="21"/>
                <w:highlight w:val="none"/>
              </w:rPr>
              <w:t>具有经中国国家认证认可监督管理委员会认证机构颁发的在有效期内的下列证书：</w:t>
            </w:r>
          </w:p>
          <w:p w14:paraId="0E7946DA">
            <w:pPr>
              <w:numPr>
                <w:ilvl w:val="0"/>
                <w:numId w:val="0"/>
              </w:numPr>
              <w:shd w:val="clear" w:color="auto" w:fill="auto"/>
              <w:adjustRightInd/>
              <w:snapToGrid/>
              <w:spacing w:line="400" w:lineRule="exact"/>
              <w:rPr>
                <w:rFonts w:hint="eastAsia" w:ascii="仿宋" w:hAnsi="仿宋" w:eastAsia="仿宋" w:cs="仿宋"/>
                <w:color w:val="000000"/>
                <w:sz w:val="21"/>
                <w:szCs w:val="21"/>
                <w:highlight w:val="none"/>
                <w:lang w:eastAsia="zh-CN"/>
              </w:rPr>
            </w:pPr>
            <w:r>
              <w:rPr>
                <w:rFonts w:hint="eastAsia" w:ascii="仿宋" w:hAnsi="仿宋" w:eastAsia="仿宋" w:cs="仿宋"/>
                <w:color w:val="000000"/>
                <w:kern w:val="2"/>
                <w:sz w:val="21"/>
                <w:szCs w:val="21"/>
                <w:highlight w:val="none"/>
                <w:lang w:val="en-US" w:eastAsia="zh-CN" w:bidi="ar-SA"/>
              </w:rPr>
              <w:t>1、</w:t>
            </w:r>
            <w:r>
              <w:rPr>
                <w:rFonts w:hint="eastAsia" w:ascii="仿宋" w:hAnsi="仿宋" w:eastAsia="仿宋" w:cs="仿宋"/>
                <w:color w:val="000000"/>
                <w:sz w:val="21"/>
                <w:szCs w:val="21"/>
                <w:highlight w:val="none"/>
              </w:rPr>
              <w:t>质量管理体系认证证书；</w:t>
            </w:r>
          </w:p>
          <w:p w14:paraId="54A7356B">
            <w:pPr>
              <w:numPr>
                <w:ilvl w:val="0"/>
                <w:numId w:val="0"/>
              </w:numPr>
              <w:shd w:val="clear" w:color="auto" w:fill="auto"/>
              <w:adjustRightInd/>
              <w:snapToGrid/>
              <w:spacing w:line="400" w:lineRule="exact"/>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rPr>
              <w:t>2、环境管理体系认证证书；</w:t>
            </w:r>
          </w:p>
          <w:p w14:paraId="3FC8BCF9">
            <w:pPr>
              <w:numPr>
                <w:ilvl w:val="0"/>
                <w:numId w:val="0"/>
              </w:numPr>
              <w:shd w:val="clear" w:color="auto" w:fill="auto"/>
              <w:adjustRightInd/>
              <w:snapToGrid/>
              <w:spacing w:line="400" w:lineRule="exact"/>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rPr>
              <w:t>3、职业健康安全管理体系认证证书。</w:t>
            </w:r>
          </w:p>
          <w:p w14:paraId="77E90DC9">
            <w:pPr>
              <w:numPr>
                <w:ilvl w:val="0"/>
                <w:numId w:val="0"/>
              </w:numPr>
              <w:shd w:val="clear" w:color="auto" w:fill="auto"/>
              <w:adjustRightInd/>
              <w:snapToGrid/>
              <w:spacing w:line="400" w:lineRule="exact"/>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rPr>
              <w:t>每提供一项得</w:t>
            </w:r>
            <w:r>
              <w:rPr>
                <w:rFonts w:hint="eastAsia" w:ascii="仿宋" w:hAnsi="仿宋" w:eastAsia="仿宋" w:cs="仿宋"/>
                <w:color w:val="000000"/>
                <w:sz w:val="21"/>
                <w:szCs w:val="21"/>
                <w:highlight w:val="none"/>
                <w:lang w:val="en-US" w:eastAsia="zh-CN"/>
              </w:rPr>
              <w:t xml:space="preserve">  </w:t>
            </w:r>
            <w:r>
              <w:rPr>
                <w:rFonts w:hint="eastAsia" w:ascii="仿宋" w:hAnsi="仿宋" w:eastAsia="仿宋" w:cs="仿宋"/>
                <w:color w:val="000000"/>
                <w:sz w:val="21"/>
                <w:szCs w:val="21"/>
                <w:highlight w:val="none"/>
              </w:rPr>
              <w:t>分，</w:t>
            </w:r>
            <w:r>
              <w:rPr>
                <w:rFonts w:hint="eastAsia" w:ascii="仿宋" w:hAnsi="仿宋" w:eastAsia="仿宋" w:cs="仿宋"/>
                <w:sz w:val="21"/>
                <w:szCs w:val="21"/>
                <w:highlight w:val="none"/>
              </w:rPr>
              <w:t>满分</w:t>
            </w:r>
            <w:r>
              <w:rPr>
                <w:rFonts w:hint="eastAsia" w:ascii="仿宋" w:hAnsi="仿宋" w:eastAsia="仿宋" w:cs="仿宋"/>
                <w:color w:val="000000"/>
                <w:sz w:val="21"/>
                <w:szCs w:val="21"/>
                <w:highlight w:val="none"/>
                <w:lang w:val="en-US" w:eastAsia="zh-CN"/>
              </w:rPr>
              <w:t xml:space="preserve">  </w:t>
            </w:r>
            <w:r>
              <w:rPr>
                <w:rFonts w:hint="eastAsia" w:ascii="仿宋" w:hAnsi="仿宋" w:eastAsia="仿宋" w:cs="仿宋"/>
                <w:color w:val="000000"/>
                <w:sz w:val="21"/>
                <w:szCs w:val="21"/>
                <w:highlight w:val="none"/>
              </w:rPr>
              <w:t>分。</w:t>
            </w:r>
          </w:p>
          <w:p w14:paraId="4D9B75B4">
            <w:pPr>
              <w:spacing w:line="400" w:lineRule="exact"/>
              <w:rPr>
                <w:rFonts w:hint="eastAsia" w:ascii="仿宋" w:hAnsi="仿宋" w:eastAsia="仿宋" w:cs="仿宋"/>
                <w:sz w:val="21"/>
                <w:szCs w:val="21"/>
                <w:highlight w:val="none"/>
                <w:lang w:val="en-US" w:eastAsia="zh-CN"/>
              </w:rPr>
            </w:pPr>
            <w:r>
              <w:rPr>
                <w:rFonts w:hint="eastAsia" w:ascii="仿宋" w:hAnsi="仿宋" w:eastAsia="仿宋" w:cs="仿宋"/>
                <w:b w:val="0"/>
                <w:bCs w:val="0"/>
                <w:color w:val="000000"/>
                <w:sz w:val="21"/>
                <w:szCs w:val="21"/>
                <w:highlight w:val="none"/>
              </w:rPr>
              <w:t>注：</w:t>
            </w:r>
            <w:r>
              <w:rPr>
                <w:rFonts w:hint="eastAsia" w:ascii="仿宋" w:hAnsi="仿宋" w:eastAsia="仿宋" w:cs="仿宋"/>
                <w:b w:val="0"/>
                <w:bCs w:val="0"/>
                <w:color w:val="000000"/>
                <w:sz w:val="21"/>
                <w:szCs w:val="21"/>
                <w:highlight w:val="none"/>
                <w:lang w:val="en-US" w:eastAsia="zh-CN"/>
              </w:rPr>
              <w:t>投标</w:t>
            </w:r>
            <w:r>
              <w:rPr>
                <w:rFonts w:hint="eastAsia" w:ascii="仿宋" w:hAnsi="仿宋" w:eastAsia="仿宋" w:cs="仿宋"/>
                <w:b w:val="0"/>
                <w:bCs w:val="0"/>
                <w:color w:val="000000"/>
                <w:sz w:val="21"/>
                <w:szCs w:val="21"/>
                <w:highlight w:val="none"/>
              </w:rPr>
              <w:t>文件中提供上述证书的复印件</w:t>
            </w:r>
            <w:r>
              <w:rPr>
                <w:rFonts w:hint="eastAsia" w:ascii="仿宋" w:hAnsi="仿宋" w:eastAsia="仿宋" w:cs="仿宋"/>
                <w:b w:val="0"/>
                <w:bCs w:val="0"/>
                <w:color w:val="000000"/>
                <w:sz w:val="21"/>
                <w:szCs w:val="21"/>
                <w:highlight w:val="none"/>
                <w:lang w:eastAsia="zh-CN"/>
              </w:rPr>
              <w:t>及</w:t>
            </w:r>
            <w:r>
              <w:rPr>
                <w:rFonts w:hint="eastAsia" w:ascii="仿宋" w:hAnsi="仿宋" w:eastAsia="仿宋" w:cs="仿宋"/>
                <w:b w:val="0"/>
                <w:bCs w:val="0"/>
                <w:i w:val="0"/>
                <w:iCs w:val="0"/>
                <w:caps w:val="0"/>
                <w:color w:val="000000"/>
                <w:spacing w:val="0"/>
                <w:sz w:val="21"/>
                <w:szCs w:val="21"/>
                <w:highlight w:val="none"/>
                <w:shd w:val="clear" w:color="auto" w:fill="auto"/>
              </w:rPr>
              <w:t>全国认证认可信息公共服务平台网站证书信息查询截图</w:t>
            </w:r>
            <w:r>
              <w:rPr>
                <w:rFonts w:hint="eastAsia" w:ascii="仿宋" w:hAnsi="仿宋" w:eastAsia="仿宋" w:cs="仿宋"/>
                <w:b w:val="0"/>
                <w:bCs w:val="0"/>
                <w:color w:val="000000"/>
                <w:sz w:val="21"/>
                <w:szCs w:val="21"/>
                <w:highlight w:val="none"/>
              </w:rPr>
              <w:t>，未提供</w:t>
            </w:r>
            <w:r>
              <w:rPr>
                <w:rFonts w:hint="eastAsia" w:ascii="仿宋" w:hAnsi="仿宋" w:eastAsia="仿宋" w:cs="仿宋"/>
                <w:b w:val="0"/>
                <w:bCs w:val="0"/>
                <w:color w:val="000000"/>
                <w:sz w:val="21"/>
                <w:szCs w:val="21"/>
                <w:highlight w:val="none"/>
                <w:lang w:eastAsia="zh-CN"/>
              </w:rPr>
              <w:t>的</w:t>
            </w:r>
            <w:r>
              <w:rPr>
                <w:rFonts w:hint="eastAsia" w:ascii="仿宋" w:hAnsi="仿宋" w:eastAsia="仿宋" w:cs="仿宋"/>
                <w:b w:val="0"/>
                <w:bCs w:val="0"/>
                <w:color w:val="000000"/>
                <w:sz w:val="21"/>
                <w:szCs w:val="21"/>
                <w:highlight w:val="none"/>
              </w:rPr>
              <w:t>不得分。</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161DE1B">
            <w:pPr>
              <w:spacing w:line="400" w:lineRule="exact"/>
              <w:jc w:val="center"/>
              <w:rPr>
                <w:rFonts w:hint="eastAsia" w:ascii="仿宋" w:hAnsi="仿宋" w:eastAsia="仿宋" w:cs="仿宋"/>
                <w:b/>
                <w:bCs/>
                <w:sz w:val="21"/>
                <w:szCs w:val="21"/>
                <w:highlight w:val="none"/>
                <w:lang w:val="en-US" w:eastAsia="zh-CN"/>
              </w:rPr>
            </w:pPr>
          </w:p>
        </w:tc>
      </w:tr>
      <w:tr w14:paraId="53A58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1470" w:type="dxa"/>
            <w:vMerge w:val="continue"/>
            <w:tcBorders>
              <w:left w:val="single" w:color="auto" w:sz="4" w:space="0"/>
              <w:right w:val="single" w:color="auto" w:sz="4" w:space="0"/>
            </w:tcBorders>
            <w:noWrap w:val="0"/>
            <w:vAlign w:val="center"/>
          </w:tcPr>
          <w:p w14:paraId="43F1740D">
            <w:pPr>
              <w:spacing w:line="400" w:lineRule="exact"/>
              <w:jc w:val="center"/>
              <w:rPr>
                <w:rFonts w:hint="eastAsia" w:ascii="仿宋" w:hAnsi="仿宋" w:eastAsia="仿宋" w:cs="仿宋"/>
                <w:b/>
                <w:bCs/>
                <w:sz w:val="21"/>
                <w:szCs w:val="21"/>
                <w:highlight w:val="none"/>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14:paraId="5EE7A95E">
            <w:pPr>
              <w:widowControl/>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企业业绩</w:t>
            </w:r>
          </w:p>
        </w:tc>
        <w:tc>
          <w:tcPr>
            <w:tcW w:w="4394" w:type="dxa"/>
            <w:tcBorders>
              <w:top w:val="single" w:color="auto" w:sz="4" w:space="0"/>
              <w:left w:val="single" w:color="auto" w:sz="4" w:space="0"/>
              <w:bottom w:val="single" w:color="auto" w:sz="4" w:space="0"/>
              <w:right w:val="single" w:color="auto" w:sz="4" w:space="0"/>
            </w:tcBorders>
            <w:noWrap w:val="0"/>
            <w:vAlign w:val="center"/>
          </w:tcPr>
          <w:p w14:paraId="544678EC">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投标人</w:t>
            </w:r>
            <w:r>
              <w:rPr>
                <w:rFonts w:ascii="仿宋" w:hAnsi="仿宋" w:eastAsia="仿宋" w:cs="仿宋"/>
                <w:b/>
                <w:bCs/>
                <w:i w:val="0"/>
                <w:iCs w:val="0"/>
                <w:caps w:val="0"/>
                <w:color w:val="0000FF"/>
                <w:spacing w:val="0"/>
                <w:sz w:val="21"/>
                <w:szCs w:val="21"/>
                <w:shd w:val="clear" w:fill="FFFFFF"/>
              </w:rPr>
              <w:t>或所投产品的生产厂家</w:t>
            </w:r>
            <w:r>
              <w:rPr>
                <w:rFonts w:hint="eastAsia" w:ascii="仿宋" w:hAnsi="仿宋" w:eastAsia="仿宋" w:cs="仿宋"/>
                <w:sz w:val="21"/>
                <w:szCs w:val="21"/>
                <w:highlight w:val="none"/>
              </w:rPr>
              <w:t>具有</w:t>
            </w:r>
            <w:r>
              <w:rPr>
                <w:rFonts w:hint="eastAsia" w:ascii="仿宋" w:hAnsi="仿宋" w:eastAsia="仿宋" w:cs="仿宋"/>
                <w:sz w:val="21"/>
                <w:szCs w:val="21"/>
                <w:highlight w:val="none"/>
                <w:lang w:eastAsia="zh-CN"/>
              </w:rPr>
              <w:t>类似医用耗材</w:t>
            </w:r>
            <w:r>
              <w:rPr>
                <w:rFonts w:hint="eastAsia" w:ascii="仿宋" w:hAnsi="仿宋" w:eastAsia="仿宋" w:cs="仿宋"/>
                <w:sz w:val="21"/>
                <w:szCs w:val="21"/>
                <w:highlight w:val="none"/>
              </w:rPr>
              <w:t>配送</w:t>
            </w:r>
            <w:r>
              <w:rPr>
                <w:rFonts w:hint="eastAsia" w:ascii="仿宋" w:hAnsi="仿宋" w:eastAsia="仿宋" w:cs="仿宋"/>
                <w:sz w:val="21"/>
                <w:szCs w:val="21"/>
                <w:highlight w:val="none"/>
                <w:lang w:val="en-US" w:eastAsia="zh-CN"/>
              </w:rPr>
              <w:t>服务</w:t>
            </w:r>
            <w:r>
              <w:rPr>
                <w:rFonts w:hint="eastAsia" w:ascii="仿宋" w:hAnsi="仿宋" w:eastAsia="仿宋" w:cs="仿宋"/>
                <w:sz w:val="21"/>
                <w:szCs w:val="21"/>
                <w:highlight w:val="none"/>
              </w:rPr>
              <w:t>业绩的，每提供一个得</w:t>
            </w:r>
            <w:r>
              <w:rPr>
                <w:rFonts w:hint="eastAsia" w:ascii="仿宋" w:hAnsi="仿宋" w:eastAsia="仿宋" w:cs="仿宋"/>
                <w:sz w:val="21"/>
                <w:szCs w:val="21"/>
                <w:highlight w:val="none"/>
                <w:lang w:val="en-US" w:eastAsia="zh-CN"/>
              </w:rPr>
              <w:t xml:space="preserve">  </w:t>
            </w:r>
            <w:r>
              <w:rPr>
                <w:rFonts w:hint="eastAsia" w:ascii="仿宋" w:hAnsi="仿宋" w:eastAsia="仿宋" w:cs="仿宋"/>
                <w:sz w:val="21"/>
                <w:szCs w:val="21"/>
                <w:highlight w:val="none"/>
              </w:rPr>
              <w:t>分，满分</w:t>
            </w:r>
            <w:r>
              <w:rPr>
                <w:rFonts w:hint="eastAsia" w:ascii="仿宋" w:hAnsi="仿宋" w:eastAsia="仿宋" w:cs="仿宋"/>
                <w:sz w:val="21"/>
                <w:szCs w:val="21"/>
                <w:highlight w:val="none"/>
                <w:lang w:val="en-US" w:eastAsia="zh-CN"/>
              </w:rPr>
              <w:t xml:space="preserve"> </w:t>
            </w:r>
            <w:r>
              <w:rPr>
                <w:rFonts w:hint="eastAsia" w:ascii="仿宋" w:hAnsi="仿宋" w:eastAsia="仿宋" w:cs="仿宋"/>
                <w:sz w:val="21"/>
                <w:szCs w:val="21"/>
                <w:highlight w:val="none"/>
              </w:rPr>
              <w:t>分。</w:t>
            </w:r>
          </w:p>
          <w:p w14:paraId="541B240B">
            <w:pPr>
              <w:widowControl/>
              <w:spacing w:line="400" w:lineRule="exact"/>
              <w:rPr>
                <w:rFonts w:hint="eastAsia" w:ascii="仿宋" w:hAnsi="仿宋" w:eastAsia="仿宋" w:cs="仿宋"/>
                <w:sz w:val="21"/>
                <w:szCs w:val="21"/>
                <w:highlight w:val="none"/>
                <w:lang w:eastAsia="zh-CN"/>
              </w:rPr>
            </w:pPr>
            <w:r>
              <w:rPr>
                <w:rFonts w:hint="eastAsia" w:ascii="仿宋" w:hAnsi="仿宋" w:eastAsia="仿宋" w:cs="仿宋"/>
                <w:b/>
                <w:bCs/>
                <w:sz w:val="21"/>
                <w:szCs w:val="21"/>
                <w:highlight w:val="none"/>
              </w:rPr>
              <w:t>注</w:t>
            </w: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lang w:val="en-US" w:eastAsia="zh-CN"/>
              </w:rPr>
              <w:t>1、</w:t>
            </w:r>
            <w:r>
              <w:rPr>
                <w:rFonts w:hint="eastAsia" w:ascii="仿宋" w:hAnsi="仿宋" w:eastAsia="仿宋" w:cs="仿宋"/>
                <w:b/>
                <w:bCs/>
                <w:sz w:val="21"/>
                <w:szCs w:val="21"/>
                <w:highlight w:val="none"/>
              </w:rPr>
              <w:t>投标文件中提供</w:t>
            </w:r>
            <w:r>
              <w:rPr>
                <w:rFonts w:hint="eastAsia" w:ascii="仿宋" w:hAnsi="仿宋" w:eastAsia="仿宋" w:cs="仿宋"/>
                <w:b/>
                <w:bCs/>
                <w:sz w:val="21"/>
                <w:szCs w:val="21"/>
                <w:highlight w:val="none"/>
                <w:lang w:val="en-US" w:eastAsia="zh-CN"/>
              </w:rPr>
              <w:t>合同及</w:t>
            </w:r>
            <w:r>
              <w:rPr>
                <w:rFonts w:hint="eastAsia" w:ascii="仿宋" w:hAnsi="仿宋" w:eastAsia="仿宋" w:cs="仿宋"/>
                <w:b/>
                <w:bCs/>
                <w:sz w:val="21"/>
                <w:szCs w:val="21"/>
                <w:highlight w:val="none"/>
                <w:lang w:eastAsia="zh-CN"/>
              </w:rPr>
              <w:t>配送清单</w:t>
            </w:r>
            <w:r>
              <w:rPr>
                <w:rFonts w:hint="eastAsia" w:ascii="仿宋" w:hAnsi="仿宋" w:eastAsia="仿宋" w:cs="仿宋"/>
                <w:b/>
                <w:bCs/>
                <w:color w:val="auto"/>
                <w:sz w:val="21"/>
                <w:szCs w:val="21"/>
                <w:highlight w:val="none"/>
              </w:rPr>
              <w:t>复印件</w:t>
            </w:r>
            <w:r>
              <w:rPr>
                <w:rFonts w:hint="eastAsia" w:ascii="仿宋" w:hAnsi="仿宋" w:eastAsia="仿宋" w:cs="仿宋"/>
                <w:b/>
                <w:bCs/>
                <w:sz w:val="21"/>
                <w:szCs w:val="21"/>
                <w:highlight w:val="none"/>
                <w:lang w:eastAsia="zh-CN"/>
              </w:rPr>
              <w:t>；</w:t>
            </w:r>
          </w:p>
          <w:p w14:paraId="5A44525A">
            <w:pPr>
              <w:pStyle w:val="2"/>
              <w:ind w:firstLine="0" w:firstLineChars="0"/>
              <w:rPr>
                <w:rFonts w:hint="eastAsia" w:ascii="仿宋" w:hAnsi="仿宋" w:eastAsia="仿宋" w:cs="仿宋"/>
                <w:sz w:val="21"/>
                <w:szCs w:val="21"/>
                <w:highlight w:val="none"/>
                <w:lang w:val="en-US" w:eastAsia="zh-CN"/>
              </w:rPr>
            </w:pPr>
            <w:r>
              <w:rPr>
                <w:rFonts w:hint="eastAsia" w:ascii="仿宋" w:hAnsi="仿宋" w:eastAsia="仿宋" w:cs="仿宋"/>
                <w:b/>
                <w:bCs/>
                <w:sz w:val="21"/>
                <w:szCs w:val="21"/>
                <w:highlight w:val="none"/>
                <w:lang w:val="en-US" w:eastAsia="zh-CN"/>
              </w:rPr>
              <w:t>2、</w:t>
            </w:r>
            <w:r>
              <w:rPr>
                <w:rFonts w:hint="eastAsia" w:ascii="仿宋" w:hAnsi="仿宋" w:eastAsia="仿宋" w:cs="仿宋"/>
                <w:b/>
                <w:bCs/>
                <w:sz w:val="21"/>
                <w:szCs w:val="21"/>
                <w:highlight w:val="none"/>
                <w:lang w:eastAsia="zh-CN"/>
              </w:rPr>
              <w:t>同一家医院多份合同仅计一次。</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8B09AFC">
            <w:pPr>
              <w:spacing w:line="400" w:lineRule="exact"/>
              <w:jc w:val="center"/>
              <w:rPr>
                <w:rFonts w:hint="eastAsia" w:ascii="仿宋" w:hAnsi="仿宋" w:eastAsia="仿宋" w:cs="仿宋"/>
                <w:b/>
                <w:bCs/>
                <w:sz w:val="21"/>
                <w:szCs w:val="21"/>
                <w:highlight w:val="none"/>
                <w:lang w:val="en-US" w:eastAsia="zh-CN"/>
              </w:rPr>
            </w:pPr>
          </w:p>
        </w:tc>
      </w:tr>
      <w:tr w14:paraId="67D2C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1470" w:type="dxa"/>
            <w:vMerge w:val="continue"/>
            <w:tcBorders>
              <w:left w:val="single" w:color="auto" w:sz="4" w:space="0"/>
              <w:right w:val="single" w:color="auto" w:sz="4" w:space="0"/>
            </w:tcBorders>
            <w:noWrap w:val="0"/>
            <w:vAlign w:val="center"/>
          </w:tcPr>
          <w:p w14:paraId="65DA2CF0">
            <w:pPr>
              <w:spacing w:line="400" w:lineRule="exact"/>
              <w:jc w:val="center"/>
              <w:rPr>
                <w:rFonts w:hint="eastAsia" w:ascii="仿宋" w:hAnsi="仿宋" w:eastAsia="仿宋" w:cs="仿宋"/>
                <w:b/>
                <w:bCs/>
                <w:sz w:val="21"/>
                <w:szCs w:val="21"/>
                <w:highlight w:val="none"/>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14:paraId="695A7E20">
            <w:pPr>
              <w:widowControl/>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项目负责人配备</w:t>
            </w:r>
          </w:p>
        </w:tc>
        <w:tc>
          <w:tcPr>
            <w:tcW w:w="4394" w:type="dxa"/>
            <w:tcBorders>
              <w:top w:val="single" w:color="auto" w:sz="4" w:space="0"/>
              <w:left w:val="single" w:color="auto" w:sz="4" w:space="0"/>
              <w:bottom w:val="single" w:color="auto" w:sz="4" w:space="0"/>
              <w:right w:val="single" w:color="auto" w:sz="4" w:space="0"/>
            </w:tcBorders>
            <w:noWrap w:val="0"/>
            <w:vAlign w:val="center"/>
          </w:tcPr>
          <w:p w14:paraId="51E6377B">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1、投标人拟派项目负责人具有医学类相关专业证书的，得</w:t>
            </w:r>
            <w:r>
              <w:rPr>
                <w:rFonts w:hint="eastAsia" w:ascii="仿宋" w:hAnsi="仿宋" w:eastAsia="仿宋" w:cs="仿宋"/>
                <w:sz w:val="21"/>
                <w:szCs w:val="21"/>
                <w:highlight w:val="none"/>
                <w:lang w:val="en-US" w:eastAsia="zh-CN"/>
              </w:rPr>
              <w:t xml:space="preserve">  </w:t>
            </w:r>
            <w:r>
              <w:rPr>
                <w:rFonts w:hint="eastAsia" w:ascii="仿宋" w:hAnsi="仿宋" w:eastAsia="仿宋" w:cs="仿宋"/>
                <w:sz w:val="21"/>
                <w:szCs w:val="21"/>
                <w:highlight w:val="none"/>
              </w:rPr>
              <w:t>分</w:t>
            </w:r>
            <w:r>
              <w:rPr>
                <w:rFonts w:hint="eastAsia" w:ascii="仿宋" w:hAnsi="仿宋" w:eastAsia="仿宋" w:cs="仿宋"/>
                <w:sz w:val="21"/>
                <w:szCs w:val="21"/>
                <w:highlight w:val="none"/>
                <w:lang w:eastAsia="zh-CN"/>
              </w:rPr>
              <w:t>。</w:t>
            </w:r>
          </w:p>
          <w:p w14:paraId="3826636E">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 w:hAnsi="仿宋" w:eastAsia="仿宋" w:cs="仿宋"/>
                <w:sz w:val="21"/>
                <w:szCs w:val="21"/>
                <w:highlight w:val="none"/>
                <w:lang w:eastAsia="zh-CN"/>
              </w:rPr>
            </w:pPr>
            <w:r>
              <w:rPr>
                <w:rFonts w:hint="eastAsia" w:ascii="仿宋" w:hAnsi="仿宋" w:eastAsia="仿宋" w:cs="仿宋"/>
                <w:b/>
                <w:bCs/>
                <w:sz w:val="21"/>
                <w:szCs w:val="21"/>
                <w:highlight w:val="none"/>
              </w:rPr>
              <w:t>注：投标文件</w:t>
            </w:r>
            <w:r>
              <w:rPr>
                <w:rFonts w:hint="eastAsia" w:ascii="仿宋" w:hAnsi="仿宋" w:eastAsia="仿宋" w:cs="仿宋"/>
                <w:b/>
                <w:bCs/>
                <w:sz w:val="21"/>
                <w:szCs w:val="21"/>
                <w:highlight w:val="none"/>
                <w:lang w:eastAsia="zh-CN"/>
              </w:rPr>
              <w:t>需</w:t>
            </w:r>
            <w:r>
              <w:rPr>
                <w:rFonts w:hint="eastAsia" w:ascii="仿宋" w:hAnsi="仿宋" w:eastAsia="仿宋" w:cs="仿宋"/>
                <w:b/>
                <w:bCs/>
                <w:sz w:val="21"/>
                <w:szCs w:val="21"/>
                <w:highlight w:val="none"/>
              </w:rPr>
              <w:t>提供项目负责人身份证明和证书</w:t>
            </w:r>
            <w:r>
              <w:rPr>
                <w:rFonts w:hint="eastAsia" w:ascii="仿宋" w:hAnsi="仿宋" w:eastAsia="仿宋" w:cs="仿宋"/>
                <w:b/>
                <w:bCs/>
                <w:sz w:val="21"/>
                <w:szCs w:val="21"/>
                <w:highlight w:val="none"/>
                <w:lang w:val="en-US" w:eastAsia="zh-CN"/>
              </w:rPr>
              <w:t>复印件</w:t>
            </w:r>
            <w:r>
              <w:rPr>
                <w:rFonts w:hint="eastAsia" w:ascii="仿宋" w:hAnsi="仿宋" w:eastAsia="仿宋" w:cs="仿宋"/>
                <w:sz w:val="21"/>
                <w:szCs w:val="21"/>
                <w:highlight w:val="none"/>
                <w:lang w:eastAsia="zh-CN"/>
              </w:rPr>
              <w:t>。</w:t>
            </w:r>
          </w:p>
          <w:p w14:paraId="79E4671F">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投标人拟派项目负责人具有</w:t>
            </w:r>
            <w:r>
              <w:rPr>
                <w:rFonts w:hint="eastAsia" w:ascii="仿宋" w:hAnsi="仿宋" w:eastAsia="仿宋" w:cs="仿宋"/>
                <w:sz w:val="21"/>
                <w:szCs w:val="21"/>
                <w:highlight w:val="none"/>
                <w:lang w:eastAsia="zh-CN"/>
              </w:rPr>
              <w:t>类似医用耗材</w:t>
            </w:r>
            <w:r>
              <w:rPr>
                <w:rFonts w:hint="eastAsia" w:ascii="仿宋" w:hAnsi="仿宋" w:eastAsia="仿宋" w:cs="仿宋"/>
                <w:sz w:val="21"/>
                <w:szCs w:val="21"/>
                <w:highlight w:val="none"/>
              </w:rPr>
              <w:t>配送</w:t>
            </w:r>
            <w:r>
              <w:rPr>
                <w:rFonts w:hint="eastAsia" w:ascii="仿宋" w:hAnsi="仿宋" w:eastAsia="仿宋" w:cs="仿宋"/>
                <w:sz w:val="21"/>
                <w:szCs w:val="21"/>
                <w:highlight w:val="none"/>
                <w:lang w:val="en-US" w:eastAsia="zh-CN"/>
              </w:rPr>
              <w:t>服务工作</w:t>
            </w:r>
            <w:r>
              <w:rPr>
                <w:rFonts w:hint="eastAsia" w:ascii="仿宋" w:hAnsi="仿宋" w:eastAsia="仿宋" w:cs="仿宋"/>
                <w:sz w:val="21"/>
                <w:szCs w:val="21"/>
                <w:highlight w:val="none"/>
              </w:rPr>
              <w:t>经验的，得</w:t>
            </w:r>
            <w:r>
              <w:rPr>
                <w:rFonts w:hint="eastAsia" w:ascii="仿宋" w:hAnsi="仿宋" w:eastAsia="仿宋" w:cs="仿宋"/>
                <w:sz w:val="21"/>
                <w:szCs w:val="21"/>
                <w:highlight w:val="none"/>
                <w:lang w:val="en-US" w:eastAsia="zh-CN"/>
              </w:rPr>
              <w:t xml:space="preserve">  </w:t>
            </w:r>
            <w:r>
              <w:rPr>
                <w:rFonts w:hint="eastAsia" w:ascii="仿宋" w:hAnsi="仿宋" w:eastAsia="仿宋" w:cs="仿宋"/>
                <w:sz w:val="21"/>
                <w:szCs w:val="21"/>
                <w:highlight w:val="none"/>
              </w:rPr>
              <w:t>分</w:t>
            </w:r>
            <w:r>
              <w:rPr>
                <w:rFonts w:hint="eastAsia" w:ascii="仿宋" w:hAnsi="仿宋" w:eastAsia="仿宋" w:cs="仿宋"/>
                <w:sz w:val="21"/>
                <w:szCs w:val="21"/>
                <w:highlight w:val="none"/>
                <w:lang w:eastAsia="zh-CN"/>
              </w:rPr>
              <w:t>。</w:t>
            </w:r>
          </w:p>
          <w:p w14:paraId="2688C1F6">
            <w:pPr>
              <w:widowControl/>
              <w:spacing w:line="400" w:lineRule="exact"/>
              <w:rPr>
                <w:rFonts w:hint="eastAsia" w:ascii="仿宋" w:hAnsi="仿宋" w:eastAsia="仿宋" w:cs="仿宋"/>
                <w:sz w:val="21"/>
                <w:szCs w:val="21"/>
                <w:highlight w:val="none"/>
              </w:rPr>
            </w:pPr>
            <w:r>
              <w:rPr>
                <w:rFonts w:hint="eastAsia" w:ascii="仿宋" w:hAnsi="仿宋" w:eastAsia="仿宋" w:cs="仿宋"/>
                <w:b/>
                <w:bCs/>
                <w:sz w:val="21"/>
                <w:szCs w:val="21"/>
                <w:highlight w:val="none"/>
                <w:lang w:val="en-US" w:eastAsia="zh-CN"/>
              </w:rPr>
              <w:t>注：</w:t>
            </w:r>
            <w:r>
              <w:rPr>
                <w:rFonts w:hint="eastAsia" w:ascii="仿宋" w:hAnsi="仿宋" w:eastAsia="仿宋" w:cs="仿宋"/>
                <w:b/>
                <w:bCs/>
                <w:sz w:val="21"/>
                <w:szCs w:val="21"/>
                <w:highlight w:val="none"/>
              </w:rPr>
              <w:t>投标</w:t>
            </w:r>
            <w:r>
              <w:rPr>
                <w:rFonts w:hint="eastAsia" w:ascii="仿宋" w:hAnsi="仿宋" w:eastAsia="仿宋" w:cs="仿宋"/>
                <w:b/>
                <w:bCs/>
                <w:color w:val="auto"/>
                <w:sz w:val="21"/>
                <w:szCs w:val="21"/>
                <w:highlight w:val="none"/>
              </w:rPr>
              <w:t>文件中提供合同</w:t>
            </w:r>
            <w:r>
              <w:rPr>
                <w:rFonts w:hint="eastAsia" w:ascii="仿宋" w:hAnsi="仿宋" w:eastAsia="仿宋" w:cs="仿宋"/>
                <w:b/>
                <w:bCs/>
                <w:sz w:val="21"/>
                <w:szCs w:val="21"/>
                <w:highlight w:val="none"/>
                <w:lang w:val="en-US" w:eastAsia="zh-CN"/>
              </w:rPr>
              <w:t>及</w:t>
            </w:r>
            <w:r>
              <w:rPr>
                <w:rFonts w:hint="eastAsia" w:ascii="仿宋" w:hAnsi="仿宋" w:eastAsia="仿宋" w:cs="仿宋"/>
                <w:b/>
                <w:bCs/>
                <w:sz w:val="21"/>
                <w:szCs w:val="21"/>
                <w:highlight w:val="none"/>
                <w:lang w:eastAsia="zh-CN"/>
              </w:rPr>
              <w:t>配送清单</w:t>
            </w:r>
            <w:r>
              <w:rPr>
                <w:rFonts w:hint="eastAsia" w:ascii="仿宋" w:hAnsi="仿宋" w:eastAsia="仿宋" w:cs="仿宋"/>
                <w:b/>
                <w:bCs/>
                <w:color w:val="auto"/>
                <w:sz w:val="21"/>
                <w:szCs w:val="21"/>
                <w:highlight w:val="none"/>
              </w:rPr>
              <w:t>复印件，若合同</w:t>
            </w:r>
            <w:r>
              <w:rPr>
                <w:rFonts w:hint="eastAsia" w:ascii="仿宋" w:hAnsi="仿宋" w:eastAsia="仿宋" w:cs="仿宋"/>
                <w:b/>
                <w:bCs/>
                <w:sz w:val="21"/>
                <w:szCs w:val="21"/>
                <w:highlight w:val="none"/>
                <w:lang w:eastAsia="zh-CN"/>
              </w:rPr>
              <w:t>中</w:t>
            </w:r>
            <w:r>
              <w:rPr>
                <w:rFonts w:hint="eastAsia" w:ascii="仿宋" w:hAnsi="仿宋" w:eastAsia="仿宋" w:cs="仿宋"/>
                <w:b/>
                <w:bCs/>
                <w:color w:val="auto"/>
                <w:sz w:val="21"/>
                <w:szCs w:val="21"/>
                <w:highlight w:val="none"/>
              </w:rPr>
              <w:t>不能体现项目负责人姓名</w:t>
            </w:r>
            <w:r>
              <w:rPr>
                <w:rFonts w:hint="eastAsia" w:ascii="仿宋" w:hAnsi="仿宋" w:eastAsia="仿宋" w:cs="仿宋"/>
                <w:b/>
                <w:bCs/>
                <w:color w:val="auto"/>
                <w:sz w:val="21"/>
                <w:szCs w:val="21"/>
                <w:highlight w:val="none"/>
                <w:lang w:eastAsia="zh-CN"/>
              </w:rPr>
              <w:t>的</w:t>
            </w:r>
            <w:r>
              <w:rPr>
                <w:rFonts w:hint="eastAsia" w:ascii="仿宋" w:hAnsi="仿宋" w:eastAsia="仿宋" w:cs="仿宋"/>
                <w:b/>
                <w:bCs/>
                <w:color w:val="auto"/>
                <w:sz w:val="21"/>
                <w:szCs w:val="21"/>
                <w:highlight w:val="none"/>
              </w:rPr>
              <w:t>，可另行提供业主单位</w:t>
            </w:r>
            <w:r>
              <w:rPr>
                <w:rFonts w:hint="eastAsia" w:ascii="仿宋" w:hAnsi="仿宋" w:eastAsia="仿宋" w:cs="仿宋"/>
                <w:b/>
                <w:bCs/>
                <w:color w:val="auto"/>
                <w:sz w:val="21"/>
                <w:szCs w:val="21"/>
                <w:highlight w:val="none"/>
                <w:lang w:eastAsia="zh-CN"/>
              </w:rPr>
              <w:t>盖章的</w:t>
            </w:r>
            <w:r>
              <w:rPr>
                <w:rFonts w:hint="eastAsia" w:ascii="仿宋" w:hAnsi="仿宋" w:eastAsia="仿宋" w:cs="仿宋"/>
                <w:b/>
                <w:bCs/>
                <w:color w:val="auto"/>
                <w:sz w:val="21"/>
                <w:szCs w:val="21"/>
                <w:highlight w:val="none"/>
              </w:rPr>
              <w:t>证明材料，未提供不得分。</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292E77DE">
            <w:pPr>
              <w:spacing w:line="400" w:lineRule="exact"/>
              <w:jc w:val="center"/>
              <w:rPr>
                <w:rFonts w:hint="eastAsia" w:ascii="仿宋" w:hAnsi="仿宋" w:eastAsia="仿宋" w:cs="仿宋"/>
                <w:b/>
                <w:bCs/>
                <w:sz w:val="21"/>
                <w:szCs w:val="21"/>
                <w:highlight w:val="none"/>
                <w:lang w:val="en-US" w:eastAsia="zh-CN"/>
              </w:rPr>
            </w:pPr>
          </w:p>
        </w:tc>
      </w:tr>
      <w:tr w14:paraId="19166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1470" w:type="dxa"/>
            <w:vMerge w:val="continue"/>
            <w:tcBorders>
              <w:left w:val="single" w:color="auto" w:sz="4" w:space="0"/>
              <w:right w:val="single" w:color="auto" w:sz="4" w:space="0"/>
            </w:tcBorders>
            <w:noWrap w:val="0"/>
            <w:vAlign w:val="center"/>
          </w:tcPr>
          <w:p w14:paraId="5FD9C6F2">
            <w:pPr>
              <w:spacing w:line="400" w:lineRule="exact"/>
              <w:jc w:val="center"/>
              <w:rPr>
                <w:rFonts w:hint="eastAsia" w:ascii="仿宋" w:hAnsi="仿宋" w:eastAsia="仿宋" w:cs="仿宋"/>
                <w:b/>
                <w:bCs/>
                <w:sz w:val="21"/>
                <w:szCs w:val="21"/>
                <w:highlight w:val="none"/>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14:paraId="33EEB612">
            <w:pPr>
              <w:widowControl/>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运输车辆配备</w:t>
            </w:r>
          </w:p>
        </w:tc>
        <w:tc>
          <w:tcPr>
            <w:tcW w:w="4394" w:type="dxa"/>
            <w:tcBorders>
              <w:top w:val="single" w:color="auto" w:sz="4" w:space="0"/>
              <w:left w:val="single" w:color="auto" w:sz="4" w:space="0"/>
              <w:bottom w:val="single" w:color="auto" w:sz="4" w:space="0"/>
              <w:right w:val="single" w:color="auto" w:sz="4" w:space="0"/>
            </w:tcBorders>
            <w:noWrap w:val="0"/>
            <w:vAlign w:val="center"/>
          </w:tcPr>
          <w:p w14:paraId="40F8507A">
            <w:pPr>
              <w:widowControl/>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 xml:space="preserve">投标供应商配备自有或租赁的配送车辆 3 辆的得    分，每增加一辆得 0.5 分， </w:t>
            </w:r>
          </w:p>
          <w:p w14:paraId="53CC4E52">
            <w:pPr>
              <w:widowControl/>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 xml:space="preserve">本项满分 分。 </w:t>
            </w:r>
          </w:p>
          <w:p w14:paraId="79032F34">
            <w:pPr>
              <w:widowControl/>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 xml:space="preserve">注：1、投标供应商在投标文件中须提供车辆实物照片及有效的车辆行驶证证明 </w:t>
            </w:r>
          </w:p>
          <w:p w14:paraId="4D4255D2">
            <w:pPr>
              <w:widowControl/>
              <w:spacing w:line="400" w:lineRule="exac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材料的扫描件或影印件。</w:t>
            </w:r>
          </w:p>
          <w:p w14:paraId="783EC252">
            <w:pPr>
              <w:widowControl/>
              <w:numPr>
                <w:ilvl w:val="0"/>
                <w:numId w:val="2"/>
              </w:numPr>
              <w:spacing w:line="400" w:lineRule="exact"/>
              <w:ind w:firstLine="420" w:firstLineChars="20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配送车辆为 4.5 吨及以下的无须提供车辆为货运性质证明材料，配送车辆为 4.5 吨以上的须提供交通部门颁发的运营证明材料。</w:t>
            </w:r>
          </w:p>
          <w:p w14:paraId="0E2DA81D">
            <w:pPr>
              <w:widowControl/>
              <w:numPr>
                <w:ilvl w:val="0"/>
                <w:numId w:val="0"/>
              </w:numPr>
              <w:spacing w:line="400" w:lineRule="exact"/>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3、车辆为租赁的须提供完整有效的租赁协议或合同</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24E5DE0B">
            <w:pPr>
              <w:spacing w:line="400" w:lineRule="exact"/>
              <w:jc w:val="center"/>
              <w:rPr>
                <w:rFonts w:hint="eastAsia" w:ascii="仿宋" w:hAnsi="仿宋" w:eastAsia="仿宋" w:cs="仿宋"/>
                <w:b/>
                <w:bCs/>
                <w:sz w:val="21"/>
                <w:szCs w:val="21"/>
                <w:highlight w:val="none"/>
                <w:lang w:val="en-US" w:eastAsia="zh-CN"/>
              </w:rPr>
            </w:pPr>
          </w:p>
        </w:tc>
      </w:tr>
      <w:tr w14:paraId="03B8B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1470" w:type="dxa"/>
            <w:vMerge w:val="continue"/>
            <w:tcBorders>
              <w:left w:val="single" w:color="auto" w:sz="4" w:space="0"/>
              <w:right w:val="single" w:color="auto" w:sz="4" w:space="0"/>
            </w:tcBorders>
            <w:noWrap w:val="0"/>
            <w:vAlign w:val="center"/>
          </w:tcPr>
          <w:p w14:paraId="3F9633A9">
            <w:pPr>
              <w:spacing w:line="400" w:lineRule="exact"/>
              <w:jc w:val="center"/>
              <w:rPr>
                <w:rFonts w:hint="eastAsia" w:ascii="仿宋" w:hAnsi="仿宋" w:eastAsia="仿宋" w:cs="仿宋"/>
                <w:b/>
                <w:bCs/>
                <w:sz w:val="21"/>
                <w:szCs w:val="21"/>
                <w:highlight w:val="none"/>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14:paraId="44667B9A">
            <w:pPr>
              <w:widowControl/>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配送率</w:t>
            </w:r>
          </w:p>
        </w:tc>
        <w:tc>
          <w:tcPr>
            <w:tcW w:w="4394" w:type="dxa"/>
            <w:tcBorders>
              <w:top w:val="single" w:color="auto" w:sz="4" w:space="0"/>
              <w:left w:val="single" w:color="auto" w:sz="4" w:space="0"/>
              <w:bottom w:val="single" w:color="auto" w:sz="4" w:space="0"/>
              <w:right w:val="single" w:color="auto" w:sz="4" w:space="0"/>
            </w:tcBorders>
            <w:noWrap w:val="0"/>
            <w:vAlign w:val="center"/>
          </w:tcPr>
          <w:p w14:paraId="1DC73D6D">
            <w:pPr>
              <w:widowControl/>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 xml:space="preserve">承诺配送率≥98%得   分，承诺保送率≥99%得  分，承诺保送率=100%得  分 </w:t>
            </w:r>
          </w:p>
          <w:p w14:paraId="5A5FB797">
            <w:pPr>
              <w:widowControl/>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 xml:space="preserve">项满分   分。 </w:t>
            </w:r>
          </w:p>
          <w:p w14:paraId="40170279">
            <w:pPr>
              <w:widowControl/>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 xml:space="preserve">注：配送率=规定时间内实际配送耗材数量/规定时间内计划耗材数量×100%； </w:t>
            </w:r>
          </w:p>
          <w:p w14:paraId="049117CE">
            <w:pPr>
              <w:widowControl/>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提供承诺书扫描件（格式自拟），不提供不得分。</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75BE7B9">
            <w:pPr>
              <w:spacing w:line="400" w:lineRule="exact"/>
              <w:jc w:val="center"/>
              <w:rPr>
                <w:rFonts w:hint="eastAsia" w:ascii="仿宋" w:hAnsi="仿宋" w:eastAsia="仿宋" w:cs="仿宋"/>
                <w:b/>
                <w:bCs/>
                <w:sz w:val="21"/>
                <w:szCs w:val="21"/>
                <w:highlight w:val="none"/>
                <w:lang w:val="en-US" w:eastAsia="zh-CN"/>
              </w:rPr>
            </w:pPr>
          </w:p>
        </w:tc>
      </w:tr>
      <w:tr w14:paraId="7A7E6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1470" w:type="dxa"/>
            <w:vMerge w:val="continue"/>
            <w:tcBorders>
              <w:left w:val="single" w:color="auto" w:sz="4" w:space="0"/>
              <w:right w:val="single" w:color="auto" w:sz="4" w:space="0"/>
            </w:tcBorders>
            <w:noWrap w:val="0"/>
            <w:vAlign w:val="center"/>
          </w:tcPr>
          <w:p w14:paraId="30DAF4E9">
            <w:pPr>
              <w:spacing w:line="400" w:lineRule="exact"/>
              <w:jc w:val="center"/>
              <w:rPr>
                <w:rFonts w:hint="eastAsia" w:ascii="仿宋" w:hAnsi="仿宋" w:eastAsia="仿宋" w:cs="仿宋"/>
                <w:b/>
                <w:bCs/>
                <w:sz w:val="21"/>
                <w:szCs w:val="21"/>
                <w:highlight w:val="none"/>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14:paraId="208B52F6">
            <w:pPr>
              <w:widowControl/>
              <w:spacing w:line="400" w:lineRule="exact"/>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报损率</w:t>
            </w:r>
          </w:p>
        </w:tc>
        <w:tc>
          <w:tcPr>
            <w:tcW w:w="4394" w:type="dxa"/>
            <w:tcBorders>
              <w:top w:val="single" w:color="auto" w:sz="4" w:space="0"/>
              <w:left w:val="single" w:color="auto" w:sz="4" w:space="0"/>
              <w:bottom w:val="single" w:color="auto" w:sz="4" w:space="0"/>
              <w:right w:val="single" w:color="auto" w:sz="4" w:space="0"/>
            </w:tcBorders>
            <w:noWrap w:val="0"/>
            <w:vAlign w:val="center"/>
          </w:tcPr>
          <w:p w14:paraId="0015A977">
            <w:pPr>
              <w:widowControl/>
              <w:spacing w:line="400" w:lineRule="exac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 xml:space="preserve">承诺承担报损率＜1%得   分，承诺承担报损率≥1%得  分；本项满分  分。 </w:t>
            </w:r>
          </w:p>
          <w:p w14:paraId="1225B681">
            <w:pPr>
              <w:widowControl/>
              <w:spacing w:line="400" w:lineRule="exac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 xml:space="preserve">注：提交投标供应商法人代表签字（或盖章）并加盖企业公章的承诺书原件扫描件 </w:t>
            </w:r>
          </w:p>
          <w:p w14:paraId="54FE2B94">
            <w:pPr>
              <w:widowControl/>
              <w:spacing w:line="400" w:lineRule="exac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（格式自拟），不提供不得分。</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6D4E62D0">
            <w:pPr>
              <w:spacing w:line="400" w:lineRule="exact"/>
              <w:jc w:val="center"/>
              <w:rPr>
                <w:rFonts w:hint="eastAsia" w:ascii="仿宋" w:hAnsi="仿宋" w:eastAsia="仿宋" w:cs="仿宋"/>
                <w:b/>
                <w:bCs/>
                <w:sz w:val="21"/>
                <w:szCs w:val="21"/>
                <w:highlight w:val="none"/>
                <w:lang w:val="en-US" w:eastAsia="zh-CN"/>
              </w:rPr>
            </w:pPr>
          </w:p>
        </w:tc>
      </w:tr>
      <w:tr w14:paraId="76354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1470" w:type="dxa"/>
            <w:vMerge w:val="continue"/>
            <w:tcBorders>
              <w:left w:val="single" w:color="auto" w:sz="4" w:space="0"/>
              <w:right w:val="single" w:color="auto" w:sz="4" w:space="0"/>
            </w:tcBorders>
            <w:noWrap w:val="0"/>
            <w:vAlign w:val="center"/>
          </w:tcPr>
          <w:p w14:paraId="4EEF5002">
            <w:pPr>
              <w:spacing w:line="400" w:lineRule="exact"/>
              <w:jc w:val="center"/>
              <w:rPr>
                <w:rFonts w:hint="eastAsia" w:ascii="仿宋" w:hAnsi="仿宋" w:eastAsia="仿宋" w:cs="仿宋"/>
                <w:b/>
                <w:bCs/>
                <w:sz w:val="21"/>
                <w:szCs w:val="21"/>
                <w:highlight w:val="none"/>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14:paraId="73928450">
            <w:pPr>
              <w:widowControl/>
              <w:spacing w:line="400" w:lineRule="exact"/>
              <w:jc w:val="center"/>
              <w:rPr>
                <w:rFonts w:hint="eastAsia" w:ascii="仿宋" w:hAnsi="仿宋" w:eastAsia="仿宋" w:cs="仿宋"/>
                <w:sz w:val="21"/>
                <w:szCs w:val="21"/>
                <w:highlight w:val="none"/>
              </w:rPr>
            </w:pPr>
            <w:r>
              <w:rPr>
                <w:rFonts w:hint="eastAsia" w:ascii="仿宋" w:hAnsi="仿宋" w:eastAsia="仿宋" w:cs="仿宋"/>
                <w:bCs/>
                <w:color w:val="auto"/>
                <w:sz w:val="21"/>
                <w:szCs w:val="21"/>
                <w:highlight w:val="none"/>
                <w:lang w:val="en-US" w:eastAsia="zh-CN"/>
              </w:rPr>
              <w:t>项目管理方案</w:t>
            </w:r>
          </w:p>
        </w:tc>
        <w:tc>
          <w:tcPr>
            <w:tcW w:w="4394" w:type="dxa"/>
            <w:tcBorders>
              <w:top w:val="single" w:color="auto" w:sz="4" w:space="0"/>
              <w:left w:val="single" w:color="auto" w:sz="4" w:space="0"/>
              <w:bottom w:val="single" w:color="auto" w:sz="4" w:space="0"/>
              <w:right w:val="single" w:color="auto" w:sz="4" w:space="0"/>
            </w:tcBorders>
            <w:noWrap w:val="0"/>
            <w:vAlign w:val="center"/>
          </w:tcPr>
          <w:p w14:paraId="39F24ED9">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投标人</w:t>
            </w:r>
            <w:r>
              <w:rPr>
                <w:rFonts w:hint="eastAsia" w:ascii="仿宋" w:hAnsi="仿宋" w:eastAsia="仿宋" w:cs="仿宋"/>
                <w:sz w:val="21"/>
                <w:szCs w:val="21"/>
                <w:highlight w:val="none"/>
              </w:rPr>
              <w:t>针对本项目理解</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根据项目实际需求，提供符合本项目的</w:t>
            </w:r>
            <w:r>
              <w:rPr>
                <w:rFonts w:hint="eastAsia" w:ascii="仿宋" w:hAnsi="仿宋" w:eastAsia="仿宋" w:cs="仿宋"/>
                <w:bCs/>
                <w:color w:val="auto"/>
                <w:sz w:val="21"/>
                <w:szCs w:val="21"/>
                <w:highlight w:val="none"/>
                <w:lang w:val="en-US" w:eastAsia="zh-CN"/>
              </w:rPr>
              <w:t>项目管理</w:t>
            </w:r>
            <w:r>
              <w:rPr>
                <w:rFonts w:hint="eastAsia" w:ascii="仿宋" w:hAnsi="仿宋" w:eastAsia="仿宋" w:cs="仿宋"/>
                <w:sz w:val="21"/>
                <w:szCs w:val="21"/>
                <w:highlight w:val="none"/>
                <w:lang w:val="en-US" w:eastAsia="zh-CN"/>
              </w:rPr>
              <w:t>方案</w:t>
            </w:r>
            <w:r>
              <w:rPr>
                <w:rFonts w:hint="eastAsia" w:ascii="仿宋" w:hAnsi="仿宋" w:eastAsia="仿宋" w:cs="仿宋"/>
                <w:sz w:val="21"/>
                <w:szCs w:val="21"/>
                <w:highlight w:val="none"/>
              </w:rPr>
              <w:t>，</w:t>
            </w:r>
            <w:r>
              <w:rPr>
                <w:rFonts w:hint="eastAsia" w:ascii="仿宋" w:hAnsi="仿宋" w:eastAsia="仿宋" w:cs="仿宋"/>
                <w:color w:val="auto"/>
                <w:sz w:val="21"/>
                <w:szCs w:val="21"/>
                <w:highlight w:val="none"/>
              </w:rPr>
              <w:t>内容包括</w:t>
            </w:r>
            <w:r>
              <w:rPr>
                <w:rFonts w:hint="eastAsia" w:ascii="仿宋" w:hAnsi="仿宋" w:eastAsia="仿宋" w:cs="仿宋"/>
                <w:sz w:val="21"/>
                <w:szCs w:val="21"/>
                <w:highlight w:val="none"/>
              </w:rPr>
              <w:t>：</w:t>
            </w:r>
          </w:p>
          <w:p w14:paraId="65380B4A">
            <w:pPr>
              <w:widowControl/>
              <w:adjustRightInd w:val="0"/>
              <w:snapToGrid w:val="0"/>
              <w:spacing w:line="36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
              </w:rPr>
              <w:t>①</w:t>
            </w:r>
            <w:r>
              <w:rPr>
                <w:rFonts w:hint="eastAsia" w:ascii="仿宋" w:hAnsi="仿宋" w:eastAsia="仿宋" w:cs="仿宋"/>
                <w:color w:val="auto"/>
                <w:kern w:val="2"/>
                <w:sz w:val="21"/>
                <w:szCs w:val="21"/>
                <w:highlight w:val="none"/>
                <w:lang w:val="en-US" w:eastAsia="zh-CN" w:bidi="ar-SA"/>
              </w:rPr>
              <w:t>服务标准梳理与制订；</w:t>
            </w:r>
          </w:p>
          <w:p w14:paraId="5BD9C329">
            <w:pPr>
              <w:widowControl/>
              <w:adjustRightInd w:val="0"/>
              <w:snapToGrid w:val="0"/>
              <w:spacing w:line="36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
              </w:rPr>
              <w:t>②</w:t>
            </w:r>
            <w:r>
              <w:rPr>
                <w:rFonts w:hint="eastAsia" w:ascii="仿宋" w:hAnsi="仿宋" w:eastAsia="仿宋" w:cs="仿宋"/>
                <w:color w:val="auto"/>
                <w:kern w:val="2"/>
                <w:sz w:val="21"/>
                <w:szCs w:val="21"/>
                <w:highlight w:val="none"/>
                <w:lang w:val="en-US" w:eastAsia="zh-CN" w:bidi="ar-SA"/>
              </w:rPr>
              <w:t>服务计划制订及监督执行；</w:t>
            </w:r>
          </w:p>
          <w:p w14:paraId="30437203">
            <w:pPr>
              <w:widowControl/>
              <w:adjustRightInd w:val="0"/>
              <w:snapToGrid w:val="0"/>
              <w:spacing w:line="360" w:lineRule="auto"/>
              <w:rPr>
                <w:rFonts w:hint="eastAsia" w:ascii="仿宋" w:hAnsi="仿宋" w:eastAsia="仿宋" w:cs="仿宋"/>
                <w:color w:val="auto"/>
                <w:sz w:val="21"/>
                <w:szCs w:val="21"/>
                <w:highlight w:val="none"/>
                <w:lang w:val="en-US" w:eastAsia="zh-CN"/>
              </w:rPr>
            </w:pPr>
            <w:r>
              <w:rPr>
                <w:rFonts w:hint="eastAsia" w:ascii="仿宋" w:hAnsi="仿宋" w:eastAsia="仿宋" w:cs="仿宋"/>
                <w:kern w:val="2"/>
                <w:sz w:val="21"/>
                <w:szCs w:val="21"/>
                <w:highlight w:val="none"/>
                <w:lang w:val="en-US" w:eastAsia="zh-CN" w:bidi="ar"/>
              </w:rPr>
              <w:t>③</w:t>
            </w:r>
            <w:r>
              <w:rPr>
                <w:rFonts w:hint="eastAsia" w:ascii="仿宋" w:hAnsi="仿宋" w:eastAsia="仿宋" w:cs="仿宋"/>
                <w:color w:val="auto"/>
                <w:kern w:val="2"/>
                <w:sz w:val="21"/>
                <w:szCs w:val="21"/>
                <w:highlight w:val="none"/>
                <w:lang w:val="en-US" w:eastAsia="zh-CN" w:bidi="ar-SA"/>
              </w:rPr>
              <w:t>服务质量控制及改进计划等</w:t>
            </w:r>
            <w:r>
              <w:rPr>
                <w:rFonts w:hint="eastAsia" w:ascii="仿宋" w:hAnsi="仿宋" w:eastAsia="仿宋" w:cs="仿宋"/>
                <w:color w:val="auto"/>
                <w:sz w:val="21"/>
                <w:szCs w:val="21"/>
                <w:highlight w:val="none"/>
                <w:lang w:val="en-US" w:eastAsia="zh-CN"/>
              </w:rPr>
              <w:t>。</w:t>
            </w:r>
          </w:p>
          <w:p w14:paraId="5DBA5D0B">
            <w:pPr>
              <w:widowControl/>
              <w:adjustRightInd w:val="0"/>
              <w:snapToGrid w:val="0"/>
              <w:spacing w:line="36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评标委员会根据</w:t>
            </w:r>
            <w:r>
              <w:rPr>
                <w:rFonts w:hint="eastAsia" w:ascii="仿宋" w:hAnsi="仿宋" w:eastAsia="仿宋" w:cs="仿宋"/>
                <w:sz w:val="21"/>
                <w:szCs w:val="21"/>
                <w:highlight w:val="none"/>
                <w:lang w:val="en-US" w:eastAsia="zh-CN"/>
              </w:rPr>
              <w:t>投标人</w:t>
            </w:r>
            <w:r>
              <w:rPr>
                <w:rFonts w:hint="eastAsia" w:ascii="仿宋" w:hAnsi="仿宋" w:eastAsia="仿宋" w:cs="仿宋"/>
                <w:color w:val="auto"/>
                <w:sz w:val="21"/>
                <w:szCs w:val="21"/>
                <w:highlight w:val="none"/>
                <w:lang w:val="en-US" w:eastAsia="zh-CN"/>
              </w:rPr>
              <w:t>提供的方案，进行综合评审：</w:t>
            </w:r>
          </w:p>
          <w:p w14:paraId="2B4BC50E">
            <w:pPr>
              <w:widowControl/>
              <w:numPr>
                <w:ilvl w:val="0"/>
                <w:numId w:val="0"/>
              </w:numPr>
              <w:adjustRightInd w:val="0"/>
              <w:snapToGrid w:val="0"/>
              <w:spacing w:line="360" w:lineRule="auto"/>
              <w:rPr>
                <w:rFonts w:hint="eastAsia" w:ascii="仿宋" w:hAnsi="仿宋" w:eastAsia="仿宋" w:cs="仿宋"/>
                <w:color w:val="auto"/>
                <w:sz w:val="21"/>
                <w:szCs w:val="21"/>
                <w:highlight w:val="none"/>
                <w:lang w:eastAsia="zh-CN"/>
              </w:rPr>
            </w:pPr>
            <w:r>
              <w:rPr>
                <w:rFonts w:hint="eastAsia" w:ascii="仿宋" w:hAnsi="仿宋" w:eastAsia="仿宋" w:cs="仿宋"/>
                <w:color w:val="auto"/>
                <w:kern w:val="2"/>
                <w:sz w:val="21"/>
                <w:szCs w:val="21"/>
                <w:highlight w:val="none"/>
                <w:lang w:val="en-US" w:eastAsia="zh-CN" w:bidi="ar-SA"/>
              </w:rPr>
              <w:t>（1）</w:t>
            </w:r>
            <w:r>
              <w:rPr>
                <w:rFonts w:hint="eastAsia" w:ascii="仿宋" w:hAnsi="仿宋" w:eastAsia="仿宋" w:cs="仿宋"/>
                <w:color w:val="auto"/>
                <w:sz w:val="21"/>
                <w:szCs w:val="21"/>
                <w:highlight w:val="none"/>
              </w:rPr>
              <w:t>对本项目特点和难点理解准确，方案优于本项目采购需求，完整详细，可行性、实用性、针对性强，得</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分；</w:t>
            </w:r>
          </w:p>
          <w:p w14:paraId="241ADEB4">
            <w:pPr>
              <w:widowControl/>
              <w:numPr>
                <w:ilvl w:val="0"/>
                <w:numId w:val="0"/>
              </w:numPr>
              <w:adjustRightInd w:val="0"/>
              <w:snapToGrid w:val="0"/>
              <w:spacing w:line="36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（2）</w:t>
            </w:r>
            <w:r>
              <w:rPr>
                <w:rFonts w:hint="eastAsia" w:ascii="仿宋" w:hAnsi="仿宋" w:eastAsia="仿宋" w:cs="仿宋"/>
                <w:color w:val="auto"/>
                <w:sz w:val="21"/>
                <w:szCs w:val="21"/>
                <w:highlight w:val="none"/>
              </w:rPr>
              <w:t>对本项目特点和难点理解基本准确，方案适合本项目采购需求，完整详细，具有可行性、实用性和针对性，得</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分；</w:t>
            </w:r>
          </w:p>
          <w:p w14:paraId="276AA56C">
            <w:pPr>
              <w:widowControl/>
              <w:numPr>
                <w:ilvl w:val="0"/>
                <w:numId w:val="0"/>
              </w:numPr>
              <w:adjustRightInd w:val="0"/>
              <w:snapToGrid w:val="0"/>
              <w:spacing w:line="36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（3）</w:t>
            </w:r>
            <w:r>
              <w:rPr>
                <w:rFonts w:hint="eastAsia" w:ascii="仿宋" w:hAnsi="仿宋" w:eastAsia="仿宋" w:cs="仿宋"/>
                <w:color w:val="auto"/>
                <w:sz w:val="21"/>
                <w:szCs w:val="21"/>
                <w:highlight w:val="none"/>
              </w:rPr>
              <w:t>对本项目特点和难点理解有待提升，方案基本适合本项目采购需求，可行性、实用性、针对性有待改善，得</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分；</w:t>
            </w:r>
          </w:p>
          <w:p w14:paraId="30D94DF9">
            <w:pPr>
              <w:widowControl/>
              <w:spacing w:line="400" w:lineRule="exact"/>
              <w:rPr>
                <w:rFonts w:hint="eastAsia" w:ascii="仿宋" w:hAnsi="仿宋" w:eastAsia="仿宋" w:cs="仿宋"/>
                <w:sz w:val="21"/>
                <w:szCs w:val="21"/>
                <w:highlight w:val="none"/>
              </w:rPr>
            </w:pPr>
            <w:r>
              <w:rPr>
                <w:rFonts w:hint="eastAsia" w:ascii="仿宋" w:hAnsi="仿宋" w:eastAsia="仿宋" w:cs="仿宋"/>
                <w:color w:val="auto"/>
                <w:sz w:val="21"/>
                <w:szCs w:val="21"/>
                <w:highlight w:val="none"/>
                <w:lang w:eastAsia="zh-CN"/>
              </w:rPr>
              <w:t>（4）</w:t>
            </w:r>
            <w:r>
              <w:rPr>
                <w:rFonts w:hint="eastAsia" w:ascii="仿宋" w:hAnsi="仿宋" w:eastAsia="仿宋" w:cs="仿宋"/>
                <w:color w:val="auto"/>
                <w:sz w:val="21"/>
                <w:szCs w:val="21"/>
                <w:highlight w:val="none"/>
              </w:rPr>
              <w:t>方案不可行或者未提供得0分。</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02D182E8">
            <w:pPr>
              <w:spacing w:line="400" w:lineRule="exact"/>
              <w:jc w:val="center"/>
              <w:rPr>
                <w:rFonts w:hint="eastAsia" w:ascii="仿宋" w:hAnsi="仿宋" w:eastAsia="仿宋" w:cs="仿宋"/>
                <w:b/>
                <w:bCs/>
                <w:sz w:val="21"/>
                <w:szCs w:val="21"/>
                <w:highlight w:val="none"/>
                <w:lang w:val="en-US" w:eastAsia="zh-CN"/>
              </w:rPr>
            </w:pPr>
          </w:p>
        </w:tc>
      </w:tr>
      <w:tr w14:paraId="45144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1470" w:type="dxa"/>
            <w:vMerge w:val="continue"/>
            <w:tcBorders>
              <w:left w:val="single" w:color="auto" w:sz="4" w:space="0"/>
              <w:right w:val="single" w:color="auto" w:sz="4" w:space="0"/>
            </w:tcBorders>
            <w:noWrap w:val="0"/>
            <w:vAlign w:val="center"/>
          </w:tcPr>
          <w:p w14:paraId="409D384D">
            <w:pPr>
              <w:spacing w:line="400" w:lineRule="exact"/>
              <w:jc w:val="center"/>
              <w:rPr>
                <w:rFonts w:hint="eastAsia" w:ascii="仿宋" w:hAnsi="仿宋" w:eastAsia="仿宋" w:cs="仿宋"/>
                <w:b/>
                <w:bCs/>
                <w:sz w:val="21"/>
                <w:szCs w:val="21"/>
                <w:highlight w:val="none"/>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14:paraId="61F9EFAC">
            <w:pPr>
              <w:widowControl/>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供货方案</w:t>
            </w:r>
          </w:p>
        </w:tc>
        <w:tc>
          <w:tcPr>
            <w:tcW w:w="4394" w:type="dxa"/>
            <w:tcBorders>
              <w:top w:val="single" w:color="auto" w:sz="4" w:space="0"/>
              <w:left w:val="single" w:color="auto" w:sz="4" w:space="0"/>
              <w:bottom w:val="single" w:color="auto" w:sz="4" w:space="0"/>
              <w:right w:val="single" w:color="auto" w:sz="4" w:space="0"/>
            </w:tcBorders>
            <w:noWrap w:val="0"/>
            <w:vAlign w:val="center"/>
          </w:tcPr>
          <w:p w14:paraId="28EF0781">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投标人</w:t>
            </w:r>
            <w:r>
              <w:rPr>
                <w:rFonts w:hint="eastAsia" w:ascii="仿宋" w:hAnsi="仿宋" w:eastAsia="仿宋" w:cs="仿宋"/>
                <w:sz w:val="21"/>
                <w:szCs w:val="21"/>
                <w:highlight w:val="none"/>
              </w:rPr>
              <w:t>针对本项目理解</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根据项目实际需求，提供符合本项目的供货</w:t>
            </w:r>
            <w:r>
              <w:rPr>
                <w:rFonts w:hint="eastAsia" w:ascii="仿宋" w:hAnsi="仿宋" w:eastAsia="仿宋" w:cs="仿宋"/>
                <w:sz w:val="21"/>
                <w:szCs w:val="21"/>
                <w:highlight w:val="none"/>
                <w:lang w:val="en-US" w:eastAsia="zh-CN"/>
              </w:rPr>
              <w:t>方案</w:t>
            </w:r>
            <w:r>
              <w:rPr>
                <w:rFonts w:hint="eastAsia" w:ascii="仿宋" w:hAnsi="仿宋" w:eastAsia="仿宋" w:cs="仿宋"/>
                <w:sz w:val="21"/>
                <w:szCs w:val="21"/>
                <w:highlight w:val="none"/>
              </w:rPr>
              <w:t>，</w:t>
            </w:r>
            <w:r>
              <w:rPr>
                <w:rFonts w:hint="eastAsia" w:ascii="仿宋" w:hAnsi="仿宋" w:eastAsia="仿宋" w:cs="仿宋"/>
                <w:color w:val="auto"/>
                <w:sz w:val="21"/>
                <w:szCs w:val="21"/>
                <w:highlight w:val="none"/>
              </w:rPr>
              <w:t>内容包括</w:t>
            </w:r>
            <w:r>
              <w:rPr>
                <w:rFonts w:hint="eastAsia" w:ascii="仿宋" w:hAnsi="仿宋" w:eastAsia="仿宋" w:cs="仿宋"/>
                <w:sz w:val="21"/>
                <w:szCs w:val="21"/>
                <w:highlight w:val="none"/>
              </w:rPr>
              <w:t>：</w:t>
            </w:r>
          </w:p>
          <w:p w14:paraId="0F28D1DF">
            <w:pPr>
              <w:widowControl/>
              <w:adjustRightInd w:val="0"/>
              <w:snapToGrid w:val="0"/>
              <w:spacing w:line="36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
              </w:rPr>
              <w:t>①耗材存储方案</w:t>
            </w:r>
            <w:r>
              <w:rPr>
                <w:rFonts w:hint="eastAsia" w:ascii="仿宋" w:hAnsi="仿宋" w:eastAsia="仿宋" w:cs="仿宋"/>
                <w:color w:val="auto"/>
                <w:kern w:val="2"/>
                <w:sz w:val="21"/>
                <w:szCs w:val="21"/>
                <w:highlight w:val="none"/>
                <w:lang w:val="en-US" w:eastAsia="zh-CN" w:bidi="ar-SA"/>
              </w:rPr>
              <w:t>；</w:t>
            </w:r>
          </w:p>
          <w:p w14:paraId="19B57938">
            <w:pPr>
              <w:widowControl/>
              <w:adjustRightInd w:val="0"/>
              <w:snapToGrid w:val="0"/>
              <w:spacing w:line="36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
              </w:rPr>
              <w:t>②</w:t>
            </w:r>
            <w:r>
              <w:rPr>
                <w:rFonts w:hint="eastAsia" w:ascii="仿宋" w:hAnsi="仿宋" w:eastAsia="仿宋" w:cs="仿宋"/>
                <w:color w:val="000000"/>
                <w:kern w:val="0"/>
                <w:sz w:val="21"/>
                <w:szCs w:val="21"/>
                <w:highlight w:val="none"/>
                <w:lang w:val="en-US" w:eastAsia="zh-CN" w:bidi="ar"/>
              </w:rPr>
              <w:t>供货设备及人员配备</w:t>
            </w:r>
            <w:r>
              <w:rPr>
                <w:rFonts w:hint="eastAsia" w:ascii="仿宋" w:hAnsi="仿宋" w:eastAsia="仿宋" w:cs="仿宋"/>
                <w:color w:val="auto"/>
                <w:kern w:val="2"/>
                <w:sz w:val="21"/>
                <w:szCs w:val="21"/>
                <w:highlight w:val="none"/>
                <w:lang w:val="en-US" w:eastAsia="zh-CN" w:bidi="ar-SA"/>
              </w:rPr>
              <w:t>；</w:t>
            </w:r>
          </w:p>
          <w:p w14:paraId="26E3060B">
            <w:pPr>
              <w:widowControl/>
              <w:adjustRightInd w:val="0"/>
              <w:snapToGrid w:val="0"/>
              <w:spacing w:line="360" w:lineRule="auto"/>
              <w:rPr>
                <w:rFonts w:hint="eastAsia" w:ascii="仿宋" w:hAnsi="仿宋" w:eastAsia="仿宋" w:cs="仿宋"/>
                <w:color w:val="auto"/>
                <w:sz w:val="21"/>
                <w:szCs w:val="21"/>
                <w:highlight w:val="none"/>
                <w:lang w:val="en-US" w:eastAsia="zh-CN"/>
              </w:rPr>
            </w:pPr>
            <w:r>
              <w:rPr>
                <w:rFonts w:hint="eastAsia" w:ascii="仿宋" w:hAnsi="仿宋" w:eastAsia="仿宋" w:cs="仿宋"/>
                <w:kern w:val="2"/>
                <w:sz w:val="21"/>
                <w:szCs w:val="21"/>
                <w:highlight w:val="none"/>
                <w:lang w:val="en-US" w:eastAsia="zh-CN" w:bidi="ar"/>
              </w:rPr>
              <w:t>③</w:t>
            </w:r>
            <w:r>
              <w:rPr>
                <w:rFonts w:hint="eastAsia" w:ascii="仿宋" w:hAnsi="仿宋" w:eastAsia="仿宋" w:cs="仿宋"/>
                <w:color w:val="000000"/>
                <w:kern w:val="0"/>
                <w:sz w:val="21"/>
                <w:szCs w:val="21"/>
                <w:highlight w:val="none"/>
                <w:lang w:val="en-US" w:eastAsia="zh-CN" w:bidi="ar"/>
              </w:rPr>
              <w:t>退换货方案</w:t>
            </w:r>
            <w:r>
              <w:rPr>
                <w:rFonts w:hint="eastAsia" w:ascii="仿宋" w:hAnsi="仿宋" w:eastAsia="仿宋" w:cs="仿宋"/>
                <w:color w:val="auto"/>
                <w:kern w:val="2"/>
                <w:sz w:val="21"/>
                <w:szCs w:val="21"/>
                <w:highlight w:val="none"/>
                <w:lang w:val="en-US" w:eastAsia="zh-CN" w:bidi="ar-SA"/>
              </w:rPr>
              <w:t>等</w:t>
            </w:r>
            <w:r>
              <w:rPr>
                <w:rFonts w:hint="eastAsia" w:ascii="仿宋" w:hAnsi="仿宋" w:eastAsia="仿宋" w:cs="仿宋"/>
                <w:color w:val="auto"/>
                <w:sz w:val="21"/>
                <w:szCs w:val="21"/>
                <w:highlight w:val="none"/>
                <w:lang w:val="en-US" w:eastAsia="zh-CN"/>
              </w:rPr>
              <w:t>。</w:t>
            </w:r>
          </w:p>
          <w:p w14:paraId="5CBDBB1A">
            <w:pPr>
              <w:widowControl/>
              <w:adjustRightInd w:val="0"/>
              <w:snapToGrid w:val="0"/>
              <w:spacing w:line="36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评标委员会根据</w:t>
            </w:r>
            <w:r>
              <w:rPr>
                <w:rFonts w:hint="eastAsia" w:ascii="仿宋" w:hAnsi="仿宋" w:eastAsia="仿宋" w:cs="仿宋"/>
                <w:sz w:val="21"/>
                <w:szCs w:val="21"/>
                <w:highlight w:val="none"/>
                <w:lang w:val="en-US" w:eastAsia="zh-CN"/>
              </w:rPr>
              <w:t>投标人</w:t>
            </w:r>
            <w:r>
              <w:rPr>
                <w:rFonts w:hint="eastAsia" w:ascii="仿宋" w:hAnsi="仿宋" w:eastAsia="仿宋" w:cs="仿宋"/>
                <w:color w:val="auto"/>
                <w:sz w:val="21"/>
                <w:szCs w:val="21"/>
                <w:highlight w:val="none"/>
                <w:lang w:val="en-US" w:eastAsia="zh-CN"/>
              </w:rPr>
              <w:t>提供的方案，进行综合评审：</w:t>
            </w:r>
          </w:p>
          <w:p w14:paraId="608A24EE">
            <w:pPr>
              <w:widowControl/>
              <w:numPr>
                <w:ilvl w:val="0"/>
                <w:numId w:val="0"/>
              </w:numPr>
              <w:adjustRightInd w:val="0"/>
              <w:snapToGrid w:val="0"/>
              <w:spacing w:line="360" w:lineRule="auto"/>
              <w:rPr>
                <w:rFonts w:hint="eastAsia" w:ascii="仿宋" w:hAnsi="仿宋" w:eastAsia="仿宋" w:cs="仿宋"/>
                <w:color w:val="auto"/>
                <w:sz w:val="21"/>
                <w:szCs w:val="21"/>
                <w:highlight w:val="none"/>
                <w:lang w:eastAsia="zh-CN"/>
              </w:rPr>
            </w:pPr>
            <w:r>
              <w:rPr>
                <w:rFonts w:hint="eastAsia" w:ascii="仿宋" w:hAnsi="仿宋" w:eastAsia="仿宋" w:cs="仿宋"/>
                <w:color w:val="auto"/>
                <w:kern w:val="2"/>
                <w:sz w:val="21"/>
                <w:szCs w:val="21"/>
                <w:highlight w:val="none"/>
                <w:lang w:val="en-US" w:eastAsia="zh-CN" w:bidi="ar-SA"/>
              </w:rPr>
              <w:t>（1）</w:t>
            </w:r>
            <w:r>
              <w:rPr>
                <w:rFonts w:hint="eastAsia" w:ascii="仿宋" w:hAnsi="仿宋" w:eastAsia="仿宋" w:cs="仿宋"/>
                <w:color w:val="auto"/>
                <w:sz w:val="21"/>
                <w:szCs w:val="21"/>
                <w:highlight w:val="none"/>
              </w:rPr>
              <w:t>对本项目特点和难点理解准确，方案优于本项目采购需求，完整详细，可行性、实用性、针对性强，得</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分；</w:t>
            </w:r>
          </w:p>
          <w:p w14:paraId="28EDB3A6">
            <w:pPr>
              <w:widowControl/>
              <w:numPr>
                <w:ilvl w:val="0"/>
                <w:numId w:val="0"/>
              </w:numPr>
              <w:adjustRightInd w:val="0"/>
              <w:snapToGrid w:val="0"/>
              <w:spacing w:line="36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（2）</w:t>
            </w:r>
            <w:r>
              <w:rPr>
                <w:rFonts w:hint="eastAsia" w:ascii="仿宋" w:hAnsi="仿宋" w:eastAsia="仿宋" w:cs="仿宋"/>
                <w:color w:val="auto"/>
                <w:sz w:val="21"/>
                <w:szCs w:val="21"/>
                <w:highlight w:val="none"/>
              </w:rPr>
              <w:t>对本项目特点和难点理解基本准确，方案适合本项目采购需求，完整详细，具有可行性、实用性和针对性，得</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分；</w:t>
            </w:r>
          </w:p>
          <w:p w14:paraId="37BD38FC">
            <w:pPr>
              <w:widowControl/>
              <w:numPr>
                <w:ilvl w:val="0"/>
                <w:numId w:val="0"/>
              </w:numPr>
              <w:adjustRightInd w:val="0"/>
              <w:snapToGrid w:val="0"/>
              <w:spacing w:line="36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（3）</w:t>
            </w:r>
            <w:r>
              <w:rPr>
                <w:rFonts w:hint="eastAsia" w:ascii="仿宋" w:hAnsi="仿宋" w:eastAsia="仿宋" w:cs="仿宋"/>
                <w:color w:val="auto"/>
                <w:sz w:val="21"/>
                <w:szCs w:val="21"/>
                <w:highlight w:val="none"/>
              </w:rPr>
              <w:t>对本项目特点和难点理解有待提升，方案基本适合本项目采购需求，可行性、实用性、针对性有待改善，得</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分；</w:t>
            </w:r>
          </w:p>
          <w:p w14:paraId="1F9F2897">
            <w:pPr>
              <w:widowControl/>
              <w:spacing w:line="400" w:lineRule="exact"/>
              <w:rPr>
                <w:rFonts w:hint="eastAsia" w:ascii="仿宋" w:hAnsi="仿宋" w:eastAsia="仿宋" w:cs="仿宋"/>
                <w:sz w:val="21"/>
                <w:szCs w:val="21"/>
                <w:highlight w:val="none"/>
              </w:rPr>
            </w:pPr>
            <w:r>
              <w:rPr>
                <w:rFonts w:hint="eastAsia" w:ascii="仿宋" w:hAnsi="仿宋" w:eastAsia="仿宋" w:cs="仿宋"/>
                <w:color w:val="auto"/>
                <w:sz w:val="21"/>
                <w:szCs w:val="21"/>
                <w:highlight w:val="none"/>
                <w:lang w:eastAsia="zh-CN"/>
              </w:rPr>
              <w:t>（4）</w:t>
            </w:r>
            <w:r>
              <w:rPr>
                <w:rFonts w:hint="eastAsia" w:ascii="仿宋" w:hAnsi="仿宋" w:eastAsia="仿宋" w:cs="仿宋"/>
                <w:color w:val="auto"/>
                <w:sz w:val="21"/>
                <w:szCs w:val="21"/>
                <w:highlight w:val="none"/>
              </w:rPr>
              <w:t>方案不可行或者未提供得0分。</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26285D61">
            <w:pPr>
              <w:spacing w:line="400" w:lineRule="exact"/>
              <w:jc w:val="center"/>
              <w:rPr>
                <w:rFonts w:hint="eastAsia" w:ascii="仿宋" w:hAnsi="仿宋" w:eastAsia="仿宋" w:cs="仿宋"/>
                <w:b/>
                <w:bCs/>
                <w:sz w:val="21"/>
                <w:szCs w:val="21"/>
                <w:highlight w:val="none"/>
                <w:lang w:val="en-US" w:eastAsia="zh-CN"/>
              </w:rPr>
            </w:pPr>
          </w:p>
        </w:tc>
      </w:tr>
      <w:tr w14:paraId="175B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1470" w:type="dxa"/>
            <w:vMerge w:val="continue"/>
            <w:tcBorders>
              <w:left w:val="single" w:color="auto" w:sz="4" w:space="0"/>
              <w:right w:val="single" w:color="auto" w:sz="4" w:space="0"/>
            </w:tcBorders>
            <w:noWrap w:val="0"/>
            <w:vAlign w:val="center"/>
          </w:tcPr>
          <w:p w14:paraId="59597BA0">
            <w:pPr>
              <w:spacing w:line="400" w:lineRule="exact"/>
              <w:jc w:val="center"/>
              <w:rPr>
                <w:rFonts w:hint="eastAsia" w:ascii="仿宋" w:hAnsi="仿宋" w:eastAsia="仿宋" w:cs="仿宋"/>
                <w:b/>
                <w:bCs/>
                <w:sz w:val="21"/>
                <w:szCs w:val="21"/>
                <w:highlight w:val="none"/>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14:paraId="6356C2CD">
            <w:pPr>
              <w:widowControl/>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配送方案</w:t>
            </w:r>
          </w:p>
        </w:tc>
        <w:tc>
          <w:tcPr>
            <w:tcW w:w="4394" w:type="dxa"/>
            <w:tcBorders>
              <w:top w:val="single" w:color="auto" w:sz="4" w:space="0"/>
              <w:left w:val="single" w:color="auto" w:sz="4" w:space="0"/>
              <w:bottom w:val="single" w:color="auto" w:sz="4" w:space="0"/>
              <w:right w:val="single" w:color="auto" w:sz="4" w:space="0"/>
            </w:tcBorders>
            <w:noWrap w:val="0"/>
            <w:vAlign w:val="center"/>
          </w:tcPr>
          <w:p w14:paraId="03484300">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投标人</w:t>
            </w:r>
            <w:r>
              <w:rPr>
                <w:rFonts w:hint="eastAsia" w:ascii="仿宋" w:hAnsi="仿宋" w:eastAsia="仿宋" w:cs="仿宋"/>
                <w:sz w:val="21"/>
                <w:szCs w:val="21"/>
                <w:highlight w:val="none"/>
              </w:rPr>
              <w:t>针对本项目理解</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根据项目实际需求，提供符合本项目的</w:t>
            </w:r>
            <w:r>
              <w:rPr>
                <w:rFonts w:hint="eastAsia" w:ascii="仿宋" w:hAnsi="仿宋" w:eastAsia="仿宋" w:cs="仿宋"/>
                <w:sz w:val="21"/>
                <w:szCs w:val="21"/>
                <w:highlight w:val="none"/>
                <w:lang w:val="en-US" w:eastAsia="zh-CN"/>
              </w:rPr>
              <w:t>配送方案</w:t>
            </w:r>
            <w:r>
              <w:rPr>
                <w:rFonts w:hint="eastAsia" w:ascii="仿宋" w:hAnsi="仿宋" w:eastAsia="仿宋" w:cs="仿宋"/>
                <w:sz w:val="21"/>
                <w:szCs w:val="21"/>
                <w:highlight w:val="none"/>
              </w:rPr>
              <w:t>，</w:t>
            </w:r>
            <w:r>
              <w:rPr>
                <w:rFonts w:hint="eastAsia" w:ascii="仿宋" w:hAnsi="仿宋" w:eastAsia="仿宋" w:cs="仿宋"/>
                <w:color w:val="auto"/>
                <w:sz w:val="21"/>
                <w:szCs w:val="21"/>
                <w:highlight w:val="none"/>
              </w:rPr>
              <w:t>内容包括</w:t>
            </w:r>
            <w:r>
              <w:rPr>
                <w:rFonts w:hint="eastAsia" w:ascii="仿宋" w:hAnsi="仿宋" w:eastAsia="仿宋" w:cs="仿宋"/>
                <w:sz w:val="21"/>
                <w:szCs w:val="21"/>
                <w:highlight w:val="none"/>
              </w:rPr>
              <w:t>：</w:t>
            </w:r>
          </w:p>
          <w:p w14:paraId="1153675A">
            <w:pPr>
              <w:widowControl/>
              <w:adjustRightInd w:val="0"/>
              <w:snapToGrid w:val="0"/>
              <w:spacing w:line="36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
              </w:rPr>
              <w:t>①</w:t>
            </w:r>
            <w:r>
              <w:rPr>
                <w:rFonts w:hint="eastAsia" w:ascii="仿宋" w:hAnsi="仿宋" w:eastAsia="仿宋" w:cs="仿宋"/>
                <w:color w:val="000000"/>
                <w:kern w:val="0"/>
                <w:sz w:val="21"/>
                <w:szCs w:val="21"/>
                <w:highlight w:val="none"/>
                <w:lang w:val="en-US" w:eastAsia="zh-CN" w:bidi="ar"/>
              </w:rPr>
              <w:t>配送过程中耗材保护方案</w:t>
            </w:r>
            <w:r>
              <w:rPr>
                <w:rFonts w:hint="eastAsia" w:ascii="仿宋" w:hAnsi="仿宋" w:eastAsia="仿宋" w:cs="仿宋"/>
                <w:color w:val="auto"/>
                <w:kern w:val="2"/>
                <w:sz w:val="21"/>
                <w:szCs w:val="21"/>
                <w:highlight w:val="none"/>
                <w:lang w:val="en-US" w:eastAsia="zh-CN" w:bidi="ar-SA"/>
              </w:rPr>
              <w:t>；</w:t>
            </w:r>
          </w:p>
          <w:p w14:paraId="16A9759D">
            <w:pPr>
              <w:widowControl/>
              <w:adjustRightInd w:val="0"/>
              <w:snapToGrid w:val="0"/>
              <w:spacing w:line="36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
              </w:rPr>
              <w:t>②</w:t>
            </w:r>
            <w:r>
              <w:rPr>
                <w:rFonts w:hint="eastAsia" w:ascii="仿宋" w:hAnsi="仿宋" w:eastAsia="仿宋" w:cs="仿宋"/>
                <w:color w:val="000000"/>
                <w:kern w:val="0"/>
                <w:sz w:val="21"/>
                <w:szCs w:val="21"/>
                <w:highlight w:val="none"/>
                <w:lang w:val="en-US" w:eastAsia="zh-CN" w:bidi="ar"/>
              </w:rPr>
              <w:t>紧急配送方案</w:t>
            </w:r>
            <w:r>
              <w:rPr>
                <w:rFonts w:hint="eastAsia" w:ascii="仿宋" w:hAnsi="仿宋" w:eastAsia="仿宋" w:cs="仿宋"/>
                <w:color w:val="auto"/>
                <w:kern w:val="2"/>
                <w:sz w:val="21"/>
                <w:szCs w:val="21"/>
                <w:highlight w:val="none"/>
                <w:lang w:val="en-US" w:eastAsia="zh-CN" w:bidi="ar-SA"/>
              </w:rPr>
              <w:t>；</w:t>
            </w:r>
          </w:p>
          <w:p w14:paraId="35ADEBB5">
            <w:pPr>
              <w:widowControl/>
              <w:adjustRightInd w:val="0"/>
              <w:snapToGrid w:val="0"/>
              <w:spacing w:line="360" w:lineRule="auto"/>
              <w:rPr>
                <w:rFonts w:hint="eastAsia" w:ascii="仿宋" w:hAnsi="仿宋" w:eastAsia="仿宋" w:cs="仿宋"/>
                <w:color w:val="auto"/>
                <w:sz w:val="21"/>
                <w:szCs w:val="21"/>
                <w:highlight w:val="none"/>
                <w:lang w:val="en-US" w:eastAsia="zh-CN"/>
              </w:rPr>
            </w:pPr>
            <w:r>
              <w:rPr>
                <w:rFonts w:hint="eastAsia" w:ascii="仿宋" w:hAnsi="仿宋" w:eastAsia="仿宋" w:cs="仿宋"/>
                <w:kern w:val="2"/>
                <w:sz w:val="21"/>
                <w:szCs w:val="21"/>
                <w:highlight w:val="none"/>
                <w:lang w:val="en-US" w:eastAsia="zh-CN" w:bidi="ar"/>
              </w:rPr>
              <w:t>③</w:t>
            </w:r>
            <w:r>
              <w:rPr>
                <w:rFonts w:hint="eastAsia" w:ascii="仿宋" w:hAnsi="仿宋" w:eastAsia="仿宋" w:cs="仿宋"/>
                <w:sz w:val="21"/>
                <w:szCs w:val="21"/>
                <w:highlight w:val="none"/>
              </w:rPr>
              <w:t>落实及时送达的具体安排及应急预案和响应措施</w:t>
            </w:r>
            <w:r>
              <w:rPr>
                <w:rFonts w:hint="eastAsia" w:ascii="仿宋" w:hAnsi="仿宋" w:eastAsia="仿宋" w:cs="仿宋"/>
                <w:sz w:val="21"/>
                <w:szCs w:val="21"/>
                <w:highlight w:val="none"/>
                <w:lang w:eastAsia="zh-CN"/>
              </w:rPr>
              <w:t>等。</w:t>
            </w:r>
          </w:p>
          <w:p w14:paraId="0B330842">
            <w:pPr>
              <w:widowControl/>
              <w:adjustRightInd w:val="0"/>
              <w:snapToGrid w:val="0"/>
              <w:spacing w:line="36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评标委员会根据</w:t>
            </w:r>
            <w:r>
              <w:rPr>
                <w:rFonts w:hint="eastAsia" w:ascii="仿宋" w:hAnsi="仿宋" w:eastAsia="仿宋" w:cs="仿宋"/>
                <w:sz w:val="21"/>
                <w:szCs w:val="21"/>
                <w:highlight w:val="none"/>
                <w:lang w:val="en-US" w:eastAsia="zh-CN"/>
              </w:rPr>
              <w:t>投标人</w:t>
            </w:r>
            <w:r>
              <w:rPr>
                <w:rFonts w:hint="eastAsia" w:ascii="仿宋" w:hAnsi="仿宋" w:eastAsia="仿宋" w:cs="仿宋"/>
                <w:color w:val="auto"/>
                <w:sz w:val="21"/>
                <w:szCs w:val="21"/>
                <w:highlight w:val="none"/>
                <w:lang w:val="en-US" w:eastAsia="zh-CN"/>
              </w:rPr>
              <w:t>提供的方案，进行综合评审：</w:t>
            </w:r>
          </w:p>
          <w:p w14:paraId="21A3DFFB">
            <w:pPr>
              <w:widowControl/>
              <w:numPr>
                <w:ilvl w:val="0"/>
                <w:numId w:val="0"/>
              </w:numPr>
              <w:adjustRightInd w:val="0"/>
              <w:snapToGrid w:val="0"/>
              <w:spacing w:line="360" w:lineRule="auto"/>
              <w:rPr>
                <w:rFonts w:hint="eastAsia" w:ascii="仿宋" w:hAnsi="仿宋" w:eastAsia="仿宋" w:cs="仿宋"/>
                <w:color w:val="auto"/>
                <w:sz w:val="21"/>
                <w:szCs w:val="21"/>
                <w:highlight w:val="none"/>
                <w:lang w:eastAsia="zh-CN"/>
              </w:rPr>
            </w:pPr>
            <w:r>
              <w:rPr>
                <w:rFonts w:hint="eastAsia" w:ascii="仿宋" w:hAnsi="仿宋" w:eastAsia="仿宋" w:cs="仿宋"/>
                <w:color w:val="auto"/>
                <w:kern w:val="2"/>
                <w:sz w:val="21"/>
                <w:szCs w:val="21"/>
                <w:highlight w:val="none"/>
                <w:lang w:val="en-US" w:eastAsia="zh-CN" w:bidi="ar-SA"/>
              </w:rPr>
              <w:t>（1）</w:t>
            </w:r>
            <w:r>
              <w:rPr>
                <w:rFonts w:hint="eastAsia" w:ascii="仿宋" w:hAnsi="仿宋" w:eastAsia="仿宋" w:cs="仿宋"/>
                <w:color w:val="auto"/>
                <w:sz w:val="21"/>
                <w:szCs w:val="21"/>
                <w:highlight w:val="none"/>
              </w:rPr>
              <w:t>对本项目特点和难点理解准确，方案优于本项目采购需求，完整详细，可行性、实用性、针对性强，得</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分；</w:t>
            </w:r>
          </w:p>
          <w:p w14:paraId="0571F431">
            <w:pPr>
              <w:widowControl/>
              <w:numPr>
                <w:ilvl w:val="0"/>
                <w:numId w:val="0"/>
              </w:numPr>
              <w:adjustRightInd w:val="0"/>
              <w:snapToGrid w:val="0"/>
              <w:spacing w:line="36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（2）</w:t>
            </w:r>
            <w:r>
              <w:rPr>
                <w:rFonts w:hint="eastAsia" w:ascii="仿宋" w:hAnsi="仿宋" w:eastAsia="仿宋" w:cs="仿宋"/>
                <w:color w:val="auto"/>
                <w:sz w:val="21"/>
                <w:szCs w:val="21"/>
                <w:highlight w:val="none"/>
              </w:rPr>
              <w:t>对本项目特点和难点理解基本准确，方案适合本项目采购需求，完整详细，具有可行性、实用性和针对性，得</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分；</w:t>
            </w:r>
          </w:p>
          <w:p w14:paraId="090AAA4D">
            <w:pPr>
              <w:widowControl/>
              <w:numPr>
                <w:ilvl w:val="0"/>
                <w:numId w:val="0"/>
              </w:numPr>
              <w:adjustRightInd w:val="0"/>
              <w:snapToGrid w:val="0"/>
              <w:spacing w:line="36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（3）</w:t>
            </w:r>
            <w:r>
              <w:rPr>
                <w:rFonts w:hint="eastAsia" w:ascii="仿宋" w:hAnsi="仿宋" w:eastAsia="仿宋" w:cs="仿宋"/>
                <w:color w:val="auto"/>
                <w:sz w:val="21"/>
                <w:szCs w:val="21"/>
                <w:highlight w:val="none"/>
              </w:rPr>
              <w:t>对本项目特点和难点理解有待提升，方案基本适合本项目采购需求，可行性、实用性、针对性有待改善，得</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分；</w:t>
            </w:r>
          </w:p>
          <w:p w14:paraId="3C4AEF34">
            <w:pPr>
              <w:widowControl/>
              <w:spacing w:line="400" w:lineRule="exact"/>
              <w:rPr>
                <w:rFonts w:hint="eastAsia" w:ascii="仿宋" w:hAnsi="仿宋" w:eastAsia="仿宋" w:cs="仿宋"/>
                <w:sz w:val="21"/>
                <w:szCs w:val="21"/>
                <w:highlight w:val="none"/>
              </w:rPr>
            </w:pPr>
            <w:r>
              <w:rPr>
                <w:rFonts w:hint="eastAsia" w:ascii="仿宋" w:hAnsi="仿宋" w:eastAsia="仿宋" w:cs="仿宋"/>
                <w:color w:val="auto"/>
                <w:sz w:val="21"/>
                <w:szCs w:val="21"/>
                <w:highlight w:val="none"/>
                <w:lang w:eastAsia="zh-CN"/>
              </w:rPr>
              <w:t>（4）</w:t>
            </w:r>
            <w:r>
              <w:rPr>
                <w:rFonts w:hint="eastAsia" w:ascii="仿宋" w:hAnsi="仿宋" w:eastAsia="仿宋" w:cs="仿宋"/>
                <w:color w:val="auto"/>
                <w:sz w:val="21"/>
                <w:szCs w:val="21"/>
                <w:highlight w:val="none"/>
              </w:rPr>
              <w:t>方案不可行或者未提供得0分。</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C2B5B5B">
            <w:pPr>
              <w:spacing w:line="400" w:lineRule="exact"/>
              <w:jc w:val="center"/>
              <w:rPr>
                <w:rFonts w:hint="eastAsia" w:ascii="仿宋" w:hAnsi="仿宋" w:eastAsia="仿宋" w:cs="仿宋"/>
                <w:b/>
                <w:bCs/>
                <w:sz w:val="21"/>
                <w:szCs w:val="21"/>
                <w:highlight w:val="none"/>
                <w:lang w:val="en-US" w:eastAsia="zh-CN"/>
              </w:rPr>
            </w:pPr>
          </w:p>
        </w:tc>
      </w:tr>
      <w:tr w14:paraId="76494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1470" w:type="dxa"/>
            <w:vMerge w:val="continue"/>
            <w:tcBorders>
              <w:left w:val="single" w:color="auto" w:sz="4" w:space="0"/>
              <w:right w:val="single" w:color="auto" w:sz="4" w:space="0"/>
            </w:tcBorders>
            <w:noWrap w:val="0"/>
            <w:vAlign w:val="center"/>
          </w:tcPr>
          <w:p w14:paraId="190B49AC">
            <w:pPr>
              <w:spacing w:line="400" w:lineRule="exact"/>
              <w:jc w:val="center"/>
              <w:rPr>
                <w:rFonts w:hint="eastAsia" w:ascii="仿宋" w:hAnsi="仿宋" w:eastAsia="仿宋" w:cs="仿宋"/>
                <w:b/>
                <w:bCs/>
                <w:sz w:val="21"/>
                <w:szCs w:val="21"/>
                <w:highlight w:val="none"/>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14:paraId="4289E661">
            <w:pPr>
              <w:widowControl/>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售后服务方案</w:t>
            </w:r>
          </w:p>
        </w:tc>
        <w:tc>
          <w:tcPr>
            <w:tcW w:w="4394" w:type="dxa"/>
            <w:tcBorders>
              <w:top w:val="single" w:color="auto" w:sz="4" w:space="0"/>
              <w:left w:val="single" w:color="auto" w:sz="4" w:space="0"/>
              <w:bottom w:val="single" w:color="auto" w:sz="4" w:space="0"/>
              <w:right w:val="single" w:color="auto" w:sz="4" w:space="0"/>
            </w:tcBorders>
            <w:noWrap w:val="0"/>
            <w:vAlign w:val="center"/>
          </w:tcPr>
          <w:p w14:paraId="0EFBA98B">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投标人</w:t>
            </w:r>
            <w:r>
              <w:rPr>
                <w:rFonts w:hint="eastAsia" w:ascii="仿宋" w:hAnsi="仿宋" w:eastAsia="仿宋" w:cs="仿宋"/>
                <w:sz w:val="21"/>
                <w:szCs w:val="21"/>
                <w:highlight w:val="none"/>
              </w:rPr>
              <w:t>针对本项目理解</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根据项目实际需求，提供符合本项目的</w:t>
            </w:r>
            <w:r>
              <w:rPr>
                <w:rFonts w:hint="eastAsia" w:ascii="仿宋" w:hAnsi="仿宋" w:eastAsia="仿宋" w:cs="仿宋"/>
                <w:sz w:val="21"/>
                <w:szCs w:val="21"/>
                <w:highlight w:val="none"/>
                <w:lang w:val="en-US" w:eastAsia="zh-CN"/>
              </w:rPr>
              <w:t>售后服务方案</w:t>
            </w:r>
            <w:r>
              <w:rPr>
                <w:rFonts w:hint="eastAsia" w:ascii="仿宋" w:hAnsi="仿宋" w:eastAsia="仿宋" w:cs="仿宋"/>
                <w:sz w:val="21"/>
                <w:szCs w:val="21"/>
                <w:highlight w:val="none"/>
              </w:rPr>
              <w:t>，</w:t>
            </w:r>
            <w:r>
              <w:rPr>
                <w:rFonts w:hint="eastAsia" w:ascii="仿宋" w:hAnsi="仿宋" w:eastAsia="仿宋" w:cs="仿宋"/>
                <w:color w:val="auto"/>
                <w:sz w:val="21"/>
                <w:szCs w:val="21"/>
                <w:highlight w:val="none"/>
              </w:rPr>
              <w:t>内容包括</w:t>
            </w:r>
            <w:r>
              <w:rPr>
                <w:rFonts w:hint="eastAsia" w:ascii="仿宋" w:hAnsi="仿宋" w:eastAsia="仿宋" w:cs="仿宋"/>
                <w:sz w:val="21"/>
                <w:szCs w:val="21"/>
                <w:highlight w:val="none"/>
              </w:rPr>
              <w:t>：</w:t>
            </w:r>
          </w:p>
          <w:p w14:paraId="4D8BE3B3">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①售后服务保障措施；</w:t>
            </w:r>
          </w:p>
          <w:p w14:paraId="72E37B58">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②售后人员配备；</w:t>
            </w:r>
          </w:p>
          <w:p w14:paraId="63DF7D4A">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③售后服务响应速度。</w:t>
            </w:r>
          </w:p>
          <w:p w14:paraId="4EC9DFB9">
            <w:pPr>
              <w:widowControl/>
              <w:adjustRightInd w:val="0"/>
              <w:snapToGrid w:val="0"/>
              <w:spacing w:line="36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评标委员会根据</w:t>
            </w:r>
            <w:r>
              <w:rPr>
                <w:rFonts w:hint="eastAsia" w:ascii="仿宋" w:hAnsi="仿宋" w:eastAsia="仿宋" w:cs="仿宋"/>
                <w:sz w:val="21"/>
                <w:szCs w:val="21"/>
                <w:highlight w:val="none"/>
                <w:lang w:val="en-US" w:eastAsia="zh-CN"/>
              </w:rPr>
              <w:t>投标人</w:t>
            </w:r>
            <w:r>
              <w:rPr>
                <w:rFonts w:hint="eastAsia" w:ascii="仿宋" w:hAnsi="仿宋" w:eastAsia="仿宋" w:cs="仿宋"/>
                <w:color w:val="auto"/>
                <w:sz w:val="21"/>
                <w:szCs w:val="21"/>
                <w:highlight w:val="none"/>
                <w:lang w:val="en-US" w:eastAsia="zh-CN"/>
              </w:rPr>
              <w:t>提供的方案，进行综合评审：</w:t>
            </w:r>
          </w:p>
          <w:p w14:paraId="46197266">
            <w:pPr>
              <w:widowControl/>
              <w:numPr>
                <w:ilvl w:val="0"/>
                <w:numId w:val="0"/>
              </w:numPr>
              <w:adjustRightInd w:val="0"/>
              <w:snapToGrid w:val="0"/>
              <w:spacing w:line="360" w:lineRule="auto"/>
              <w:rPr>
                <w:rFonts w:hint="eastAsia" w:ascii="仿宋" w:hAnsi="仿宋" w:eastAsia="仿宋" w:cs="仿宋"/>
                <w:color w:val="auto"/>
                <w:sz w:val="21"/>
                <w:szCs w:val="21"/>
                <w:highlight w:val="none"/>
                <w:lang w:eastAsia="zh-CN"/>
              </w:rPr>
            </w:pPr>
            <w:r>
              <w:rPr>
                <w:rFonts w:hint="eastAsia" w:ascii="仿宋" w:hAnsi="仿宋" w:eastAsia="仿宋" w:cs="仿宋"/>
                <w:color w:val="auto"/>
                <w:kern w:val="2"/>
                <w:sz w:val="21"/>
                <w:szCs w:val="21"/>
                <w:highlight w:val="none"/>
                <w:lang w:val="en-US" w:eastAsia="zh-CN" w:bidi="ar-SA"/>
              </w:rPr>
              <w:t>（1）</w:t>
            </w:r>
            <w:r>
              <w:rPr>
                <w:rFonts w:hint="eastAsia" w:ascii="仿宋" w:hAnsi="仿宋" w:eastAsia="仿宋" w:cs="仿宋"/>
                <w:color w:val="auto"/>
                <w:sz w:val="21"/>
                <w:szCs w:val="21"/>
                <w:highlight w:val="none"/>
              </w:rPr>
              <w:t>对本项目特点和难点理解准确，方案优于本项目采购需求，完整详细，可行性、实用性、针对性强，得</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分；</w:t>
            </w:r>
          </w:p>
          <w:p w14:paraId="23A0AF73">
            <w:pPr>
              <w:widowControl/>
              <w:numPr>
                <w:ilvl w:val="0"/>
                <w:numId w:val="0"/>
              </w:numPr>
              <w:adjustRightInd w:val="0"/>
              <w:snapToGrid w:val="0"/>
              <w:spacing w:line="36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（2）</w:t>
            </w:r>
            <w:r>
              <w:rPr>
                <w:rFonts w:hint="eastAsia" w:ascii="仿宋" w:hAnsi="仿宋" w:eastAsia="仿宋" w:cs="仿宋"/>
                <w:color w:val="auto"/>
                <w:sz w:val="21"/>
                <w:szCs w:val="21"/>
                <w:highlight w:val="none"/>
              </w:rPr>
              <w:t>对本项目特点和难点理解基本准确，方案适合本项目采购需求，完整详细，具有可行性、实用性和针对性，得</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分；</w:t>
            </w:r>
          </w:p>
          <w:p w14:paraId="15FF9565">
            <w:pPr>
              <w:widowControl/>
              <w:numPr>
                <w:ilvl w:val="0"/>
                <w:numId w:val="0"/>
              </w:numPr>
              <w:adjustRightInd w:val="0"/>
              <w:snapToGrid w:val="0"/>
              <w:spacing w:line="36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（3）</w:t>
            </w:r>
            <w:r>
              <w:rPr>
                <w:rFonts w:hint="eastAsia" w:ascii="仿宋" w:hAnsi="仿宋" w:eastAsia="仿宋" w:cs="仿宋"/>
                <w:color w:val="auto"/>
                <w:sz w:val="21"/>
                <w:szCs w:val="21"/>
                <w:highlight w:val="none"/>
              </w:rPr>
              <w:t>对本项目特点和难点理解有待提升，方案基本适合本项目采购需求，可行性、实用性、针对性有待改善，得</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分；</w:t>
            </w:r>
          </w:p>
          <w:p w14:paraId="447A11A6">
            <w:pPr>
              <w:widowControl/>
              <w:spacing w:line="400" w:lineRule="exact"/>
              <w:rPr>
                <w:rFonts w:hint="eastAsia" w:ascii="仿宋" w:hAnsi="仿宋" w:eastAsia="仿宋" w:cs="仿宋"/>
                <w:sz w:val="21"/>
                <w:szCs w:val="21"/>
                <w:highlight w:val="none"/>
              </w:rPr>
            </w:pPr>
            <w:r>
              <w:rPr>
                <w:rFonts w:hint="eastAsia" w:ascii="仿宋" w:hAnsi="仿宋" w:eastAsia="仿宋" w:cs="仿宋"/>
                <w:color w:val="auto"/>
                <w:sz w:val="21"/>
                <w:szCs w:val="21"/>
                <w:highlight w:val="none"/>
                <w:lang w:eastAsia="zh-CN"/>
              </w:rPr>
              <w:t>（4）</w:t>
            </w:r>
            <w:r>
              <w:rPr>
                <w:rFonts w:hint="eastAsia" w:ascii="仿宋" w:hAnsi="仿宋" w:eastAsia="仿宋" w:cs="仿宋"/>
                <w:color w:val="auto"/>
                <w:sz w:val="21"/>
                <w:szCs w:val="21"/>
                <w:highlight w:val="none"/>
              </w:rPr>
              <w:t>方案不可行或者未提供得0分。</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4BF0CC62">
            <w:pPr>
              <w:spacing w:line="400" w:lineRule="exact"/>
              <w:jc w:val="center"/>
              <w:rPr>
                <w:rFonts w:hint="eastAsia" w:ascii="仿宋" w:hAnsi="仿宋" w:eastAsia="仿宋" w:cs="仿宋"/>
                <w:b/>
                <w:bCs/>
                <w:sz w:val="21"/>
                <w:szCs w:val="21"/>
                <w:highlight w:val="none"/>
                <w:lang w:val="en-US" w:eastAsia="zh-CN"/>
              </w:rPr>
            </w:pPr>
          </w:p>
        </w:tc>
      </w:tr>
      <w:tr w14:paraId="154C3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1470" w:type="dxa"/>
            <w:vMerge w:val="continue"/>
            <w:tcBorders>
              <w:left w:val="single" w:color="auto" w:sz="4" w:space="0"/>
              <w:right w:val="single" w:color="auto" w:sz="4" w:space="0"/>
            </w:tcBorders>
            <w:noWrap w:val="0"/>
            <w:vAlign w:val="center"/>
          </w:tcPr>
          <w:p w14:paraId="47AFF5AC">
            <w:pPr>
              <w:spacing w:line="400" w:lineRule="exact"/>
              <w:jc w:val="center"/>
              <w:rPr>
                <w:rFonts w:hint="eastAsia" w:ascii="仿宋" w:hAnsi="仿宋" w:eastAsia="仿宋" w:cs="仿宋"/>
                <w:b/>
                <w:bCs/>
                <w:sz w:val="21"/>
                <w:szCs w:val="21"/>
                <w:highlight w:val="none"/>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14:paraId="650BD3CF">
            <w:pPr>
              <w:widowControl/>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应急方案</w:t>
            </w:r>
          </w:p>
        </w:tc>
        <w:tc>
          <w:tcPr>
            <w:tcW w:w="4394" w:type="dxa"/>
            <w:tcBorders>
              <w:top w:val="single" w:color="auto" w:sz="4" w:space="0"/>
              <w:left w:val="single" w:color="auto" w:sz="4" w:space="0"/>
              <w:bottom w:val="single" w:color="auto" w:sz="4" w:space="0"/>
              <w:right w:val="single" w:color="auto" w:sz="4" w:space="0"/>
            </w:tcBorders>
            <w:noWrap w:val="0"/>
            <w:vAlign w:val="center"/>
          </w:tcPr>
          <w:p w14:paraId="1D982C99">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投标人</w:t>
            </w:r>
            <w:r>
              <w:rPr>
                <w:rFonts w:hint="eastAsia" w:ascii="仿宋" w:hAnsi="仿宋" w:eastAsia="仿宋" w:cs="仿宋"/>
                <w:sz w:val="21"/>
                <w:szCs w:val="21"/>
                <w:highlight w:val="none"/>
              </w:rPr>
              <w:t>针对本项目理解</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根据项目实际需求，提供符合本项目的</w:t>
            </w:r>
            <w:r>
              <w:rPr>
                <w:rFonts w:hint="eastAsia" w:ascii="仿宋" w:hAnsi="仿宋" w:eastAsia="仿宋" w:cs="仿宋"/>
                <w:sz w:val="21"/>
                <w:szCs w:val="21"/>
                <w:highlight w:val="none"/>
                <w:lang w:val="en-US" w:eastAsia="zh-CN"/>
              </w:rPr>
              <w:t>应急方案</w:t>
            </w:r>
            <w:r>
              <w:rPr>
                <w:rFonts w:hint="eastAsia" w:ascii="仿宋" w:hAnsi="仿宋" w:eastAsia="仿宋" w:cs="仿宋"/>
                <w:sz w:val="21"/>
                <w:szCs w:val="21"/>
                <w:highlight w:val="none"/>
              </w:rPr>
              <w:t>，</w:t>
            </w:r>
            <w:r>
              <w:rPr>
                <w:rFonts w:hint="eastAsia" w:ascii="仿宋" w:hAnsi="仿宋" w:eastAsia="仿宋" w:cs="仿宋"/>
                <w:color w:val="auto"/>
                <w:sz w:val="21"/>
                <w:szCs w:val="21"/>
                <w:highlight w:val="none"/>
              </w:rPr>
              <w:t>内容包括</w:t>
            </w:r>
            <w:r>
              <w:rPr>
                <w:rFonts w:hint="eastAsia" w:ascii="仿宋" w:hAnsi="仿宋" w:eastAsia="仿宋" w:cs="仿宋"/>
                <w:sz w:val="21"/>
                <w:szCs w:val="21"/>
                <w:highlight w:val="none"/>
              </w:rPr>
              <w:t>：</w:t>
            </w:r>
          </w:p>
          <w:p w14:paraId="2C7E0A3F">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①应急小组人员配置；</w:t>
            </w:r>
          </w:p>
          <w:p w14:paraId="1700BB2E">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②应急处置办法及保障措施；</w:t>
            </w:r>
          </w:p>
          <w:p w14:paraId="03107313">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③解决紧缺品种供应措施。</w:t>
            </w:r>
          </w:p>
          <w:p w14:paraId="48B50949">
            <w:pPr>
              <w:widowControl/>
              <w:adjustRightInd w:val="0"/>
              <w:snapToGrid w:val="0"/>
              <w:spacing w:line="36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评标委员会根据</w:t>
            </w:r>
            <w:r>
              <w:rPr>
                <w:rFonts w:hint="eastAsia" w:ascii="仿宋" w:hAnsi="仿宋" w:eastAsia="仿宋" w:cs="仿宋"/>
                <w:sz w:val="21"/>
                <w:szCs w:val="21"/>
                <w:highlight w:val="none"/>
                <w:lang w:val="en-US" w:eastAsia="zh-CN"/>
              </w:rPr>
              <w:t>投标人</w:t>
            </w:r>
            <w:r>
              <w:rPr>
                <w:rFonts w:hint="eastAsia" w:ascii="仿宋" w:hAnsi="仿宋" w:eastAsia="仿宋" w:cs="仿宋"/>
                <w:color w:val="auto"/>
                <w:sz w:val="21"/>
                <w:szCs w:val="21"/>
                <w:highlight w:val="none"/>
                <w:lang w:val="en-US" w:eastAsia="zh-CN"/>
              </w:rPr>
              <w:t>提供的方案，进行综合评审：</w:t>
            </w:r>
          </w:p>
          <w:p w14:paraId="015E6024">
            <w:pPr>
              <w:widowControl/>
              <w:numPr>
                <w:ilvl w:val="0"/>
                <w:numId w:val="0"/>
              </w:numPr>
              <w:adjustRightInd w:val="0"/>
              <w:snapToGrid w:val="0"/>
              <w:spacing w:line="360" w:lineRule="auto"/>
              <w:rPr>
                <w:rFonts w:hint="eastAsia" w:ascii="仿宋" w:hAnsi="仿宋" w:eastAsia="仿宋" w:cs="仿宋"/>
                <w:color w:val="auto"/>
                <w:sz w:val="21"/>
                <w:szCs w:val="21"/>
                <w:highlight w:val="none"/>
                <w:lang w:eastAsia="zh-CN"/>
              </w:rPr>
            </w:pPr>
            <w:r>
              <w:rPr>
                <w:rFonts w:hint="eastAsia" w:ascii="仿宋" w:hAnsi="仿宋" w:eastAsia="仿宋" w:cs="仿宋"/>
                <w:color w:val="auto"/>
                <w:kern w:val="2"/>
                <w:sz w:val="21"/>
                <w:szCs w:val="21"/>
                <w:highlight w:val="none"/>
                <w:lang w:val="en-US" w:eastAsia="zh-CN" w:bidi="ar-SA"/>
              </w:rPr>
              <w:t>（1）</w:t>
            </w:r>
            <w:r>
              <w:rPr>
                <w:rFonts w:hint="eastAsia" w:ascii="仿宋" w:hAnsi="仿宋" w:eastAsia="仿宋" w:cs="仿宋"/>
                <w:color w:val="auto"/>
                <w:sz w:val="21"/>
                <w:szCs w:val="21"/>
                <w:highlight w:val="none"/>
              </w:rPr>
              <w:t>对本项目特点和难点理解准确，方案优于本项目采购需求，完整详细，可行性、实用性、针对性强，得</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分；</w:t>
            </w:r>
          </w:p>
          <w:p w14:paraId="5538BBAB">
            <w:pPr>
              <w:widowControl/>
              <w:numPr>
                <w:ilvl w:val="0"/>
                <w:numId w:val="0"/>
              </w:numPr>
              <w:adjustRightInd w:val="0"/>
              <w:snapToGrid w:val="0"/>
              <w:spacing w:line="36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（2）</w:t>
            </w:r>
            <w:r>
              <w:rPr>
                <w:rFonts w:hint="eastAsia" w:ascii="仿宋" w:hAnsi="仿宋" w:eastAsia="仿宋" w:cs="仿宋"/>
                <w:color w:val="auto"/>
                <w:sz w:val="21"/>
                <w:szCs w:val="21"/>
                <w:highlight w:val="none"/>
              </w:rPr>
              <w:t>对本项目特点和难点理解基本准确，方案适合本项目采购需求，完整详细，具有可行性、实用性和针对性，得</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分；</w:t>
            </w:r>
          </w:p>
          <w:p w14:paraId="2B16D46D">
            <w:pPr>
              <w:widowControl/>
              <w:numPr>
                <w:ilvl w:val="0"/>
                <w:numId w:val="0"/>
              </w:numPr>
              <w:adjustRightInd w:val="0"/>
              <w:snapToGrid w:val="0"/>
              <w:spacing w:line="36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（3）</w:t>
            </w:r>
            <w:r>
              <w:rPr>
                <w:rFonts w:hint="eastAsia" w:ascii="仿宋" w:hAnsi="仿宋" w:eastAsia="仿宋" w:cs="仿宋"/>
                <w:color w:val="auto"/>
                <w:sz w:val="21"/>
                <w:szCs w:val="21"/>
                <w:highlight w:val="none"/>
              </w:rPr>
              <w:t>对本项目特点和难点理解有待提升，方案基本适合本项目采购需求，可行性、实用性、针对性有待改善，得</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分；</w:t>
            </w:r>
          </w:p>
          <w:p w14:paraId="44E7766B">
            <w:pPr>
              <w:widowControl/>
              <w:spacing w:line="400" w:lineRule="exact"/>
              <w:rPr>
                <w:rFonts w:hint="eastAsia" w:ascii="仿宋" w:hAnsi="仿宋" w:eastAsia="仿宋" w:cs="仿宋"/>
                <w:sz w:val="21"/>
                <w:szCs w:val="21"/>
                <w:highlight w:val="none"/>
              </w:rPr>
            </w:pPr>
            <w:r>
              <w:rPr>
                <w:rFonts w:hint="eastAsia" w:ascii="仿宋" w:hAnsi="仿宋" w:eastAsia="仿宋" w:cs="仿宋"/>
                <w:color w:val="auto"/>
                <w:sz w:val="21"/>
                <w:szCs w:val="21"/>
                <w:highlight w:val="none"/>
                <w:lang w:eastAsia="zh-CN"/>
              </w:rPr>
              <w:t>（4）</w:t>
            </w:r>
            <w:r>
              <w:rPr>
                <w:rFonts w:hint="eastAsia" w:ascii="仿宋" w:hAnsi="仿宋" w:eastAsia="仿宋" w:cs="仿宋"/>
                <w:color w:val="auto"/>
                <w:sz w:val="21"/>
                <w:szCs w:val="21"/>
                <w:highlight w:val="none"/>
              </w:rPr>
              <w:t>方案不可行或者未提供得0分。</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4145E2A">
            <w:pPr>
              <w:spacing w:line="400" w:lineRule="exact"/>
              <w:jc w:val="center"/>
              <w:rPr>
                <w:rFonts w:hint="eastAsia" w:ascii="仿宋" w:hAnsi="仿宋" w:eastAsia="仿宋" w:cs="仿宋"/>
                <w:b/>
                <w:bCs/>
                <w:sz w:val="21"/>
                <w:szCs w:val="21"/>
                <w:highlight w:val="none"/>
                <w:lang w:val="en-US" w:eastAsia="zh-CN"/>
              </w:rPr>
            </w:pPr>
          </w:p>
        </w:tc>
      </w:tr>
      <w:tr w14:paraId="673C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1470" w:type="dxa"/>
            <w:tcBorders>
              <w:left w:val="single" w:color="auto" w:sz="4" w:space="0"/>
              <w:right w:val="single" w:color="auto" w:sz="4" w:space="0"/>
            </w:tcBorders>
            <w:noWrap w:val="0"/>
            <w:vAlign w:val="center"/>
          </w:tcPr>
          <w:p w14:paraId="51431D83">
            <w:pPr>
              <w:spacing w:line="40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价格分</w:t>
            </w:r>
          </w:p>
          <w:p w14:paraId="435A02D4">
            <w:pPr>
              <w:spacing w:line="400" w:lineRule="exact"/>
              <w:jc w:val="center"/>
              <w:rPr>
                <w:rFonts w:hint="eastAsia" w:ascii="仿宋" w:hAnsi="仿宋" w:eastAsia="仿宋" w:cs="仿宋"/>
                <w:b/>
                <w:bCs/>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分）</w:t>
            </w:r>
          </w:p>
        </w:tc>
        <w:tc>
          <w:tcPr>
            <w:tcW w:w="7918" w:type="dxa"/>
            <w:gridSpan w:val="3"/>
            <w:tcBorders>
              <w:top w:val="single" w:color="auto" w:sz="4" w:space="0"/>
              <w:left w:val="single" w:color="auto" w:sz="4" w:space="0"/>
              <w:bottom w:val="single" w:color="auto" w:sz="4" w:space="0"/>
              <w:right w:val="single" w:color="auto" w:sz="4" w:space="0"/>
            </w:tcBorders>
            <w:noWrap w:val="0"/>
            <w:vAlign w:val="center"/>
          </w:tcPr>
          <w:p w14:paraId="37C1B5CD">
            <w:pPr>
              <w:widowControl/>
              <w:spacing w:line="4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价格分统一采用低价优先法，即满足招标文件要求且投标价格最低的投标报价为评标基准价，其价格分为满分</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rPr>
              <w:t>分。其他投标供应商的价格分统一按照下列公式计算：</w:t>
            </w:r>
          </w:p>
          <w:p w14:paraId="5004825A">
            <w:pPr>
              <w:spacing w:line="400" w:lineRule="exact"/>
              <w:rPr>
                <w:rFonts w:hint="eastAsia" w:ascii="仿宋" w:hAnsi="仿宋" w:eastAsia="仿宋" w:cs="仿宋"/>
                <w:b/>
                <w:bCs/>
                <w:sz w:val="21"/>
                <w:szCs w:val="21"/>
                <w:highlight w:val="none"/>
              </w:rPr>
            </w:pPr>
            <w:r>
              <w:rPr>
                <w:rFonts w:hint="eastAsia" w:ascii="仿宋" w:hAnsi="仿宋" w:eastAsia="仿宋" w:cs="仿宋"/>
                <w:sz w:val="21"/>
                <w:szCs w:val="21"/>
                <w:highlight w:val="none"/>
              </w:rPr>
              <w:t>投标报价得分＝（评标基准价/投标报价）×</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rPr>
              <w:t>％×100</w:t>
            </w:r>
          </w:p>
        </w:tc>
      </w:tr>
    </w:tbl>
    <w:p w14:paraId="71E9AED6">
      <w:pPr>
        <w:rPr>
          <w:rFonts w:hint="eastAsia" w:ascii="仿宋" w:hAnsi="仿宋" w:eastAsia="仿宋" w:cs="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70B126"/>
    <w:multiLevelType w:val="singleLevel"/>
    <w:tmpl w:val="2170B126"/>
    <w:lvl w:ilvl="0" w:tentative="0">
      <w:start w:val="2"/>
      <w:numFmt w:val="decimal"/>
      <w:suff w:val="nothing"/>
      <w:lvlText w:val="%1、"/>
      <w:lvlJc w:val="left"/>
    </w:lvl>
  </w:abstractNum>
  <w:abstractNum w:abstractNumId="1">
    <w:nsid w:val="7C147513"/>
    <w:multiLevelType w:val="singleLevel"/>
    <w:tmpl w:val="7C147513"/>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jYzdlZDQ2ZDcxMjQ2MTg0OWI0ZjZiZDUxNjQ1YWUifQ=="/>
  </w:docVars>
  <w:rsids>
    <w:rsidRoot w:val="00000000"/>
    <w:rsid w:val="13184E09"/>
    <w:rsid w:val="1B8A33B7"/>
    <w:rsid w:val="1C9F0B6A"/>
    <w:rsid w:val="2B481665"/>
    <w:rsid w:val="2E455439"/>
    <w:rsid w:val="3E9A45DC"/>
    <w:rsid w:val="48AB594E"/>
    <w:rsid w:val="4C8D698D"/>
    <w:rsid w:val="5DC97E04"/>
    <w:rsid w:val="62321C29"/>
    <w:rsid w:val="74430172"/>
    <w:rsid w:val="7C7B2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autoSpaceDE w:val="0"/>
      <w:autoSpaceDN w:val="0"/>
      <w:adjustRightInd w:val="0"/>
      <w:spacing w:line="360" w:lineRule="auto"/>
      <w:ind w:right="-24" w:rightChars="-10" w:firstLine="425" w:firstLineChars="225"/>
    </w:pPr>
    <w:rPr>
      <w:rFonts w:ascii="Arial" w:hAnsi="Arial" w:eastAsia="仿宋_GB2312" w:cs="Arial"/>
      <w:kern w:val="0"/>
      <w:sz w:val="24"/>
      <w:szCs w:val="32"/>
    </w:rPr>
  </w:style>
  <w:style w:type="paragraph" w:styleId="3">
    <w:name w:val="Body Text"/>
    <w:basedOn w:val="1"/>
    <w:next w:val="4"/>
    <w:qFormat/>
    <w:uiPriority w:val="0"/>
    <w:rPr>
      <w:rFonts w:ascii="宋体" w:hAnsi="Arial"/>
      <w:sz w:val="28"/>
    </w:rPr>
  </w:style>
  <w:style w:type="paragraph" w:customStyle="1" w:styleId="4">
    <w:name w:val="style4"/>
    <w:basedOn w:val="1"/>
    <w:next w:val="5"/>
    <w:qFormat/>
    <w:uiPriority w:val="0"/>
    <w:pPr>
      <w:widowControl/>
      <w:spacing w:before="280" w:after="280"/>
    </w:pPr>
    <w:rPr>
      <w:rFonts w:ascii="宋体" w:eastAsia="宋体"/>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Normal Indent"/>
    <w:basedOn w:val="1"/>
    <w:qFormat/>
    <w:uiPriority w:val="0"/>
    <w:pPr>
      <w:ind w:firstLine="420"/>
    </w:pPr>
  </w:style>
  <w:style w:type="paragraph" w:styleId="7">
    <w:name w:val="annotation text"/>
    <w:basedOn w:val="1"/>
    <w:qFormat/>
    <w:uiPriority w:val="0"/>
    <w:pPr>
      <w:jc w:val="left"/>
    </w:pPr>
  </w:style>
  <w:style w:type="paragraph" w:customStyle="1" w:styleId="10">
    <w:name w:val="Default"/>
    <w:qFormat/>
    <w:uiPriority w:val="0"/>
    <w:pPr>
      <w:widowControl w:val="0"/>
      <w:autoSpaceDE w:val="0"/>
      <w:autoSpaceDN w:val="0"/>
      <w:adjustRightInd w:val="0"/>
    </w:pPr>
    <w:rPr>
      <w:rFonts w:ascii="黑体" w:hAnsi="Times New Roman" w:eastAsia="黑体" w:cs="Times New Roman"/>
      <w:kern w:val="0"/>
      <w:sz w:val="20"/>
      <w:szCs w:val="2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4742</Words>
  <Characters>4805</Characters>
  <Lines>0</Lines>
  <Paragraphs>0</Paragraphs>
  <TotalTime>9</TotalTime>
  <ScaleCrop>false</ScaleCrop>
  <LinksUpToDate>false</LinksUpToDate>
  <CharactersWithSpaces>4880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2024-09-24T14:08:00Z</dcterms:created>
  <dc:creator>74180</dc:creator>
  <cp:lastModifiedBy>传才</cp:lastModifiedBy>
  <dcterms:modified xsi:type="dcterms:W3CDTF">2024-09-29T06:19:17Z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8E6C664102114F639E046A08A72F2B10_12</vt:lpwstr>
  </property>
</Properties>
</file>