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F14D">
      <w:pPr>
        <w:jc w:val="left"/>
        <w:rPr>
          <w:rFonts w:hint="eastAsia"/>
          <w:lang w:val="en-US" w:eastAsia="zh-CN"/>
        </w:rPr>
      </w:pPr>
      <w:r>
        <w:rPr>
          <w:rFonts w:hint="eastAsia" w:ascii="宋体" w:hAnsi="宋体" w:cs="方正小标宋简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方正小标宋简体"/>
          <w:b w:val="0"/>
          <w:bCs/>
          <w:sz w:val="28"/>
          <w:szCs w:val="28"/>
          <w:lang w:val="en-US" w:eastAsia="zh-CN"/>
        </w:rPr>
        <w:t>1：</w:t>
      </w:r>
    </w:p>
    <w:p w14:paraId="073753D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六安市中医院周转池编制人员</w:t>
      </w:r>
    </w:p>
    <w:p w14:paraId="779D56F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向自建池动态流转工作实施方案</w:t>
      </w:r>
      <w:bookmarkEnd w:id="1"/>
    </w:p>
    <w:p w14:paraId="43878DF4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B50B922">
      <w:pPr>
        <w:ind w:firstLine="640" w:firstLineChars="200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省委</w:t>
      </w:r>
      <w:r>
        <w:rPr>
          <w:rFonts w:hint="eastAsia" w:ascii="仿宋_GB2312" w:hAnsi="仿宋_GB2312" w:eastAsia="仿宋_GB2312" w:cs="仿宋_GB2312"/>
          <w:sz w:val="32"/>
          <w:szCs w:val="32"/>
        </w:rPr>
        <w:t>编办、省委组织部、省人社厅、省财政厅、省卫计委《关于印发〈创新编制管理 建立公立医院编制周转池制度试点方案〉的通知》（皖编办〔2017〕59号）和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市委编办</w:t>
      </w:r>
      <w:r>
        <w:rPr>
          <w:rFonts w:hint="eastAsia" w:ascii="仿宋_GB2312" w:hAnsi="仿宋_GB2312" w:eastAsia="仿宋_GB2312" w:cs="仿宋_GB2312"/>
          <w:sz w:val="32"/>
          <w:szCs w:val="32"/>
        </w:rPr>
        <w:t>、市委组织部、市人社局、市财政局、市卫计委《关于印发&lt;六安市属公立医院编制周转池制度试点实施意见&gt;的通知》（六编办〔2018〕53号）、《关于六安市中医院编制周转池制度工作实施方案的批复》（皖编办函〔2018〕314号）等文件精神，为做好我院周转池人员择优纳入自建池编制管理工作，结合我院实际，制定本实施方案。</w:t>
      </w:r>
    </w:p>
    <w:p w14:paraId="1EA82721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目标要求与原则</w:t>
      </w:r>
    </w:p>
    <w:p w14:paraId="7040C23A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以提高我院医疗服务水平为目标，推进医院编制管理创新，充分发挥公立医院编制周转池制度政策红利，形成医院卫生专业技术人才引进和培养的长效机制。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坚持公平公正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公开择优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严把政策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规范操作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总量控制的原则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建立符合我院实际的事业单位编制周转池制度，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促进构成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人员结构优化、人员进出顺畅、激励作用明显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人才标准科学、梯队配备合理的人事管理制度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为提高全院医疗服务水平提供坚实的人才保障。</w:t>
      </w:r>
    </w:p>
    <w:p w14:paraId="0A2ACCD4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自建池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岗位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eastAsia="zh-CN"/>
        </w:rPr>
        <w:t>数</w:t>
      </w:r>
    </w:p>
    <w:p w14:paraId="4D45C71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我院编制数为330个，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其中自建池规模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253个，党政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和非卫生专业技术人员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池规模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77个。当自建池有空编，则开展周转池择优流转工作，确保自建池满编运行。</w:t>
      </w:r>
    </w:p>
    <w:p w14:paraId="35E43F0D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三、标准与条件</w:t>
      </w:r>
    </w:p>
    <w:p w14:paraId="70916D86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周转池人员符合以下条件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则</w:t>
      </w:r>
      <w:r>
        <w:rPr>
          <w:rFonts w:hint="eastAsia" w:ascii="仿宋_GB2312" w:hAnsi="仿宋_GB2312" w:eastAsia="仿宋_GB2312" w:cs="仿宋_GB2312"/>
          <w:sz w:val="32"/>
          <w:szCs w:val="32"/>
        </w:rPr>
        <w:t>优先纳入自建池事业编制管理。</w:t>
      </w:r>
    </w:p>
    <w:p w14:paraId="688CBCAB">
      <w:pPr>
        <w:numPr>
          <w:ilvl w:val="0"/>
          <w:numId w:val="2"/>
        </w:numPr>
        <w:ind w:left="-220" w:leftChars="0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基本条件</w:t>
      </w:r>
    </w:p>
    <w:p w14:paraId="187A5CEF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拥护中国共产党的路线、方针和政策，热爱医疗卫生事业，具有良好的思想品德和职业道德，遵守国家法律法规、院纪院规，未受过刑事处罚，近三年未受过纪律处分，年度考核及医德医风考评合格，身体健康，胜任本职工作。</w:t>
      </w:r>
    </w:p>
    <w:p w14:paraId="27CF9BE0">
      <w:pPr>
        <w:numPr>
          <w:ilvl w:val="0"/>
          <w:numId w:val="2"/>
        </w:numPr>
        <w:ind w:left="-220" w:leftChars="0" w:firstLine="64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资质条件</w:t>
      </w:r>
    </w:p>
    <w:p w14:paraId="402FF07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</w:rPr>
        <w:t>在我院周转池编制管理人员中具备卫生系列副高及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上职称且聘用的专业技术人员，同类人员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博士研究生学历者优先、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职称高者优先、担任科主任职务者优先、硕士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学历者优先、全日制学历高者优先、聘任年限长者优先、工龄长者优先、年龄大者优先的原则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 按先后顺序进入）。</w:t>
      </w:r>
    </w:p>
    <w:p w14:paraId="41CC8BC5">
      <w:pPr>
        <w:ind w:left="643"/>
        <w:rPr>
          <w:rFonts w:hint="eastAsia" w:ascii="仿宋_GB2312" w:hAnsi="仿宋_GB2312" w:eastAsia="黑体" w:cs="仿宋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四、程序与步骤</w:t>
      </w:r>
    </w:p>
    <w:p w14:paraId="08ED3637">
      <w:pPr>
        <w:numPr>
          <w:ilvl w:val="0"/>
          <w:numId w:val="0"/>
        </w:numPr>
        <w:ind w:left="420" w:leftChars="0"/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确定自建池空编数及拟定初步名单</w:t>
      </w:r>
    </w:p>
    <w:p w14:paraId="55AE015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根据自建池岗位数及人员数，确定自建池空编数，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从周转池人员中按照条件筛选并拟定进入自建池人员名单。</w:t>
      </w:r>
    </w:p>
    <w:p w14:paraId="2E3815F0">
      <w:pPr>
        <w:numPr>
          <w:ilvl w:val="0"/>
          <w:numId w:val="0"/>
        </w:numPr>
        <w:ind w:left="420" w:leftChars="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（二）院党委会研究</w:t>
      </w:r>
    </w:p>
    <w:p w14:paraId="578945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</w:rPr>
        <w:t>院党委研究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确定拟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纳入自建池事业编制人员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8958FA5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（三）内部公示</w:t>
      </w:r>
    </w:p>
    <w:p w14:paraId="25DA22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根据院党委研究结果，将拟纳入自建池事业编制人员在一定范围内进行第一轮公示，公示时间为5个工作日。</w:t>
      </w:r>
    </w:p>
    <w:p w14:paraId="4A41525B"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（四）上报审批</w:t>
      </w:r>
    </w:p>
    <w:p w14:paraId="4733DC9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第一轮公示无异议后，将拟纳入自建池事业编制人员报主管部门审核。经市委编委批复，进行第二轮公示无异议后，办理后续相关手续。</w:t>
      </w:r>
    </w:p>
    <w:p w14:paraId="27C8E40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五、有关要求</w:t>
      </w:r>
    </w:p>
    <w:p w14:paraId="0ED243D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（一）加强领导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。为扎实推进工作，医院成立院主要负责同志任组长，其它领导班子成员为副组长，相关职能科室负责人为成员的周转池制度实施工作领导组，下设领导组办公室，设在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人事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ACF1614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（二）周密组织。</w:t>
      </w:r>
      <w:r>
        <w:rPr>
          <w:rFonts w:hint="eastAsia" w:ascii="仿宋_GB2312" w:hAnsi="仿宋_GB2312" w:eastAsia="仿宋_GB2312" w:cs="仿宋_GB2312"/>
          <w:sz w:val="32"/>
          <w:szCs w:val="32"/>
        </w:rPr>
        <w:t>周转池制度实施工作领导组办公室在院领导组的领导下组织实施；院纪检监察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>对实施情况全程进行监督。</w:t>
      </w:r>
    </w:p>
    <w:p w14:paraId="625576E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（三）严肃纪律。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坚持民主集中制，实行集体领导、集体决策，坚持公平、公正、公开的原则，严格执行政策，科学制定方案，规范操作流程，严肃工作纪律，杜绝暗箱操作，确保编制周转池工作依法有序推进。</w:t>
      </w:r>
    </w:p>
    <w:p w14:paraId="4AC596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5FD6B6-3953-495A-8F36-CB945C6ABC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A10E02-D598-40B8-8EC0-A46638B4136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E68CCB4-42AF-4D9F-B357-1B9DBFDAB1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CB6DB0-3DA8-4614-BEA5-EA9F2639121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93E6D5B-DA68-49B4-A2D9-359A88A24FC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B73A62"/>
    <w:multiLevelType w:val="singleLevel"/>
    <w:tmpl w:val="B7B73A62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D991F6C7"/>
    <w:multiLevelType w:val="singleLevel"/>
    <w:tmpl w:val="D991F6C7"/>
    <w:lvl w:ilvl="0" w:tentative="0">
      <w:start w:val="1"/>
      <w:numFmt w:val="chineseCounting"/>
      <w:suff w:val="nothing"/>
      <w:lvlText w:val="（%1）"/>
      <w:lvlJc w:val="left"/>
      <w:pPr>
        <w:ind w:left="-2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jNjAxNDc2YzgwODg5ZTdhYjlkMzBhM2IyOTM4MmQifQ=="/>
  </w:docVars>
  <w:rsids>
    <w:rsidRoot w:val="6AC25DF0"/>
    <w:rsid w:val="6AC2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2024-08-16T09:51:00Z</dcterms:created>
  <dc:creator>FLY</dc:creator>
  <cp:lastModifiedBy>FLY</cp:lastModifiedBy>
  <dcterms:modified xsi:type="dcterms:W3CDTF">2024-08-16T09:51:44Z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120BD5F08FC8489EB1F9B66910165FEB_11</vt:lpwstr>
  </property>
</Properties>
</file>