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附件：拟购</w:t>
      </w:r>
      <w:r>
        <w:rPr>
          <w:rFonts w:hint="eastAsia" w:asciiTheme="majorEastAsia" w:hAnsiTheme="majorEastAsia" w:eastAsiaTheme="majorEastAsia"/>
          <w:b/>
          <w:sz w:val="32"/>
          <w:szCs w:val="32"/>
          <w:lang w:val="en-US" w:eastAsia="zh-CN"/>
        </w:rPr>
        <w:t>六安市中医院云备份服务项目</w:t>
      </w:r>
      <w:r>
        <w:rPr>
          <w:rFonts w:hint="eastAsia" w:asciiTheme="majorEastAsia" w:hAnsiTheme="majorEastAsia" w:eastAsiaTheme="majorEastAsia"/>
          <w:b/>
          <w:sz w:val="32"/>
          <w:szCs w:val="32"/>
        </w:rPr>
        <w:t>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w:t>
      </w:r>
      <w:r>
        <w:rPr>
          <w:rFonts w:hint="eastAsia" w:ascii="仿宋" w:hAnsi="仿宋" w:eastAsia="仿宋"/>
          <w:szCs w:val="21"/>
          <w:lang w:val="en-US" w:eastAsia="zh-CN"/>
        </w:rPr>
        <w:t>工程部</w:t>
      </w:r>
      <w:r>
        <w:rPr>
          <w:rFonts w:hint="eastAsia" w:ascii="仿宋" w:hAnsi="仿宋" w:eastAsia="仿宋"/>
          <w:szCs w:val="21"/>
        </w:rPr>
        <w:t>□、</w:t>
      </w:r>
      <w:r>
        <w:rPr>
          <w:rFonts w:hint="eastAsia" w:ascii="仿宋" w:hAnsi="仿宋" w:eastAsia="仿宋"/>
          <w:szCs w:val="21"/>
          <w:lang w:val="en-US" w:eastAsia="zh-CN"/>
        </w:rPr>
        <w:t>信息管理部</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szCs w:val="21"/>
          <w:lang w:val="en-US" w:eastAsia="zh-CN"/>
        </w:rPr>
        <w:t>后勤保障部</w:t>
      </w:r>
      <w:r>
        <w:rPr>
          <w:rFonts w:hint="eastAsia" w:ascii="仿宋" w:hAnsi="仿宋" w:eastAsia="仿宋"/>
          <w:szCs w:val="21"/>
        </w:rPr>
        <w:t>□及其他□</w:t>
      </w:r>
      <w:r>
        <w:rPr>
          <w:rFonts w:hint="eastAsia" w:ascii="仿宋" w:hAnsi="仿宋" w:eastAsia="仿宋"/>
          <w:szCs w:val="21"/>
          <w:u w:val="single"/>
        </w:rPr>
        <w:t xml:space="preserve">          </w:t>
      </w:r>
      <w:r>
        <w:rPr>
          <w:rFonts w:hint="eastAsia" w:ascii="仿宋" w:hAnsi="仿宋" w:eastAsia="仿宋"/>
          <w:szCs w:val="21"/>
        </w:rPr>
        <w:t>】：LASZYYXXK@163.com</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6"/>
          <w:rFonts w:hint="eastAsia" w:ascii="仿宋" w:hAnsi="仿宋" w:eastAsia="仿宋" w:cs="仿宋"/>
          <w:b w:val="0"/>
          <w:bCs/>
          <w:color w:val="auto"/>
          <w:sz w:val="21"/>
          <w:szCs w:val="21"/>
          <w:lang w:eastAsia="zh-CN"/>
        </w:rPr>
        <w:t>具备</w:t>
      </w:r>
      <w:r>
        <w:rPr>
          <w:rStyle w:val="16"/>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6"/>
          <w:rFonts w:hint="eastAsia" w:ascii="仿宋" w:hAnsi="仿宋" w:eastAsia="仿宋" w:cs="仿宋"/>
          <w:b/>
          <w:bCs w:val="0"/>
          <w:color w:val="auto"/>
          <w:sz w:val="21"/>
          <w:szCs w:val="21"/>
          <w:lang w:eastAsia="zh-CN"/>
        </w:rPr>
        <w:t>或具备</w:t>
      </w:r>
      <w:r>
        <w:rPr>
          <w:rStyle w:val="16"/>
          <w:rFonts w:hint="eastAsia" w:ascii="仿宋" w:hAnsi="仿宋" w:eastAsia="仿宋" w:cs="仿宋"/>
          <w:b/>
          <w:bCs w:val="0"/>
          <w:color w:val="auto"/>
          <w:sz w:val="21"/>
          <w:szCs w:val="21"/>
          <w:lang w:val="en-US" w:eastAsia="zh-CN"/>
        </w:rPr>
        <w:t>CMA【或CNAS】资质检测机构）</w:t>
      </w:r>
      <w:r>
        <w:rPr>
          <w:rStyle w:val="16"/>
          <w:rFonts w:hint="eastAsia" w:ascii="仿宋" w:hAnsi="仿宋" w:eastAsia="仿宋" w:cs="仿宋"/>
          <w:b w:val="0"/>
          <w:bCs/>
          <w:color w:val="auto"/>
          <w:sz w:val="21"/>
          <w:szCs w:val="21"/>
          <w:lang w:val="en-US" w:eastAsia="zh-CN"/>
        </w:rPr>
        <w:t>出具的</w:t>
      </w:r>
      <w:r>
        <w:rPr>
          <w:rStyle w:val="16"/>
          <w:rFonts w:hint="eastAsia" w:ascii="仿宋" w:hAnsi="仿宋" w:eastAsia="仿宋" w:cs="仿宋"/>
          <w:b w:val="0"/>
          <w:bCs/>
          <w:color w:val="auto"/>
          <w:sz w:val="21"/>
          <w:szCs w:val="21"/>
        </w:rPr>
        <w:t>质检报告原件扫描件</w:t>
      </w:r>
      <w:r>
        <w:rPr>
          <w:rStyle w:val="16"/>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6"/>
          <w:rFonts w:hint="eastAsia" w:ascii="仿宋" w:hAnsi="仿宋" w:eastAsia="仿宋" w:cs="仿宋"/>
          <w:b w:val="0"/>
          <w:bCs/>
          <w:color w:val="auto"/>
          <w:sz w:val="21"/>
          <w:szCs w:val="21"/>
        </w:rPr>
        <w:t>食药监局</w:t>
      </w:r>
      <w:r>
        <w:rPr>
          <w:rStyle w:val="16"/>
          <w:rFonts w:hint="eastAsia" w:ascii="仿宋" w:hAnsi="仿宋" w:eastAsia="仿宋" w:cs="仿宋"/>
          <w:b w:val="0"/>
          <w:bCs/>
          <w:color w:val="auto"/>
          <w:sz w:val="21"/>
          <w:szCs w:val="21"/>
          <w:lang w:eastAsia="zh-CN"/>
        </w:rPr>
        <w:t>或</w:t>
      </w:r>
      <w:r>
        <w:rPr>
          <w:rStyle w:val="16"/>
          <w:rFonts w:hint="eastAsia" w:ascii="仿宋" w:hAnsi="仿宋" w:eastAsia="仿宋" w:cs="仿宋"/>
          <w:b w:val="0"/>
          <w:bCs/>
          <w:color w:val="auto"/>
          <w:sz w:val="21"/>
          <w:szCs w:val="21"/>
        </w:rPr>
        <w:t>其下属单位</w:t>
      </w:r>
      <w:r>
        <w:rPr>
          <w:rStyle w:val="16"/>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spacing w:line="320" w:lineRule="exact"/>
        <w:rPr>
          <w:rFonts w:hint="eastAsia" w:ascii="仿宋" w:hAnsi="仿宋" w:eastAsia="仿宋"/>
          <w:b/>
          <w:szCs w:val="21"/>
        </w:rPr>
      </w:pPr>
      <w:r>
        <w:rPr>
          <w:rFonts w:hint="eastAsia" w:ascii="仿宋" w:hAnsi="仿宋" w:eastAsia="仿宋"/>
          <w:b/>
          <w:szCs w:val="21"/>
          <w:lang w:val="en-US" w:eastAsia="zh-CN"/>
        </w:rPr>
        <w:t>附件</w:t>
      </w:r>
      <w:r>
        <w:rPr>
          <w:rFonts w:hint="eastAsia" w:ascii="仿宋" w:hAnsi="仿宋" w:eastAsia="仿宋"/>
          <w:b/>
          <w:szCs w:val="21"/>
        </w:rPr>
        <w:t>：拟购项目初步参数结构</w:t>
      </w:r>
    </w:p>
    <w:tbl>
      <w:tblPr>
        <w:tblStyle w:val="9"/>
        <w:tblW w:w="10995" w:type="dxa"/>
        <w:tblInd w:w="-5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2"/>
        <w:gridCol w:w="1080"/>
        <w:gridCol w:w="6210"/>
        <w:gridCol w:w="735"/>
        <w:gridCol w:w="765"/>
        <w:gridCol w:w="645"/>
        <w:gridCol w:w="8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0" w:hRule="atLeast"/>
        </w:trPr>
        <w:tc>
          <w:tcPr>
            <w:tcW w:w="870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本项目初步参数拟设置情况</w:t>
            </w:r>
          </w:p>
        </w:tc>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响应情况</w:t>
            </w:r>
          </w:p>
        </w:tc>
        <w:tc>
          <w:tcPr>
            <w:tcW w:w="64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建议修改指标</w:t>
            </w:r>
          </w:p>
        </w:tc>
        <w:tc>
          <w:tcPr>
            <w:tcW w:w="87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备注（真实指标、是否独家、是否提供有效检测报告）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项目名称</w:t>
            </w:r>
          </w:p>
        </w:tc>
        <w:tc>
          <w:tcPr>
            <w:tcW w:w="108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参数名称</w:t>
            </w:r>
          </w:p>
        </w:tc>
        <w:tc>
          <w:tcPr>
            <w:tcW w:w="621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初步参数设置情况</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是否设置为★</w:t>
            </w: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8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68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云备份</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i w:val="0"/>
                <w:iCs w:val="0"/>
                <w:color w:val="000000"/>
                <w:sz w:val="21"/>
                <w:szCs w:val="21"/>
                <w:u w:val="none"/>
              </w:rPr>
            </w:pPr>
            <w:r>
              <w:rPr>
                <w:rFonts w:hint="eastAsia" w:ascii="宋体" w:hAnsi="宋体" w:eastAsia="宋体" w:cs="宋体"/>
                <w:b/>
                <w:bCs w:val="0"/>
                <w:sz w:val="24"/>
                <w:szCs w:val="24"/>
                <w:lang w:val="en-US" w:eastAsia="zh-CN"/>
              </w:rPr>
              <w:t>服务（1年）</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1"/>
                <w:szCs w:val="21"/>
                <w:u w:val="none"/>
              </w:rPr>
            </w:pPr>
            <w:r>
              <w:rPr>
                <w:rFonts w:hint="eastAsia" w:ascii="仿宋" w:hAnsi="仿宋" w:eastAsia="宋体" w:cs="Times New Roman"/>
                <w:b/>
                <w:bCs w:val="0"/>
                <w:sz w:val="21"/>
                <w:szCs w:val="21"/>
                <w:lang w:val="en-US" w:eastAsia="zh-CN"/>
              </w:rPr>
              <w:t>备份云主机及存储要求</w:t>
            </w:r>
          </w:p>
        </w:tc>
        <w:tc>
          <w:tcPr>
            <w:tcW w:w="62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宋体" w:cs="Times New Roman"/>
                <w:bCs/>
                <w:sz w:val="21"/>
                <w:szCs w:val="21"/>
                <w:lang w:val="en-US" w:eastAsia="zh-CN"/>
              </w:rPr>
            </w:pPr>
            <w:r>
              <w:rPr>
                <w:rFonts w:hint="eastAsia" w:ascii="仿宋" w:hAnsi="仿宋" w:eastAsia="宋体" w:cs="Times New Roman"/>
                <w:bCs/>
                <w:sz w:val="21"/>
                <w:szCs w:val="21"/>
                <w:lang w:val="en-US" w:eastAsia="zh-CN"/>
              </w:rPr>
              <w:t>1.配备云主机CPU≥12核心，运行内存≥128GB，系统盘≥120GB SSD，可备份存储容量≥60TB。</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宋体" w:cs="Times New Roman"/>
                <w:bCs/>
                <w:sz w:val="21"/>
                <w:szCs w:val="21"/>
                <w:lang w:val="en-US" w:eastAsia="zh-CN"/>
              </w:rPr>
            </w:pPr>
            <w:r>
              <w:rPr>
                <w:rFonts w:hint="eastAsia" w:ascii="仿宋" w:hAnsi="仿宋" w:eastAsia="宋体" w:cs="Times New Roman"/>
                <w:bCs/>
                <w:sz w:val="21"/>
                <w:szCs w:val="21"/>
                <w:lang w:val="en-US" w:eastAsia="zh-CN"/>
              </w:rPr>
              <w:t>2.容量范围内不限数量的整机、数据库、文件/应用、虚拟机、宿主机备份与恢复授权等。</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宋体" w:cs="仿宋"/>
                <w:i w:val="0"/>
                <w:iCs w:val="0"/>
                <w:color w:val="000000"/>
                <w:sz w:val="21"/>
                <w:szCs w:val="21"/>
                <w:u w:val="none"/>
                <w:lang w:eastAsia="zh-CN"/>
              </w:rPr>
            </w:pPr>
            <w:r>
              <w:rPr>
                <w:rFonts w:hint="eastAsia" w:ascii="仿宋" w:hAnsi="仿宋" w:eastAsia="宋体" w:cs="Times New Roman"/>
                <w:bCs/>
                <w:sz w:val="21"/>
                <w:szCs w:val="21"/>
                <w:lang w:val="en-US" w:eastAsia="zh-CN"/>
              </w:rPr>
              <w:t>3.云主机及存储的物理位置距离本院信息机房直线距离≥200KM，需提供相关证明材料。</w:t>
            </w:r>
          </w:p>
        </w:tc>
        <w:tc>
          <w:tcPr>
            <w:tcW w:w="735"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8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i w:val="0"/>
                <w:iCs w:val="0"/>
                <w:color w:val="000000"/>
                <w:sz w:val="21"/>
                <w:szCs w:val="21"/>
                <w:u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1"/>
                <w:szCs w:val="21"/>
                <w:u w:val="none"/>
              </w:rPr>
            </w:pPr>
            <w:r>
              <w:rPr>
                <w:rFonts w:hint="eastAsia" w:ascii="仿宋" w:hAnsi="仿宋" w:eastAsia="宋体" w:cs="Times New Roman"/>
                <w:b/>
                <w:bCs w:val="0"/>
                <w:sz w:val="21"/>
                <w:szCs w:val="21"/>
                <w:lang w:val="en-US" w:eastAsia="zh-CN"/>
              </w:rPr>
              <w:t>云备份软件</w:t>
            </w:r>
          </w:p>
        </w:tc>
        <w:tc>
          <w:tcPr>
            <w:tcW w:w="62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宋体" w:cs="Times New Roman"/>
                <w:bCs/>
                <w:sz w:val="21"/>
                <w:szCs w:val="21"/>
                <w:lang w:val="en-US" w:eastAsia="zh-CN"/>
              </w:rPr>
            </w:pPr>
            <w:r>
              <w:rPr>
                <w:rFonts w:hint="eastAsia" w:ascii="仿宋" w:hAnsi="仿宋" w:eastAsia="宋体" w:cs="Times New Roman"/>
                <w:bCs/>
                <w:sz w:val="21"/>
                <w:szCs w:val="21"/>
                <w:lang w:val="en-US" w:eastAsia="zh-CN"/>
              </w:rPr>
              <w:t>1.支持龙芯、鲲鹏、海光架构下UOS、中标麒麟、银河麒麟等国产自主可控操作系统数据保护，支持Windows、Linux、openEuler和Anolis 等主流操作系统。</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宋体" w:cs="Times New Roman"/>
                <w:bCs/>
                <w:sz w:val="21"/>
                <w:szCs w:val="21"/>
                <w:lang w:val="en-US" w:eastAsia="zh-CN"/>
              </w:rPr>
            </w:pPr>
            <w:r>
              <w:rPr>
                <w:rFonts w:hint="eastAsia" w:ascii="仿宋" w:hAnsi="仿宋" w:eastAsia="宋体" w:cs="Times New Roman"/>
                <w:bCs/>
                <w:sz w:val="21"/>
                <w:szCs w:val="21"/>
                <w:lang w:val="en-US" w:eastAsia="zh-CN"/>
              </w:rPr>
              <w:t>2.整机备份需支持断点续传，当实时任务执行过程中出现异常、断网等情况修复后，可自动从上一次断点处继续增量传输数据，无需重新进行完整数据传输。</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宋体" w:cs="Times New Roman"/>
                <w:bCs/>
                <w:sz w:val="21"/>
                <w:szCs w:val="21"/>
                <w:lang w:val="en-US" w:eastAsia="zh-CN"/>
              </w:rPr>
            </w:pPr>
            <w:r>
              <w:rPr>
                <w:rFonts w:hint="eastAsia" w:ascii="仿宋" w:hAnsi="仿宋" w:eastAsia="宋体" w:cs="Times New Roman"/>
                <w:bCs/>
                <w:sz w:val="21"/>
                <w:szCs w:val="21"/>
                <w:lang w:val="en-US" w:eastAsia="zh-CN"/>
              </w:rPr>
              <w:t>3.可实现主流的数据备份与恢复，包括但不限于 Oracle、SQL Server、MySQL、Sybase、DB2、openGauss、GaussDB、TiDB、MongoDB、Cache、Domino、达梦（DM）、人大金仓（kingbase）、南大通用（GBase）、神州通用（ShenTong）、GoldenDB等数据库，支持单库和集群数据库的定时备份、增量备份及恢复功能。支持备份数据恢复演练功能，支持数据校验、对比、抽样检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宋体" w:cs="Times New Roman"/>
                <w:bCs/>
                <w:sz w:val="21"/>
                <w:szCs w:val="21"/>
                <w:lang w:val="en-US" w:eastAsia="zh-CN"/>
              </w:rPr>
            </w:pPr>
            <w:r>
              <w:rPr>
                <w:rFonts w:hint="eastAsia" w:ascii="仿宋" w:hAnsi="仿宋" w:eastAsia="宋体" w:cs="Times New Roman"/>
                <w:bCs/>
                <w:sz w:val="21"/>
                <w:szCs w:val="21"/>
                <w:lang w:val="en-US" w:eastAsia="zh-CN"/>
              </w:rPr>
              <w:t>4.兼容Oracle复杂部署环境，包括：单机/HA/RAC/ADG/RAC OneNode。支持无需依赖全库完全备份的 PDB细粒度的备份恢复。支持Oracle单表恢复，包括 PDB 的单表恢复。支持Oracle DataGuard从库备份，支持Oracle ADG 从库的连续日志备份。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宋体" w:cs="Times New Roman"/>
                <w:bCs/>
                <w:sz w:val="21"/>
                <w:szCs w:val="21"/>
                <w:lang w:val="en-US" w:eastAsia="zh-CN"/>
              </w:rPr>
            </w:pPr>
            <w:r>
              <w:rPr>
                <w:rFonts w:hint="eastAsia" w:ascii="仿宋" w:hAnsi="仿宋" w:eastAsia="宋体" w:cs="Times New Roman"/>
                <w:bCs/>
                <w:sz w:val="21"/>
                <w:szCs w:val="21"/>
                <w:lang w:val="en-US" w:eastAsia="zh-CN"/>
              </w:rPr>
              <w:t>5.支持Oracle日志解析，可以界面化展现Oracle事务中的SCN和具体事务操作，可实现精确的SCN号来进行恢复，可针对解析后的SQL语句进行撤销。</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宋体" w:cs="Times New Roman"/>
                <w:bCs/>
                <w:sz w:val="21"/>
                <w:szCs w:val="21"/>
                <w:lang w:val="en-US" w:eastAsia="zh-CN"/>
              </w:rPr>
            </w:pPr>
            <w:r>
              <w:rPr>
                <w:rFonts w:hint="eastAsia" w:ascii="仿宋" w:hAnsi="仿宋" w:eastAsia="宋体" w:cs="Times New Roman"/>
                <w:bCs/>
                <w:sz w:val="21"/>
                <w:szCs w:val="21"/>
                <w:lang w:val="en-US" w:eastAsia="zh-CN"/>
              </w:rPr>
              <w:t>6.基于数据库API接口适配功能，通过web界面向导式实现主流数据库物理备份恢复（非前后置脚本），包括但不限于 Oracle、SQL Server、MySQL、DB2、openGauss、TiDB、GaussDB、MariaDB、MongoDB、Cache、Domino、达梦（DM）、人大金仓（kingbase）等。</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宋体" w:cs="Times New Roman"/>
                <w:bCs/>
                <w:sz w:val="21"/>
                <w:szCs w:val="21"/>
                <w:lang w:val="en-US" w:eastAsia="zh-CN"/>
              </w:rPr>
            </w:pPr>
            <w:r>
              <w:rPr>
                <w:rFonts w:hint="eastAsia" w:ascii="仿宋" w:hAnsi="仿宋" w:eastAsia="宋体" w:cs="Times New Roman"/>
                <w:bCs/>
                <w:sz w:val="21"/>
                <w:szCs w:val="21"/>
                <w:lang w:val="en-US" w:eastAsia="zh-CN"/>
              </w:rPr>
              <w:t>7.支持信创环境（如国产虚拟化软件和云平台：云宏CNware/腾讯云TStack/曙光StackcCube/网安凌/SmartX/深信服等）和非信创环境（主流国内外的厂商如：VMware、Hyper-V等）的虚拟机无代理备份。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宋体" w:cs="Times New Roman"/>
                <w:bCs/>
                <w:sz w:val="21"/>
                <w:szCs w:val="21"/>
                <w:lang w:val="en-US" w:eastAsia="zh-CN"/>
              </w:rPr>
            </w:pPr>
            <w:r>
              <w:rPr>
                <w:rFonts w:hint="eastAsia" w:ascii="仿宋" w:hAnsi="仿宋" w:eastAsia="宋体" w:cs="Times New Roman"/>
                <w:bCs/>
                <w:sz w:val="21"/>
                <w:szCs w:val="21"/>
                <w:lang w:val="en-US" w:eastAsia="zh-CN"/>
              </w:rPr>
              <w:t>8.可实现三员管理，提供多重安全设置，内置管理员、审计员、安全员、备份恢复操作员等多种角色，不同的用户级别对应不同的管理权限。</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仿宋" w:hAnsi="仿宋" w:eastAsia="宋体" w:cs="Times New Roman"/>
                <w:bCs/>
                <w:sz w:val="21"/>
                <w:szCs w:val="21"/>
                <w:lang w:val="en-US" w:eastAsia="zh-CN"/>
              </w:rPr>
            </w:pPr>
            <w:r>
              <w:rPr>
                <w:rFonts w:hint="eastAsia" w:ascii="仿宋" w:hAnsi="仿宋" w:eastAsia="宋体" w:cs="Times New Roman"/>
                <w:bCs/>
                <w:sz w:val="21"/>
                <w:szCs w:val="21"/>
                <w:lang w:val="en-US" w:eastAsia="zh-CN"/>
              </w:rPr>
              <w:t>9.提供账号管理、口令管理、权限管理等相关安全管理功能，用户口令加密存放，数据复制的系统管理和数据复制配置可分权限管理。支持强口令方案，对密码长度、密码复杂度、密码有效期组合要求.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i w:val="0"/>
                <w:iCs w:val="0"/>
                <w:color w:val="000000"/>
                <w:sz w:val="21"/>
                <w:szCs w:val="21"/>
                <w:u w:val="none"/>
              </w:rPr>
            </w:pPr>
            <w:r>
              <w:rPr>
                <w:rFonts w:hint="eastAsia" w:ascii="仿宋" w:hAnsi="仿宋" w:eastAsia="宋体" w:cs="Times New Roman"/>
                <w:bCs/>
                <w:sz w:val="21"/>
                <w:szCs w:val="21"/>
                <w:lang w:val="en-US" w:eastAsia="zh-CN"/>
              </w:rPr>
              <w:t>10.支持对Windows、Linux、国产操作系统平台内单文件/目录进行细颗粒度的在线备份。支持Windows平台和Linux平台的文件备份数据实现交叉恢复。支持文件挂载恢复，增量恢复。</w:t>
            </w:r>
          </w:p>
        </w:tc>
        <w:tc>
          <w:tcPr>
            <w:tcW w:w="735"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5" w:hRule="atLeast"/>
        </w:trPr>
        <w:tc>
          <w:tcPr>
            <w:tcW w:w="68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i w:val="0"/>
                <w:iCs w:val="0"/>
                <w:color w:val="000000"/>
                <w:sz w:val="21"/>
                <w:szCs w:val="21"/>
                <w:u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1"/>
                <w:szCs w:val="21"/>
                <w:u w:val="none"/>
              </w:rPr>
            </w:pPr>
            <w:r>
              <w:rPr>
                <w:rFonts w:hint="eastAsia" w:ascii="仿宋" w:hAnsi="仿宋" w:eastAsia="宋体" w:cs="Times New Roman"/>
                <w:b/>
                <w:bCs w:val="0"/>
                <w:sz w:val="21"/>
                <w:szCs w:val="21"/>
                <w:lang w:val="en-US" w:eastAsia="zh-CN"/>
              </w:rPr>
              <w:t>备份云数据专线</w:t>
            </w:r>
          </w:p>
        </w:tc>
        <w:tc>
          <w:tcPr>
            <w:tcW w:w="62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i w:val="0"/>
                <w:iCs w:val="0"/>
                <w:color w:val="000000"/>
                <w:sz w:val="21"/>
                <w:szCs w:val="21"/>
                <w:u w:val="none"/>
              </w:rPr>
            </w:pPr>
            <w:r>
              <w:rPr>
                <w:rFonts w:hint="eastAsia" w:ascii="仿宋" w:hAnsi="仿宋" w:eastAsia="宋体" w:cs="Times New Roman"/>
                <w:bCs/>
                <w:sz w:val="21"/>
                <w:szCs w:val="21"/>
                <w:lang w:val="en-US" w:eastAsia="zh-CN"/>
              </w:rPr>
              <w:t>数据专线带宽不低于100M，支持真实灾备场景数据回流时在线动态提速，可按需求免费提速最大带宽不低于1G，满足数据快速回流。</w:t>
            </w:r>
          </w:p>
        </w:tc>
        <w:tc>
          <w:tcPr>
            <w:tcW w:w="735"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68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i w:val="0"/>
                <w:iCs w:val="0"/>
                <w:color w:val="000000"/>
                <w:sz w:val="21"/>
                <w:szCs w:val="21"/>
                <w:u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1"/>
                <w:szCs w:val="21"/>
                <w:u w:val="none"/>
              </w:rPr>
            </w:pPr>
            <w:r>
              <w:rPr>
                <w:rFonts w:hint="eastAsia" w:ascii="仿宋" w:hAnsi="仿宋" w:eastAsia="宋体" w:cs="Times New Roman"/>
                <w:b/>
                <w:bCs w:val="0"/>
                <w:sz w:val="21"/>
                <w:szCs w:val="21"/>
                <w:lang w:val="en-US" w:eastAsia="zh-CN"/>
              </w:rPr>
              <w:t>云安全</w:t>
            </w:r>
          </w:p>
        </w:tc>
        <w:tc>
          <w:tcPr>
            <w:tcW w:w="62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宋体" w:cs="Times New Roman"/>
                <w:bCs/>
                <w:sz w:val="21"/>
                <w:szCs w:val="21"/>
                <w:lang w:val="en-US" w:eastAsia="zh-CN"/>
              </w:rPr>
            </w:pPr>
            <w:r>
              <w:rPr>
                <w:rFonts w:hint="eastAsia" w:ascii="仿宋" w:hAnsi="仿宋" w:eastAsia="宋体" w:cs="Times New Roman"/>
                <w:bCs/>
                <w:sz w:val="21"/>
                <w:szCs w:val="21"/>
                <w:lang w:val="en-US" w:eastAsia="zh-CN"/>
              </w:rPr>
              <w:t>1.云主机及云存储需满足国家信息安全等级保护三级要求，提供云主机机存储的安全防护，包含主机防病毒、主机防火墙、主机入侵防御、防暴力破解、安全基线和日志审计等功能。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i w:val="0"/>
                <w:iCs w:val="0"/>
                <w:color w:val="000000"/>
                <w:sz w:val="21"/>
                <w:szCs w:val="21"/>
                <w:u w:val="none"/>
              </w:rPr>
            </w:pPr>
            <w:r>
              <w:rPr>
                <w:rFonts w:hint="eastAsia" w:ascii="仿宋" w:hAnsi="仿宋" w:eastAsia="宋体" w:cs="Times New Roman"/>
                <w:bCs/>
                <w:sz w:val="21"/>
                <w:szCs w:val="21"/>
                <w:lang w:val="en-US" w:eastAsia="zh-CN"/>
              </w:rPr>
              <w:t>2.数据备份及恢复过程需提供安全加密服务。</w:t>
            </w:r>
          </w:p>
        </w:tc>
        <w:tc>
          <w:tcPr>
            <w:tcW w:w="735"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8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宋体" w:cs="Times New Roman"/>
                <w:b/>
                <w:bCs w:val="0"/>
                <w:sz w:val="21"/>
                <w:szCs w:val="21"/>
                <w:lang w:val="en-US" w:eastAsia="zh-CN"/>
              </w:rPr>
            </w:pPr>
            <w:r>
              <w:rPr>
                <w:rFonts w:hint="eastAsia" w:ascii="仿宋" w:hAnsi="仿宋" w:eastAsia="宋体" w:cs="Times New Roman"/>
                <w:b/>
                <w:bCs w:val="0"/>
                <w:sz w:val="21"/>
                <w:szCs w:val="21"/>
                <w:lang w:val="en-US" w:eastAsia="zh-CN"/>
              </w:rPr>
              <w:t>其他</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1"/>
                <w:szCs w:val="21"/>
                <w:u w:val="none"/>
              </w:rPr>
            </w:pPr>
            <w:r>
              <w:rPr>
                <w:rFonts w:hint="eastAsia" w:ascii="仿宋" w:hAnsi="仿宋" w:eastAsia="宋体" w:cs="Times New Roman"/>
                <w:b/>
                <w:bCs w:val="0"/>
                <w:sz w:val="21"/>
                <w:szCs w:val="21"/>
                <w:lang w:val="en-US" w:eastAsia="zh-CN"/>
              </w:rPr>
              <w:t>要求</w:t>
            </w:r>
          </w:p>
        </w:tc>
        <w:tc>
          <w:tcPr>
            <w:tcW w:w="62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宋体" w:cs="Times New Roman"/>
                <w:bCs/>
                <w:sz w:val="21"/>
                <w:szCs w:val="21"/>
                <w:lang w:val="en-US" w:eastAsia="zh-CN"/>
              </w:rPr>
            </w:pPr>
            <w:r>
              <w:rPr>
                <w:rFonts w:hint="eastAsia" w:ascii="仿宋" w:hAnsi="仿宋" w:eastAsia="宋体" w:cs="Times New Roman"/>
                <w:bCs/>
                <w:sz w:val="21"/>
                <w:szCs w:val="21"/>
                <w:lang w:val="en-US" w:eastAsia="zh-CN"/>
              </w:rPr>
              <w:t>1.每季度提供不少于一次的云备份恢复演练，并提供系统恢复的全流程截图证明和报告。</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仿宋" w:hAnsi="仿宋" w:eastAsia="宋体" w:cs="Times New Roman"/>
                <w:bCs/>
                <w:sz w:val="21"/>
                <w:szCs w:val="21"/>
                <w:lang w:val="en-US" w:eastAsia="zh-CN"/>
              </w:rPr>
            </w:pPr>
            <w:r>
              <w:rPr>
                <w:rFonts w:hint="eastAsia" w:ascii="仿宋" w:hAnsi="仿宋" w:eastAsia="宋体" w:cs="Times New Roman"/>
                <w:bCs/>
                <w:sz w:val="21"/>
                <w:szCs w:val="21"/>
                <w:lang w:val="en-US" w:eastAsia="zh-CN"/>
              </w:rPr>
              <w:t>2.网络安全意识培训：每年提供不低于2次的网络安全意识现场培训。</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i w:val="0"/>
                <w:iCs w:val="0"/>
                <w:color w:val="000000"/>
                <w:sz w:val="21"/>
                <w:szCs w:val="21"/>
                <w:u w:val="none"/>
              </w:rPr>
            </w:pPr>
            <w:r>
              <w:rPr>
                <w:rFonts w:hint="eastAsia" w:ascii="仿宋" w:hAnsi="仿宋" w:eastAsia="宋体" w:cs="Times New Roman"/>
                <w:bCs/>
                <w:sz w:val="21"/>
                <w:szCs w:val="21"/>
                <w:lang w:val="en-US" w:eastAsia="zh-CN"/>
              </w:rPr>
              <w:t>3.网络安全技能培训：提供全套网络安全技能培训线上课程，课程内容包含但不限于日志收集与分析、Web安全基础、Web安全进阶与实战、综合渗透靶场实战、内网渗透技术、网络安全应急响应和</w:t>
            </w:r>
            <w:bookmarkStart w:id="0" w:name="_GoBack"/>
            <w:bookmarkEnd w:id="0"/>
            <w:r>
              <w:rPr>
                <w:rFonts w:hint="eastAsia" w:ascii="仿宋" w:hAnsi="仿宋" w:eastAsia="宋体" w:cs="Times New Roman"/>
                <w:bCs/>
                <w:sz w:val="21"/>
                <w:szCs w:val="21"/>
                <w:lang w:val="en-US" w:eastAsia="zh-CN"/>
              </w:rPr>
              <w:t>网络攻防技术实战等。</w:t>
            </w:r>
          </w:p>
        </w:tc>
        <w:tc>
          <w:tcPr>
            <w:tcW w:w="735"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bl>
    <w:p>
      <w:pPr>
        <w:pStyle w:val="3"/>
      </w:pPr>
    </w:p>
    <w:p>
      <w:pPr>
        <w:spacing w:line="280" w:lineRule="exact"/>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5"/>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MwZWE0MjdkNmUyYzJlNjJmNTM0ODJjOTJiNjk2Y2I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4F24249"/>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9131B3"/>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2C2704"/>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2D7248"/>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5FA06018"/>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763559"/>
    <w:rsid w:val="6BA52303"/>
    <w:rsid w:val="6C7F08A6"/>
    <w:rsid w:val="6CBA018C"/>
    <w:rsid w:val="6CD67BD4"/>
    <w:rsid w:val="6D302D7C"/>
    <w:rsid w:val="6D392803"/>
    <w:rsid w:val="6D9E2518"/>
    <w:rsid w:val="6DBA7B46"/>
    <w:rsid w:val="6E77495A"/>
    <w:rsid w:val="6EAF635F"/>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autoRedefine/>
    <w:unhideWhenUsed/>
    <w:qFormat/>
    <w:uiPriority w:val="99"/>
    <w:pPr>
      <w:ind w:firstLine="420" w:firstLineChars="100"/>
    </w:pPr>
    <w:rPr>
      <w:rFonts w:ascii="Times New Roman" w:hAnsi="Times New Roman"/>
      <w:kern w:val="0"/>
      <w:sz w:val="20"/>
      <w:szCs w:val="20"/>
    </w:rPr>
  </w:style>
  <w:style w:type="paragraph" w:styleId="3">
    <w:name w:val="Body Text"/>
    <w:basedOn w:val="1"/>
    <w:next w:val="4"/>
    <w:autoRedefine/>
    <w:qFormat/>
    <w:uiPriority w:val="0"/>
    <w:pPr>
      <w:spacing w:after="120"/>
    </w:pPr>
  </w:style>
  <w:style w:type="paragraph" w:customStyle="1" w:styleId="4">
    <w:name w:val="style4"/>
    <w:basedOn w:val="1"/>
    <w:next w:val="5"/>
    <w:autoRedefine/>
    <w:qFormat/>
    <w:uiPriority w:val="0"/>
    <w:pPr>
      <w:widowControl/>
      <w:spacing w:before="280" w:after="280"/>
    </w:pPr>
    <w:rPr>
      <w:rFonts w:ascii="宋体" w:hAnsi="Times New Roman" w:eastAsia="宋体" w:cs="Times New Roman"/>
      <w:sz w:val="18"/>
    </w:rPr>
  </w:style>
  <w:style w:type="paragraph" w:customStyle="1" w:styleId="5">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6">
    <w:name w:val="Normal Indent"/>
    <w:basedOn w:val="1"/>
    <w:autoRedefine/>
    <w:qFormat/>
    <w:uiPriority w:val="0"/>
    <w:pPr>
      <w:ind w:firstLine="420"/>
    </w:pPr>
    <w:rPr>
      <w:rFonts w:ascii="Calibri" w:hAnsi="Calibri" w:eastAsia="宋体" w:cs="Times New Roman"/>
    </w:rPr>
  </w:style>
  <w:style w:type="paragraph" w:styleId="7">
    <w:name w:val="footer"/>
    <w:basedOn w:val="1"/>
    <w:link w:val="14"/>
    <w:autoRedefine/>
    <w:unhideWhenUsed/>
    <w:qFormat/>
    <w:uiPriority w:val="99"/>
    <w:pPr>
      <w:tabs>
        <w:tab w:val="center" w:pos="4153"/>
        <w:tab w:val="right" w:pos="8306"/>
      </w:tabs>
      <w:snapToGrid w:val="0"/>
      <w:jc w:val="left"/>
    </w:pPr>
    <w:rPr>
      <w:sz w:val="18"/>
      <w:szCs w:val="18"/>
    </w:rPr>
  </w:style>
  <w:style w:type="paragraph" w:styleId="8">
    <w:name w:val="header"/>
    <w:basedOn w:val="1"/>
    <w:link w:val="13"/>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2">
    <w:name w:val="目录 71"/>
    <w:basedOn w:val="1"/>
    <w:next w:val="1"/>
    <w:autoRedefine/>
    <w:qFormat/>
    <w:uiPriority w:val="0"/>
    <w:pPr>
      <w:ind w:left="2520"/>
    </w:pPr>
    <w:rPr>
      <w:rFonts w:ascii="Calibri"/>
    </w:rPr>
  </w:style>
  <w:style w:type="character" w:customStyle="1" w:styleId="13">
    <w:name w:val="页眉 Char"/>
    <w:basedOn w:val="11"/>
    <w:link w:val="8"/>
    <w:autoRedefine/>
    <w:semiHidden/>
    <w:qFormat/>
    <w:uiPriority w:val="99"/>
    <w:rPr>
      <w:sz w:val="18"/>
      <w:szCs w:val="18"/>
    </w:rPr>
  </w:style>
  <w:style w:type="character" w:customStyle="1" w:styleId="14">
    <w:name w:val="页脚 Char"/>
    <w:basedOn w:val="11"/>
    <w:link w:val="7"/>
    <w:autoRedefine/>
    <w:qFormat/>
    <w:uiPriority w:val="99"/>
    <w:rPr>
      <w:sz w:val="18"/>
      <w:szCs w:val="18"/>
    </w:rPr>
  </w:style>
  <w:style w:type="paragraph" w:customStyle="1" w:styleId="15">
    <w:name w:val="正文1"/>
    <w:basedOn w:val="1"/>
    <w:autoRedefine/>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6">
    <w:name w:val="NormalCharacter"/>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1136</Words>
  <Characters>1168</Characters>
  <Lines>6</Lines>
  <Paragraphs>1</Paragraphs>
  <TotalTime>7</TotalTime>
  <ScaleCrop>false</ScaleCrop>
  <LinksUpToDate>false</LinksUpToDate>
  <CharactersWithSpaces>1371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罗昊</cp:lastModifiedBy>
  <dcterms:modified xsi:type="dcterms:W3CDTF">2024-08-08T08:34:00Z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