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pPr>
      <w:r>
        <w:rPr>
          <w:rFonts w:hint="eastAsia" w:asciiTheme="majorEastAsia" w:hAnsiTheme="majorEastAsia" w:eastAsiaTheme="majorEastAsia"/>
          <w:b/>
          <w:sz w:val="32"/>
          <w:szCs w:val="32"/>
        </w:rPr>
        <w:t>附件</w:t>
      </w:r>
      <w:r>
        <w:rPr>
          <w:rFonts w:hint="eastAsia" w:asciiTheme="majorEastAsia" w:hAnsiTheme="majorEastAsia" w:eastAsiaTheme="majorEastAsia"/>
          <w:b/>
          <w:sz w:val="32"/>
          <w:szCs w:val="32"/>
          <w:lang w:val="en-US" w:eastAsia="zh-CN"/>
        </w:rPr>
        <w:t>7</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val="en-US" w:eastAsia="zh-CN"/>
        </w:rPr>
        <w:t xml:space="preserve"> </w:t>
      </w:r>
      <w:r>
        <w:rPr>
          <w:rFonts w:hint="eastAsia" w:asciiTheme="majorEastAsia" w:hAnsiTheme="majorEastAsia" w:eastAsiaTheme="majorEastAsia"/>
          <w:b/>
          <w:sz w:val="32"/>
          <w:szCs w:val="32"/>
          <w:u w:val="single"/>
        </w:rPr>
        <w:t xml:space="preserve">六安市中医院污水处理站托管运营     </w:t>
      </w:r>
      <w:r>
        <w:rPr>
          <w:rFonts w:hint="eastAsia" w:hAnsi="宋体"/>
          <w:b/>
          <w:sz w:val="32"/>
          <w:szCs w:val="32"/>
          <w:u w:val="single"/>
        </w:rPr>
        <w:t xml:space="preserve">             </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lang w:val="en-US" w:eastAsia="zh-CN"/>
        </w:rPr>
        <w:t>后勤保障部</w:t>
      </w:r>
      <w:r>
        <w:rPr>
          <w:rFonts w:hint="eastAsia" w:ascii="仿宋" w:hAnsi="仿宋" w:eastAsia="仿宋"/>
          <w:szCs w:val="21"/>
          <w:lang w:eastAsia="zh-CN"/>
        </w:rPr>
        <w:t>☑</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 w:val="24"/>
          <w:szCs w:val="24"/>
          <w:u w:val="single"/>
        </w:rPr>
        <w:t>zyyzwk2020@126.</w:t>
      </w:r>
      <w:r>
        <w:rPr>
          <w:rFonts w:hint="eastAsia" w:ascii="仿宋" w:hAnsi="仿宋" w:eastAsia="仿宋"/>
          <w:sz w:val="24"/>
          <w:szCs w:val="24"/>
          <w:u w:val="single"/>
          <w:lang w:val="en-US" w:eastAsia="zh-CN"/>
        </w:rPr>
        <w:t>com</w:t>
      </w:r>
      <w:r>
        <w:rPr>
          <w:rFonts w:hint="eastAsia" w:ascii="仿宋" w:hAnsi="仿宋" w:eastAsia="仿宋"/>
          <w:sz w:val="24"/>
          <w:szCs w:val="24"/>
          <w:u w:val="single"/>
        </w:rPr>
        <w:t xml:space="preserve"> </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pStyle w:val="6"/>
        <w:ind w:left="0" w:leftChars="0" w:firstLine="0"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一、运营托管区域和污水处理站概况</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bCs w:val="0"/>
          <w:szCs w:val="21"/>
          <w:lang w:eastAsia="zh-CN"/>
        </w:rPr>
      </w:pPr>
      <w:r>
        <w:rPr>
          <w:rFonts w:hint="eastAsia" w:ascii="仿宋" w:hAnsi="仿宋" w:eastAsia="仿宋"/>
          <w:b/>
          <w:bCs w:val="0"/>
          <w:szCs w:val="21"/>
          <w:lang w:eastAsia="zh-CN"/>
        </w:rPr>
        <w:t>附1.运营托管区域</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eastAsia="zh-CN"/>
        </w:rPr>
      </w:pPr>
      <w:r>
        <w:rPr>
          <w:rFonts w:hint="eastAsia" w:ascii="仿宋" w:hAnsi="仿宋" w:eastAsia="仿宋"/>
          <w:b w:val="0"/>
          <w:bCs/>
          <w:szCs w:val="21"/>
          <w:lang w:eastAsia="zh-CN"/>
        </w:rPr>
        <w:t>（1）六安市中医院本部和六安市中医院制剂中心（预计</w:t>
      </w:r>
      <w:r>
        <w:rPr>
          <w:rFonts w:hint="eastAsia" w:ascii="仿宋" w:hAnsi="仿宋" w:eastAsia="仿宋"/>
          <w:b w:val="0"/>
          <w:bCs/>
          <w:szCs w:val="21"/>
          <w:lang w:val="en-US" w:eastAsia="zh-CN"/>
        </w:rPr>
        <w:t>2024年</w:t>
      </w:r>
      <w:r>
        <w:rPr>
          <w:rFonts w:hint="eastAsia" w:ascii="仿宋" w:hAnsi="仿宋" w:eastAsia="仿宋"/>
          <w:b w:val="0"/>
          <w:bCs/>
          <w:szCs w:val="21"/>
          <w:lang w:eastAsia="zh-CN"/>
        </w:rPr>
        <w:t>8月1日投入使用）共2处污水处理站的运行管理及设备设施的维修维护；</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eastAsia="zh-CN"/>
        </w:rPr>
      </w:pPr>
      <w:r>
        <w:rPr>
          <w:rFonts w:hint="eastAsia" w:ascii="仿宋" w:hAnsi="仿宋" w:eastAsia="仿宋"/>
          <w:b w:val="0"/>
          <w:bCs/>
          <w:szCs w:val="21"/>
          <w:lang w:eastAsia="zh-CN"/>
        </w:rPr>
        <w:t>（2）院内雨水管网、污水管网的定期疏通与清淤。</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bCs w:val="0"/>
          <w:szCs w:val="21"/>
          <w:lang w:eastAsia="zh-CN"/>
        </w:rPr>
      </w:pPr>
      <w:r>
        <w:rPr>
          <w:rFonts w:hint="eastAsia" w:ascii="仿宋" w:hAnsi="仿宋" w:eastAsia="仿宋"/>
          <w:b/>
          <w:bCs w:val="0"/>
          <w:szCs w:val="21"/>
          <w:lang w:eastAsia="zh-CN"/>
        </w:rPr>
        <w:t>2.污水处理站的概况</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eastAsia="zh-CN"/>
        </w:rPr>
      </w:pPr>
      <w:r>
        <w:rPr>
          <w:rFonts w:hint="eastAsia" w:ascii="仿宋" w:hAnsi="仿宋" w:eastAsia="仿宋"/>
          <w:b w:val="0"/>
          <w:bCs/>
          <w:szCs w:val="21"/>
          <w:lang w:eastAsia="zh-CN"/>
        </w:rPr>
        <w:t>六安市中医院本部污水处理站共1处，采用生物接触氧化法处理工艺，污水处理站处理能力2500t/d，污水处理站分地下池和地上设备房间（设备质保到期时间：</w:t>
      </w:r>
      <w:r>
        <w:rPr>
          <w:rFonts w:hint="eastAsia" w:ascii="仿宋" w:hAnsi="仿宋" w:eastAsia="仿宋"/>
          <w:b w:val="0"/>
          <w:bCs/>
          <w:szCs w:val="21"/>
          <w:lang w:val="en-US" w:eastAsia="zh-CN"/>
        </w:rPr>
        <w:t>预计2026年7月1日</w:t>
      </w:r>
      <w:r>
        <w:rPr>
          <w:rFonts w:hint="eastAsia" w:ascii="仿宋" w:hAnsi="仿宋" w:eastAsia="仿宋"/>
          <w:b w:val="0"/>
          <w:bCs/>
          <w:szCs w:val="21"/>
          <w:lang w:eastAsia="zh-CN"/>
        </w:rPr>
        <w:t>）；六安市中医院制剂中心污水处理站共1处，采用生物接触氧化法处理工艺，污水处理站处理能力106t/d，污水处理站分地下池和地上设备房间（设备质保到期时间：</w:t>
      </w:r>
      <w:r>
        <w:rPr>
          <w:rFonts w:hint="eastAsia" w:ascii="仿宋" w:hAnsi="仿宋" w:eastAsia="仿宋"/>
          <w:b w:val="0"/>
          <w:bCs/>
          <w:szCs w:val="21"/>
          <w:lang w:val="en-US" w:eastAsia="zh-CN"/>
        </w:rPr>
        <w:t>预计2026年8月1日</w:t>
      </w:r>
      <w:r>
        <w:rPr>
          <w:rFonts w:hint="eastAsia" w:ascii="仿宋" w:hAnsi="仿宋" w:eastAsia="仿宋"/>
          <w:b/>
          <w:bCs w:val="0"/>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4"/>
          <w:szCs w:val="24"/>
          <w:lang w:val="en-US" w:eastAsia="zh-CN"/>
        </w:rPr>
      </w:pPr>
      <w:r>
        <w:rPr>
          <w:rFonts w:hint="eastAsia" w:ascii="仿宋" w:hAnsi="仿宋" w:eastAsia="仿宋"/>
          <w:b w:val="0"/>
          <w:bCs/>
          <w:szCs w:val="21"/>
          <w:lang w:eastAsia="zh-CN"/>
        </w:rPr>
        <w:t>件：表</w:t>
      </w:r>
      <w:r>
        <w:rPr>
          <w:rFonts w:hint="eastAsia" w:ascii="仿宋" w:hAnsi="仿宋" w:eastAsia="仿宋"/>
          <w:b w:val="0"/>
          <w:bCs/>
          <w:szCs w:val="21"/>
          <w:lang w:val="en-US" w:eastAsia="zh-CN"/>
        </w:rPr>
        <w:t>1-4</w:t>
      </w: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5"/>
        <w:gridCol w:w="1135"/>
        <w:gridCol w:w="3300"/>
        <w:gridCol w:w="645"/>
        <w:gridCol w:w="1170"/>
        <w:gridCol w:w="1170"/>
        <w:gridCol w:w="15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4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117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17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56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300" w:type="dxa"/>
          </w:tcPr>
          <w:p>
            <w:pPr>
              <w:spacing w:line="320" w:lineRule="exact"/>
              <w:jc w:val="center"/>
              <w:rPr>
                <w:rFonts w:hint="eastAsia" w:ascii="仿宋" w:hAnsi="仿宋" w:eastAsia="仿宋"/>
                <w:b w:val="0"/>
                <w:bCs/>
                <w:szCs w:val="21"/>
                <w:lang w:eastAsia="zh-CN"/>
              </w:rPr>
            </w:pPr>
          </w:p>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64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1170" w:type="dxa"/>
            <w:vMerge w:val="continue"/>
          </w:tcPr>
          <w:p>
            <w:pPr>
              <w:spacing w:line="320" w:lineRule="exact"/>
              <w:rPr>
                <w:rFonts w:ascii="仿宋" w:hAnsi="仿宋" w:eastAsia="仿宋"/>
                <w:b w:val="0"/>
                <w:bCs/>
                <w:szCs w:val="21"/>
              </w:rPr>
            </w:pPr>
          </w:p>
        </w:tc>
        <w:tc>
          <w:tcPr>
            <w:tcW w:w="1170" w:type="dxa"/>
            <w:vMerge w:val="continue"/>
          </w:tcPr>
          <w:p>
            <w:pPr>
              <w:spacing w:line="320" w:lineRule="exact"/>
              <w:rPr>
                <w:rFonts w:ascii="仿宋" w:hAnsi="仿宋" w:eastAsia="仿宋"/>
                <w:b w:val="0"/>
                <w:bCs/>
                <w:szCs w:val="21"/>
              </w:rPr>
            </w:pPr>
          </w:p>
        </w:tc>
        <w:tc>
          <w:tcPr>
            <w:tcW w:w="156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restart"/>
          </w:tcPr>
          <w:p>
            <w:pPr>
              <w:spacing w:line="320" w:lineRule="exact"/>
              <w:rPr>
                <w:rFonts w:hint="default" w:ascii="仿宋" w:hAnsi="仿宋" w:eastAsia="仿宋"/>
                <w:b w:val="0"/>
                <w:bCs/>
                <w:szCs w:val="21"/>
                <w:lang w:val="en-US" w:eastAsia="zh-CN"/>
              </w:rPr>
            </w:pPr>
          </w:p>
        </w:tc>
        <w:tc>
          <w:tcPr>
            <w:tcW w:w="1135" w:type="dxa"/>
            <w:vMerge w:val="restart"/>
          </w:tcPr>
          <w:p>
            <w:pPr>
              <w:spacing w:line="320" w:lineRule="exact"/>
              <w:rPr>
                <w:rFonts w:hint="default" w:ascii="仿宋" w:hAnsi="仿宋" w:eastAsia="仿宋"/>
                <w:b w:val="0"/>
                <w:bCs/>
                <w:szCs w:val="21"/>
                <w:lang w:val="en-US" w:eastAsia="zh-CN"/>
              </w:rPr>
            </w:pPr>
            <w:r>
              <w:rPr>
                <w:rFonts w:hint="eastAsia" w:ascii="仿宋" w:hAnsi="仿宋" w:eastAsia="仿宋"/>
                <w:b/>
                <w:bCs w:val="0"/>
                <w:szCs w:val="21"/>
                <w:lang w:val="en-US" w:eastAsia="zh-CN"/>
              </w:rPr>
              <w:t>一、</w:t>
            </w:r>
            <w:r>
              <w:rPr>
                <w:rFonts w:hint="default" w:ascii="仿宋" w:hAnsi="仿宋" w:eastAsia="仿宋"/>
                <w:b/>
                <w:bCs w:val="0"/>
                <w:szCs w:val="21"/>
                <w:lang w:val="en-US" w:eastAsia="zh-CN"/>
              </w:rPr>
              <w:t>服务范围和要求</w:t>
            </w:r>
          </w:p>
        </w:tc>
        <w:tc>
          <w:tcPr>
            <w:tcW w:w="3300" w:type="dxa"/>
          </w:tcPr>
          <w:p>
            <w:pPr>
              <w:spacing w:line="320" w:lineRule="exact"/>
              <w:rPr>
                <w:rFonts w:ascii="仿宋" w:hAnsi="仿宋" w:eastAsia="仿宋"/>
                <w:b w:val="0"/>
                <w:bCs/>
                <w:szCs w:val="21"/>
              </w:rPr>
            </w:pPr>
            <w:r>
              <w:rPr>
                <w:rFonts w:hint="eastAsia" w:ascii="仿宋" w:hAnsi="仿宋" w:eastAsia="仿宋"/>
                <w:b w:val="0"/>
                <w:bCs/>
                <w:szCs w:val="21"/>
              </w:rPr>
              <w:t>1.污水站运营维护：负责污水站的所有设备设施日常运行、管理、维护、维修、检测和记录等工作，实时监测污水处理系统的运行状况，以确保污水处理 站的正常运行，废水排放符合《医疗机构水污染物排放标准》(GB18466）中相应排放标准和排污许可证的要求；废气排放符合《恶臭污染物排放标准》（GB14554）中相应排放标准和排污许可证的要求。</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2.水质在线监测系统运行维护管理：按照《水污染源在线监测系统（CODcr、NH3-N等）运行与考核技术规范》（HJ 355），负责在线设备设施的维保与维修保养，包括 COD 在线监测仪、氨氮在线监测仪、 PH 监测仪、数据采集仪、等比例采样器、流量计等仪器以及后期可能增加的在线监测设备的维保工作，具体维保内容包含试剂更换、日常校准、易损件更换、比对检测、量值溯源、设备维修维护等并配合 “三个全覆盖”所要求的所有工作，符合环保部门要求的在线监测设备运维规定。</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rPr>
                <w:rFonts w:hint="default" w:ascii="仿宋" w:hAnsi="仿宋" w:eastAsia="仿宋"/>
                <w:b w:val="0"/>
                <w:bCs/>
                <w:szCs w:val="21"/>
                <w:lang w:val="en-US" w:eastAsia="zh-CN"/>
              </w:rPr>
            </w:pPr>
            <w:r>
              <w:rPr>
                <w:rFonts w:hint="default" w:ascii="仿宋" w:hAnsi="仿宋" w:eastAsia="仿宋"/>
                <w:b w:val="0"/>
                <w:bCs/>
                <w:szCs w:val="21"/>
                <w:lang w:val="en-US" w:eastAsia="zh-CN"/>
              </w:rPr>
              <w:t>3.排污许可证的管理及监测填报：依据《医疗机构排污许可证申请与核发技术规范》（HJ1105）和《排污许可证管理暂行规定》等相关规范要求，对我院污水站的总排口及衰变池排水口废水、污水处理站的有组织废气、无组织废气、污水处理站周界噪声等进行手工检测，并依据手工检测结果进行网上实时填报发布，并按照“安徽省排污单位自行监测信息发布平台”的要求以及“全国排污许可证管理信息平台”制定自行监测方案、自行监测报告、平台数据维护等工作，同步和环保主管部门做好所有数据的对接工作；每季度对院区所有二次供水水箱进行水质检测。所有涉及手工检测项须由</w:t>
            </w:r>
            <w:r>
              <w:rPr>
                <w:rFonts w:hint="eastAsia" w:ascii="仿宋" w:hAnsi="仿宋" w:eastAsia="仿宋"/>
                <w:b w:val="0"/>
                <w:bCs/>
                <w:szCs w:val="21"/>
                <w:lang w:val="en-US" w:eastAsia="zh-CN"/>
              </w:rPr>
              <w:t>国家认可的有</w:t>
            </w:r>
            <w:r>
              <w:rPr>
                <w:rFonts w:hint="default" w:ascii="仿宋" w:hAnsi="仿宋" w:eastAsia="仿宋"/>
                <w:b w:val="0"/>
                <w:bCs/>
                <w:szCs w:val="21"/>
                <w:lang w:val="en-US" w:eastAsia="zh-CN"/>
              </w:rPr>
              <w:t>资质的第三方检测机构出具检测报告。同时，按需负责排污许可证办理、变更等工作。</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rPr>
                <w:rFonts w:hint="default" w:ascii="仿宋" w:hAnsi="仿宋" w:eastAsia="仿宋"/>
                <w:b w:val="0"/>
                <w:bCs/>
                <w:szCs w:val="21"/>
                <w:lang w:val="en-US" w:eastAsia="zh-CN"/>
              </w:rPr>
            </w:pPr>
            <w:r>
              <w:rPr>
                <w:rFonts w:hint="default" w:ascii="仿宋" w:hAnsi="仿宋" w:eastAsia="仿宋"/>
                <w:b w:val="0"/>
                <w:bCs/>
                <w:szCs w:val="21"/>
                <w:lang w:val="en-US" w:eastAsia="zh-CN"/>
              </w:rPr>
              <w:t>4.污水站危废处置：污水站产生的格栅渣、污泥、使用后的活性炭和废弃填料及在线监测设备产生的废液等一切污水处理站运行产生的危险废物的管理、储存、运输、处置工作，并符合《医疗机构水污染物排放标准》（GB18466）中的污泥控制与处置要求。负责按规定登记及管理并委托有资质单位进行处置。</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药剂供应：负责提供污水处理系统所需药剂聚合氯化铝（PAC）、聚丙烯酰胺（PAM）、碳源、含在线设备所需药剂、消毒药剂等保证污水站正常运行的所有试剂。本部污水处理站消毒池消毒剂为单过硫酸氢钾，制剂中心污水处理站消毒池消毒剂为过硫酸氢钾。</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负责院内雨水管网、污水管网的定期疏通与清淤：每年对雨水管网、污水管网（含院内化粪池、雨污水井、雨污管道）、污水处理站等至少清理两次，不得於积堵塞，保证畅通。院内是指医院本部及医院制剂中心规划红线范围内所有区域。</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负责污水处理站清污工作，每年至少对承包范围内的污水处理站清污一次，清污内容包括污泥池、调节池等所有池体内地污泥以及污水处理站进水口处化粪池；清污设备由投标供应商自行承担，清污后的废弃物由投标供应商按照国家相关标准和规定合法合规进行储存、运输、处置并承担全部费用。</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负责托管区域生产运营中的安全工作，包括污水站各类原材料搬运、储存和使用中的安全，管道、池体和设备设施维修、维护工作中的安全等一切生产运营安全工作；做好安全预防工作、配备安全防护装备；如在运行期间发生安全生产事故，产生的责任、损失、费用和罚款由投标供应商承担。</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9.提供无偿技术服务，同时完整收集每日水处理数据，如流量、水质、加药量等，建立数据库，做好日常水质分析、保存记录完整的各项资料（如：构筑物和设备设施维修保养工作的记录文档），及时整理汇总、分析运行记录，建立运行技术档案，为医院后期水处理资料分析及改进提供数据支持。</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10.负责定期对承包范围内污水处理站各种闸阀、护栏、爬梯、管道、曝气系统，泵、消毒设备，格栅、池体等各类设备设施进行检查维修保养及防腐处理，并及时更换损坏零件。</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11.负责编制各项安全、操作、工作、人员职责等制度，并制作相应标识标牌，同时保障各项制度落实。</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12.负责环境突发事件应急预案的编制、修订、演练及相关防护用品的配备；至少每年组织一次应急预案演练；至少每年组织两次培训，并做好演练培训记录。</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13.负责维护污水站内外，包含池体、道路、设备设施等的外观美化整洁、环境卫生。</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14.在运营期间，投标供应商对我院污水处理各方面负全部环保责任，在污水处理站运行期间因环保原因所产生的责任、损失、费用和罚款等由投标供应商承担。</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15.负责与上级环保主管部门的业务联系，同时配合环保部门检查做好迎检和接待工作；并及时按环保部门要求进行整改，直至达到环保相关标准规范。</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16.负责配合医院各项迎检工作，做好相关资料整理、制作和收集，符合各项检查的标准和要求（如三甲医院复审、文明城市创建、安全生产等各项检查）。</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17.负责污水站检修、维修的人员（队伍）调度安排，在设备发生故障，接收到故障通知后 10 分钟内驻点运维服务人员进行应急处置，；专业维修人员2小时内到达现场检修，4小时内检修解除故障。在确实没有维修条件的情况下应及时汇报，并采取有效的应急措施，防止出现环境和安全事故。如因未及时维修造成停机超过环保要求，须实施手工检测并承担相应费用。</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18.负责托管区域运营的人员在进行有限空间作业、动火作业等特种作业时必须提前报备履行相关手续且作业现场不少于2人（修理时须有 2 人（含）及以上人员在场，且需持有相关特种作业操作证并配备相关防护用品和检测仪器：长管呼吸器、轴流风机、气体检测仪等）。</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19.投标供应商自行安排拟派所有人员的住宿和生活，采购人提供污水处理站操作间给投标供应商拟派人员日常办公。</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5" w:hRule="atLeast"/>
        </w:trPr>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Merge w:val="continue"/>
            <w:tcBorders/>
          </w:tcPr>
          <w:p>
            <w:pPr>
              <w:spacing w:line="320" w:lineRule="exact"/>
              <w:rPr>
                <w:rFonts w:ascii="仿宋" w:hAnsi="仿宋" w:eastAsia="仿宋"/>
                <w:b w:val="0"/>
                <w:bCs/>
                <w:szCs w:val="21"/>
              </w:rPr>
            </w:pPr>
          </w:p>
        </w:tc>
        <w:tc>
          <w:tcPr>
            <w:tcW w:w="3300" w:type="dxa"/>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20.投标供应商必须接受采购人日常考核，并根据考核结果接受相关考核处罚。</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restart"/>
          </w:tcPr>
          <w:p>
            <w:pPr>
              <w:spacing w:line="320" w:lineRule="exact"/>
              <w:rPr>
                <w:rFonts w:hint="eastAsia" w:ascii="仿宋" w:hAnsi="仿宋" w:eastAsia="仿宋"/>
                <w:b w:val="0"/>
                <w:bCs/>
                <w:szCs w:val="21"/>
                <w:lang w:val="en-US" w:eastAsia="zh-CN"/>
              </w:rPr>
            </w:pPr>
          </w:p>
        </w:tc>
        <w:tc>
          <w:tcPr>
            <w:tcW w:w="1135" w:type="dxa"/>
          </w:tcPr>
          <w:p>
            <w:pPr>
              <w:spacing w:line="320" w:lineRule="exact"/>
              <w:rPr>
                <w:rFonts w:ascii="仿宋" w:hAnsi="仿宋" w:eastAsia="仿宋"/>
                <w:b w:val="0"/>
                <w:bCs/>
                <w:szCs w:val="21"/>
              </w:rPr>
            </w:pPr>
            <w:r>
              <w:rPr>
                <w:rFonts w:hint="eastAsia" w:ascii="仿宋" w:hAnsi="仿宋" w:eastAsia="仿宋"/>
                <w:b/>
                <w:bCs w:val="0"/>
                <w:szCs w:val="21"/>
                <w:lang w:eastAsia="zh-CN"/>
              </w:rPr>
              <w:t>二</w:t>
            </w:r>
            <w:r>
              <w:rPr>
                <w:rFonts w:hint="eastAsia" w:ascii="仿宋" w:hAnsi="仿宋" w:eastAsia="仿宋"/>
                <w:b/>
                <w:bCs w:val="0"/>
                <w:szCs w:val="21"/>
              </w:rPr>
              <w:t>、人员配备</w:t>
            </w:r>
          </w:p>
        </w:tc>
        <w:tc>
          <w:tcPr>
            <w:tcW w:w="3300" w:type="dxa"/>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1.项目经理1名，负责承包范围内各污水处理站管理，并向采购人汇报污水处理站运营情况，每月提供月度运营情况书面材料。</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tcPr>
          <w:p>
            <w:pPr>
              <w:spacing w:line="320" w:lineRule="exact"/>
              <w:rPr>
                <w:rFonts w:hint="eastAsia" w:ascii="仿宋" w:hAnsi="仿宋" w:eastAsia="仿宋"/>
                <w:b/>
                <w:bCs w:val="0"/>
                <w:szCs w:val="21"/>
              </w:rPr>
            </w:pPr>
          </w:p>
        </w:tc>
        <w:tc>
          <w:tcPr>
            <w:tcW w:w="3300" w:type="dxa"/>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2.本项目有2个污水处理站，投标供应商须保证每个污水处理站至少有 1 名操作人员驻场，24小时在岗在位，具有基础的污水处理设施操作知识，负责污水处理站日常运行操作。</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tcPr>
          <w:p>
            <w:pPr>
              <w:spacing w:line="320" w:lineRule="exact"/>
              <w:rPr>
                <w:rFonts w:hint="eastAsia" w:ascii="仿宋" w:hAnsi="仿宋" w:eastAsia="仿宋"/>
                <w:b/>
                <w:bCs w:val="0"/>
                <w:szCs w:val="21"/>
              </w:rPr>
            </w:pPr>
          </w:p>
        </w:tc>
        <w:tc>
          <w:tcPr>
            <w:tcW w:w="3300" w:type="dxa"/>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3.投标供应商须保证2个污水处理站至少配备1名维保与维修人员，负责污水处理站维保和应急抢修维修工作。</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spacing w:line="320" w:lineRule="exact"/>
              <w:rPr>
                <w:rFonts w:hint="eastAsia" w:ascii="仿宋" w:hAnsi="仿宋" w:eastAsia="仿宋"/>
                <w:b w:val="0"/>
                <w:bCs/>
                <w:szCs w:val="21"/>
                <w:lang w:val="en-US" w:eastAsia="zh-CN"/>
              </w:rPr>
            </w:pPr>
          </w:p>
        </w:tc>
        <w:tc>
          <w:tcPr>
            <w:tcW w:w="1135" w:type="dxa"/>
          </w:tcPr>
          <w:p>
            <w:pPr>
              <w:spacing w:line="320" w:lineRule="exact"/>
              <w:rPr>
                <w:rFonts w:hint="eastAsia" w:ascii="仿宋" w:hAnsi="仿宋" w:eastAsia="仿宋"/>
                <w:b/>
                <w:bCs w:val="0"/>
                <w:szCs w:val="21"/>
              </w:rPr>
            </w:pPr>
            <w:r>
              <w:rPr>
                <w:rFonts w:hint="eastAsia" w:ascii="仿宋" w:hAnsi="仿宋" w:eastAsia="仿宋"/>
                <w:b/>
                <w:bCs w:val="0"/>
                <w:szCs w:val="21"/>
                <w:lang w:eastAsia="zh-CN"/>
              </w:rPr>
              <w:t>三</w:t>
            </w:r>
            <w:r>
              <w:rPr>
                <w:rFonts w:hint="eastAsia" w:ascii="仿宋" w:hAnsi="仿宋" w:eastAsia="仿宋"/>
                <w:b/>
                <w:bCs w:val="0"/>
                <w:szCs w:val="21"/>
              </w:rPr>
              <w:t>、价格及其组成</w:t>
            </w:r>
          </w:p>
        </w:tc>
        <w:tc>
          <w:tcPr>
            <w:tcW w:w="3300" w:type="dxa"/>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包括托管区域运营服务所发生的一切费用，包括但不限于人员工资、药剂费（含在线设备所需药剂费、消毒池药剂费、絮凝药剂费等）、危废处置费用、清洗费、疏通费、清淤费、检测费、防护用品、预案编制、排污许可证办理、设备维修费（包括更换）、保养、办公用品、奖金、服装、保险、福利、加班费、管理费、企业利润、税金、第三方专业在线监测维保费等，均由中标人承担。投标供应商应考虑物价上涨的因素，及各种环保、安全和经济风险，合同期内不予调整。</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restart"/>
          </w:tcPr>
          <w:p>
            <w:pPr>
              <w:spacing w:line="320" w:lineRule="exact"/>
              <w:rPr>
                <w:rFonts w:hint="eastAsia" w:ascii="仿宋" w:hAnsi="仿宋" w:eastAsia="仿宋"/>
                <w:b w:val="0"/>
                <w:bCs/>
                <w:szCs w:val="21"/>
                <w:lang w:val="en-US" w:eastAsia="zh-CN"/>
              </w:rPr>
            </w:pPr>
          </w:p>
        </w:tc>
        <w:tc>
          <w:tcPr>
            <w:tcW w:w="1135" w:type="dxa"/>
          </w:tcPr>
          <w:p>
            <w:pPr>
              <w:spacing w:line="320" w:lineRule="exact"/>
              <w:rPr>
                <w:rFonts w:hint="default" w:ascii="仿宋" w:hAnsi="仿宋" w:eastAsia="仿宋"/>
                <w:b/>
                <w:bCs w:val="0"/>
                <w:szCs w:val="21"/>
                <w:lang w:val="en-US" w:eastAsia="zh-CN"/>
              </w:rPr>
            </w:pPr>
            <w:r>
              <w:rPr>
                <w:rFonts w:hint="eastAsia" w:ascii="仿宋" w:hAnsi="仿宋" w:eastAsia="仿宋"/>
                <w:b/>
                <w:bCs w:val="0"/>
                <w:szCs w:val="21"/>
                <w:lang w:val="en-US" w:eastAsia="zh-CN"/>
              </w:rPr>
              <w:t>五</w:t>
            </w:r>
            <w:r>
              <w:rPr>
                <w:rFonts w:hint="eastAsia" w:ascii="仿宋" w:hAnsi="仿宋" w:eastAsia="仿宋"/>
                <w:b/>
                <w:bCs w:val="0"/>
                <w:szCs w:val="21"/>
              </w:rPr>
              <w:t>、</w:t>
            </w:r>
            <w:r>
              <w:rPr>
                <w:rFonts w:hint="eastAsia" w:ascii="仿宋" w:hAnsi="仿宋" w:eastAsia="仿宋"/>
                <w:b/>
                <w:bCs w:val="0"/>
                <w:szCs w:val="21"/>
                <w:lang w:val="en-US" w:eastAsia="zh-CN"/>
              </w:rPr>
              <w:t>其他要求</w:t>
            </w:r>
          </w:p>
        </w:tc>
        <w:tc>
          <w:tcPr>
            <w:tcW w:w="3300" w:type="dxa"/>
            <w:vAlign w:val="top"/>
          </w:tcPr>
          <w:p>
            <w:pPr>
              <w:numPr>
                <w:ilvl w:val="0"/>
                <w:numId w:val="0"/>
              </w:numPr>
              <w:spacing w:line="320" w:lineRule="exact"/>
              <w:ind w:left="0" w:leftChars="0" w:firstLine="0" w:firstLineChars="0"/>
              <w:jc w:val="left"/>
              <w:rPr>
                <w:rFonts w:hint="eastAsia" w:ascii="仿宋" w:hAnsi="仿宋" w:eastAsia="仿宋" w:cstheme="minorBidi"/>
                <w:b w:val="0"/>
                <w:bCs/>
                <w:kern w:val="2"/>
                <w:sz w:val="21"/>
                <w:szCs w:val="21"/>
                <w:lang w:val="en-US" w:eastAsia="zh-CN" w:bidi="ar-SA"/>
              </w:rPr>
            </w:pPr>
            <w:r>
              <w:rPr>
                <w:rFonts w:hint="eastAsia" w:ascii="仿宋" w:hAnsi="仿宋" w:eastAsia="仿宋" w:cs="仿宋"/>
                <w:bCs/>
                <w:color w:val="000000"/>
                <w:sz w:val="21"/>
                <w:szCs w:val="21"/>
                <w:lang w:val="en-US" w:eastAsia="zh-CN"/>
              </w:rPr>
              <w:t>1、</w:t>
            </w:r>
            <w:r>
              <w:rPr>
                <w:rFonts w:hint="eastAsia" w:ascii="仿宋" w:hAnsi="仿宋" w:eastAsia="仿宋" w:cs="仿宋"/>
                <w:bCs/>
                <w:color w:val="000000"/>
                <w:sz w:val="21"/>
                <w:szCs w:val="21"/>
              </w:rPr>
              <w:t>项目人员配备</w:t>
            </w:r>
            <w:r>
              <w:rPr>
                <w:rFonts w:hint="eastAsia" w:ascii="仿宋" w:hAnsi="仿宋" w:eastAsia="仿宋" w:cs="仿宋"/>
                <w:bCs/>
                <w:color w:val="000000"/>
                <w:sz w:val="21"/>
                <w:szCs w:val="21"/>
                <w:lang w:eastAsia="zh-CN"/>
              </w:rPr>
              <w:t>：</w:t>
            </w:r>
            <w:r>
              <w:rPr>
                <w:rFonts w:hint="eastAsia" w:ascii="仿宋" w:hAnsi="仿宋" w:eastAsia="仿宋"/>
                <w:b w:val="0"/>
                <w:bCs/>
                <w:szCs w:val="21"/>
                <w:lang w:val="en-US" w:eastAsia="zh-CN"/>
              </w:rPr>
              <w:t>项目经理和项目团队其他成员具有环保类专业中级及以上职称。</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tcPr>
          <w:p>
            <w:pPr>
              <w:spacing w:line="320" w:lineRule="exact"/>
              <w:rPr>
                <w:rFonts w:hint="default" w:ascii="仿宋" w:hAnsi="仿宋" w:eastAsia="仿宋"/>
                <w:b/>
                <w:bCs w:val="0"/>
                <w:szCs w:val="21"/>
                <w:lang w:val="en-US" w:eastAsia="zh-CN"/>
              </w:rPr>
            </w:pPr>
          </w:p>
        </w:tc>
        <w:tc>
          <w:tcPr>
            <w:tcW w:w="3300" w:type="dxa"/>
            <w:vAlign w:val="top"/>
          </w:tcPr>
          <w:p>
            <w:pPr>
              <w:spacing w:line="320" w:lineRule="exact"/>
              <w:jc w:val="left"/>
              <w:rPr>
                <w:rFonts w:hint="eastAsia" w:ascii="仿宋" w:hAnsi="仿宋" w:eastAsia="仿宋" w:cstheme="minorBidi"/>
                <w:b w:val="0"/>
                <w:bCs/>
                <w:kern w:val="2"/>
                <w:sz w:val="21"/>
                <w:szCs w:val="21"/>
                <w:lang w:val="en-US" w:eastAsia="zh-CN" w:bidi="ar-SA"/>
              </w:rPr>
            </w:pPr>
            <w:r>
              <w:rPr>
                <w:rFonts w:hint="eastAsia" w:ascii="仿宋" w:hAnsi="仿宋" w:eastAsia="仿宋"/>
                <w:b w:val="0"/>
                <w:bCs/>
                <w:szCs w:val="21"/>
                <w:lang w:val="en-US" w:eastAsia="zh-CN"/>
              </w:rPr>
              <w:t>2、供应商体系认证：供应商提供具有经中国国家认证认可监督管理委员会认证机构颁发的有效期内的体系认证证书，包含</w:t>
            </w:r>
            <w:r>
              <w:rPr>
                <w:rFonts w:hint="eastAsia" w:ascii="仿宋" w:hAnsi="仿宋" w:eastAsia="仿宋" w:cs="仿宋"/>
                <w:bCs/>
                <w:color w:val="000000"/>
                <w:sz w:val="21"/>
                <w:szCs w:val="21"/>
              </w:rPr>
              <w:t>质量管理体系认证证书</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rPr>
              <w:t>环境管理体系认证证书</w:t>
            </w:r>
            <w:r>
              <w:rPr>
                <w:rFonts w:hint="eastAsia" w:ascii="仿宋" w:hAnsi="仿宋" w:eastAsia="仿宋" w:cs="仿宋"/>
                <w:bCs/>
                <w:color w:val="000000"/>
                <w:sz w:val="21"/>
                <w:szCs w:val="21"/>
                <w:lang w:eastAsia="zh-CN"/>
              </w:rPr>
              <w:t>、职业健康安全管理体系认证证书</w:t>
            </w:r>
            <w:r>
              <w:rPr>
                <w:rFonts w:hint="eastAsia" w:ascii="仿宋" w:hAnsi="仿宋" w:eastAsia="仿宋"/>
                <w:b w:val="0"/>
                <w:bCs/>
                <w:szCs w:val="21"/>
                <w:lang w:val="en-US" w:eastAsia="zh-CN"/>
              </w:rPr>
              <w:t>。</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bookmarkStart w:id="0" w:name="_GoBack"/>
            <w:bookmarkEnd w:id="0"/>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vMerge w:val="continue"/>
            <w:tcBorders/>
          </w:tcPr>
          <w:p>
            <w:pPr>
              <w:spacing w:line="320" w:lineRule="exact"/>
              <w:rPr>
                <w:rFonts w:hint="eastAsia" w:ascii="仿宋" w:hAnsi="仿宋" w:eastAsia="仿宋"/>
                <w:b w:val="0"/>
                <w:bCs/>
                <w:szCs w:val="21"/>
                <w:lang w:val="en-US" w:eastAsia="zh-CN"/>
              </w:rPr>
            </w:pPr>
          </w:p>
        </w:tc>
        <w:tc>
          <w:tcPr>
            <w:tcW w:w="1135" w:type="dxa"/>
            <w:vAlign w:val="top"/>
          </w:tcPr>
          <w:p>
            <w:pPr>
              <w:spacing w:line="320" w:lineRule="exact"/>
              <w:rPr>
                <w:rFonts w:hint="eastAsia" w:ascii="仿宋" w:hAnsi="仿宋" w:eastAsia="仿宋" w:cstheme="minorBidi"/>
                <w:b/>
                <w:bCs w:val="0"/>
                <w:kern w:val="2"/>
                <w:sz w:val="21"/>
                <w:szCs w:val="21"/>
                <w:lang w:val="en-US" w:eastAsia="zh-CN" w:bidi="ar-SA"/>
              </w:rPr>
            </w:pPr>
            <w:r>
              <w:rPr>
                <w:rFonts w:hint="eastAsia" w:ascii="仿宋" w:hAnsi="仿宋" w:eastAsia="仿宋"/>
                <w:b/>
                <w:bCs w:val="0"/>
                <w:szCs w:val="21"/>
                <w:lang w:val="en-US" w:eastAsia="zh-CN"/>
              </w:rPr>
              <w:t>请商家自行填写</w:t>
            </w:r>
          </w:p>
        </w:tc>
        <w:tc>
          <w:tcPr>
            <w:tcW w:w="3300" w:type="dxa"/>
            <w:vAlign w:val="top"/>
          </w:tcPr>
          <w:p>
            <w:pPr>
              <w:spacing w:line="320" w:lineRule="exact"/>
              <w:jc w:val="left"/>
              <w:rPr>
                <w:rFonts w:hint="default" w:ascii="仿宋" w:hAnsi="仿宋" w:eastAsia="仿宋" w:cstheme="minorBidi"/>
                <w:b w:val="0"/>
                <w:bCs/>
                <w:kern w:val="2"/>
                <w:sz w:val="21"/>
                <w:szCs w:val="21"/>
                <w:lang w:val="en-US" w:eastAsia="zh-CN" w:bidi="ar-SA"/>
              </w:rPr>
            </w:pPr>
            <w:r>
              <w:rPr>
                <w:rFonts w:hint="eastAsia" w:ascii="仿宋" w:hAnsi="仿宋" w:eastAsia="仿宋" w:cs="仿宋"/>
                <w:bCs/>
                <w:color w:val="FF0000"/>
                <w:sz w:val="21"/>
                <w:szCs w:val="21"/>
                <w:lang w:val="en-US" w:eastAsia="zh-CN"/>
              </w:rPr>
              <w:t>3、</w:t>
            </w:r>
            <w:r>
              <w:rPr>
                <w:rFonts w:hint="eastAsia" w:ascii="仿宋" w:hAnsi="仿宋" w:eastAsia="仿宋" w:cs="仿宋"/>
                <w:bCs/>
                <w:color w:val="FF0000"/>
                <w:sz w:val="21"/>
                <w:szCs w:val="21"/>
              </w:rPr>
              <w:t>类似业绩</w:t>
            </w:r>
            <w:r>
              <w:rPr>
                <w:rFonts w:hint="eastAsia" w:ascii="仿宋" w:hAnsi="仿宋" w:eastAsia="仿宋" w:cs="仿宋"/>
                <w:bCs/>
                <w:color w:val="FF0000"/>
                <w:sz w:val="21"/>
                <w:szCs w:val="21"/>
                <w:lang w:eastAsia="zh-CN"/>
              </w:rPr>
              <w:t>：</w:t>
            </w:r>
            <w:r>
              <w:rPr>
                <w:rFonts w:hint="eastAsia" w:ascii="仿宋" w:hAnsi="仿宋" w:eastAsia="仿宋"/>
                <w:b w:val="0"/>
                <w:bCs/>
                <w:color w:val="FF0000"/>
                <w:szCs w:val="21"/>
                <w:lang w:val="en-US" w:eastAsia="zh-CN"/>
              </w:rPr>
              <w:t xml:space="preserve">投标人具有类似业绩,提供服务合同至少 </w:t>
            </w:r>
            <w:r>
              <w:rPr>
                <w:rFonts w:hint="eastAsia" w:ascii="仿宋" w:hAnsi="仿宋" w:eastAsia="仿宋"/>
                <w:b w:val="0"/>
                <w:bCs/>
                <w:color w:val="FF0000"/>
                <w:szCs w:val="21"/>
                <w:u w:val="single"/>
                <w:lang w:val="en-US" w:eastAsia="zh-CN"/>
              </w:rPr>
              <w:t xml:space="preserve">     </w:t>
            </w:r>
            <w:r>
              <w:rPr>
                <w:rFonts w:hint="eastAsia" w:ascii="仿宋" w:hAnsi="仿宋" w:eastAsia="仿宋"/>
                <w:b w:val="0"/>
                <w:bCs/>
                <w:color w:val="FF0000"/>
                <w:szCs w:val="21"/>
                <w:lang w:val="en-US" w:eastAsia="zh-CN"/>
              </w:rPr>
              <w:t>份</w:t>
            </w:r>
            <w:r>
              <w:rPr>
                <w:rFonts w:hint="eastAsia" w:ascii="仿宋" w:hAnsi="仿宋" w:eastAsia="仿宋"/>
                <w:b w:val="0"/>
                <w:bCs/>
                <w:szCs w:val="21"/>
                <w:lang w:val="en-US" w:eastAsia="zh-CN"/>
              </w:rPr>
              <w:t>。</w:t>
            </w: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5" w:type="dxa"/>
          </w:tcPr>
          <w:p>
            <w:pPr>
              <w:spacing w:line="320" w:lineRule="exact"/>
              <w:rPr>
                <w:rFonts w:hint="eastAsia" w:ascii="仿宋" w:hAnsi="仿宋" w:eastAsia="仿宋"/>
                <w:b w:val="0"/>
                <w:bCs/>
                <w:szCs w:val="21"/>
                <w:lang w:val="en-US" w:eastAsia="zh-CN"/>
              </w:rPr>
            </w:pPr>
          </w:p>
        </w:tc>
        <w:tc>
          <w:tcPr>
            <w:tcW w:w="1135" w:type="dxa"/>
          </w:tcPr>
          <w:p>
            <w:pPr>
              <w:spacing w:line="320" w:lineRule="exact"/>
              <w:rPr>
                <w:rFonts w:hint="default" w:ascii="仿宋" w:hAnsi="仿宋" w:eastAsia="仿宋"/>
                <w:b/>
                <w:bCs w:val="0"/>
                <w:szCs w:val="21"/>
                <w:lang w:val="en-US" w:eastAsia="zh-CN"/>
              </w:rPr>
            </w:pPr>
          </w:p>
        </w:tc>
        <w:tc>
          <w:tcPr>
            <w:tcW w:w="3300" w:type="dxa"/>
          </w:tcPr>
          <w:p>
            <w:pPr>
              <w:spacing w:line="320" w:lineRule="exact"/>
              <w:jc w:val="left"/>
              <w:rPr>
                <w:rFonts w:hint="eastAsia" w:ascii="仿宋" w:hAnsi="仿宋" w:eastAsia="仿宋"/>
                <w:b w:val="0"/>
                <w:bCs/>
                <w:szCs w:val="21"/>
                <w:lang w:val="en-US" w:eastAsia="zh-CN"/>
              </w:rPr>
            </w:pPr>
          </w:p>
        </w:tc>
        <w:tc>
          <w:tcPr>
            <w:tcW w:w="645"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170" w:type="dxa"/>
          </w:tcPr>
          <w:p>
            <w:pPr>
              <w:spacing w:line="320" w:lineRule="exact"/>
              <w:rPr>
                <w:rFonts w:ascii="仿宋" w:hAnsi="仿宋" w:eastAsia="仿宋"/>
                <w:b w:val="0"/>
                <w:bCs/>
                <w:szCs w:val="21"/>
              </w:rPr>
            </w:pPr>
          </w:p>
        </w:tc>
        <w:tc>
          <w:tcPr>
            <w:tcW w:w="156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3060" w:type="dxa"/>
          </w:tcPr>
          <w:p>
            <w:pPr>
              <w:spacing w:line="320" w:lineRule="exact"/>
              <w:rPr>
                <w:rFonts w:hint="default" w:ascii="仿宋" w:hAnsi="仿宋" w:eastAsia="仿宋"/>
                <w:b w:val="0"/>
                <w:bCs/>
                <w:szCs w:val="21"/>
                <w:lang w:val="en-US" w:eastAsia="zh-CN"/>
              </w:rPr>
            </w:pPr>
          </w:p>
        </w:tc>
        <w:tc>
          <w:tcPr>
            <w:tcW w:w="1110" w:type="dxa"/>
          </w:tcPr>
          <w:p>
            <w:pPr>
              <w:spacing w:line="320" w:lineRule="exact"/>
              <w:rPr>
                <w:rFonts w:hint="eastAsia" w:ascii="仿宋" w:hAnsi="仿宋" w:eastAsia="仿宋"/>
                <w:b w:val="0"/>
                <w:bCs/>
                <w:szCs w:val="21"/>
                <w:lang w:val="en-US" w:eastAsia="zh-CN"/>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hint="eastAsia" w:ascii="仿宋" w:hAnsi="仿宋" w:eastAsia="仿宋"/>
                <w:b w:val="0"/>
                <w:bCs/>
                <w:szCs w:val="21"/>
                <w:lang w:val="en-US" w:eastAsia="zh-CN"/>
              </w:rPr>
            </w:pPr>
          </w:p>
        </w:tc>
      </w:tr>
    </w:tbl>
    <w:p>
      <w:pPr>
        <w:spacing w:line="280" w:lineRule="exact"/>
        <w:rPr>
          <w:rFonts w:hint="eastAsia" w:ascii="仿宋" w:hAnsi="仿宋" w:eastAsia="仿宋"/>
          <w:szCs w:val="21"/>
        </w:rPr>
      </w:pPr>
    </w:p>
    <w:p>
      <w:pPr>
        <w:pStyle w:val="6"/>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6D1"/>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3E3FC3"/>
    <w:rsid w:val="026E2AF7"/>
    <w:rsid w:val="028C3AAC"/>
    <w:rsid w:val="02FD2A99"/>
    <w:rsid w:val="03157416"/>
    <w:rsid w:val="03162918"/>
    <w:rsid w:val="03250779"/>
    <w:rsid w:val="032A2E76"/>
    <w:rsid w:val="032F53C7"/>
    <w:rsid w:val="03C97D13"/>
    <w:rsid w:val="03D80B70"/>
    <w:rsid w:val="03F51722"/>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87D7F38"/>
    <w:rsid w:val="091329AD"/>
    <w:rsid w:val="09135C29"/>
    <w:rsid w:val="09392C8A"/>
    <w:rsid w:val="09F05545"/>
    <w:rsid w:val="0A1730E8"/>
    <w:rsid w:val="0A1B7A08"/>
    <w:rsid w:val="0A203C23"/>
    <w:rsid w:val="0AB32F3C"/>
    <w:rsid w:val="0AC56166"/>
    <w:rsid w:val="0ADC08E4"/>
    <w:rsid w:val="0AF93FE7"/>
    <w:rsid w:val="0AFC6D92"/>
    <w:rsid w:val="0B1F4CC9"/>
    <w:rsid w:val="0B4418D4"/>
    <w:rsid w:val="0BB9501C"/>
    <w:rsid w:val="0BBB58C2"/>
    <w:rsid w:val="0BC1013B"/>
    <w:rsid w:val="0C0F5353"/>
    <w:rsid w:val="0C32096A"/>
    <w:rsid w:val="0C476F17"/>
    <w:rsid w:val="0C5E3BDC"/>
    <w:rsid w:val="0C7E360B"/>
    <w:rsid w:val="0C820673"/>
    <w:rsid w:val="0C9B1482"/>
    <w:rsid w:val="0D485FCF"/>
    <w:rsid w:val="0D5D409D"/>
    <w:rsid w:val="0D86358A"/>
    <w:rsid w:val="0E0B2DA3"/>
    <w:rsid w:val="0EEF0F83"/>
    <w:rsid w:val="0F014E92"/>
    <w:rsid w:val="0F1E3A54"/>
    <w:rsid w:val="0F3C791F"/>
    <w:rsid w:val="0F5512C6"/>
    <w:rsid w:val="0F966E56"/>
    <w:rsid w:val="0FE443F8"/>
    <w:rsid w:val="104E5D16"/>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7834F7"/>
    <w:rsid w:val="12893951"/>
    <w:rsid w:val="12DE5A9C"/>
    <w:rsid w:val="13334A49"/>
    <w:rsid w:val="13611B4B"/>
    <w:rsid w:val="137B6A6E"/>
    <w:rsid w:val="138A39DE"/>
    <w:rsid w:val="13A80EEF"/>
    <w:rsid w:val="13E1581F"/>
    <w:rsid w:val="147D52F1"/>
    <w:rsid w:val="14CF6BB1"/>
    <w:rsid w:val="15325208"/>
    <w:rsid w:val="155A79E0"/>
    <w:rsid w:val="15BD705A"/>
    <w:rsid w:val="15C54CCC"/>
    <w:rsid w:val="15D10D8D"/>
    <w:rsid w:val="15E33C23"/>
    <w:rsid w:val="16CC4399"/>
    <w:rsid w:val="17091AEE"/>
    <w:rsid w:val="17461E90"/>
    <w:rsid w:val="177719DE"/>
    <w:rsid w:val="177C4762"/>
    <w:rsid w:val="177F0D6A"/>
    <w:rsid w:val="17FA25E5"/>
    <w:rsid w:val="18584E7F"/>
    <w:rsid w:val="1899778B"/>
    <w:rsid w:val="18D4649C"/>
    <w:rsid w:val="18D56FD4"/>
    <w:rsid w:val="193F0899"/>
    <w:rsid w:val="1A0260CE"/>
    <w:rsid w:val="1A652E65"/>
    <w:rsid w:val="1A7937AC"/>
    <w:rsid w:val="1A8F6DD6"/>
    <w:rsid w:val="1AC057F3"/>
    <w:rsid w:val="1B101758"/>
    <w:rsid w:val="1B9F31F9"/>
    <w:rsid w:val="1BD75F88"/>
    <w:rsid w:val="1BD91B12"/>
    <w:rsid w:val="1BEF2AA3"/>
    <w:rsid w:val="1C185B56"/>
    <w:rsid w:val="1C9571A6"/>
    <w:rsid w:val="1D2B387D"/>
    <w:rsid w:val="1D3A482F"/>
    <w:rsid w:val="1D5D0BCD"/>
    <w:rsid w:val="1DA42EB1"/>
    <w:rsid w:val="1DE06805"/>
    <w:rsid w:val="1DF36129"/>
    <w:rsid w:val="1DF93C7B"/>
    <w:rsid w:val="1E41352B"/>
    <w:rsid w:val="1EA53CFF"/>
    <w:rsid w:val="1F0926FA"/>
    <w:rsid w:val="1F186F98"/>
    <w:rsid w:val="1F1C595D"/>
    <w:rsid w:val="1F78690B"/>
    <w:rsid w:val="1FCB2AEC"/>
    <w:rsid w:val="1FDF6783"/>
    <w:rsid w:val="209C2D0F"/>
    <w:rsid w:val="20AE1D18"/>
    <w:rsid w:val="20B120D5"/>
    <w:rsid w:val="20C0486A"/>
    <w:rsid w:val="20CC5612"/>
    <w:rsid w:val="21156130"/>
    <w:rsid w:val="219B39E2"/>
    <w:rsid w:val="21C645C7"/>
    <w:rsid w:val="21D63524"/>
    <w:rsid w:val="21ED35E0"/>
    <w:rsid w:val="221F22B3"/>
    <w:rsid w:val="2233022B"/>
    <w:rsid w:val="22421C49"/>
    <w:rsid w:val="22426CD1"/>
    <w:rsid w:val="22482F0D"/>
    <w:rsid w:val="22E90E34"/>
    <w:rsid w:val="22FB3ADB"/>
    <w:rsid w:val="23035A4C"/>
    <w:rsid w:val="231D1DD1"/>
    <w:rsid w:val="233B51A7"/>
    <w:rsid w:val="235130BE"/>
    <w:rsid w:val="23EE25BB"/>
    <w:rsid w:val="23F938FE"/>
    <w:rsid w:val="25052E0F"/>
    <w:rsid w:val="25331C52"/>
    <w:rsid w:val="25552E7D"/>
    <w:rsid w:val="25720D38"/>
    <w:rsid w:val="258B383C"/>
    <w:rsid w:val="25AF1EC7"/>
    <w:rsid w:val="25CB2A80"/>
    <w:rsid w:val="25E05DF6"/>
    <w:rsid w:val="263225F6"/>
    <w:rsid w:val="264C3185"/>
    <w:rsid w:val="26FD2518"/>
    <w:rsid w:val="27D35729"/>
    <w:rsid w:val="27E16F51"/>
    <w:rsid w:val="28102089"/>
    <w:rsid w:val="28632016"/>
    <w:rsid w:val="2873238A"/>
    <w:rsid w:val="28C732A1"/>
    <w:rsid w:val="28CA467C"/>
    <w:rsid w:val="28F516D7"/>
    <w:rsid w:val="29194CF5"/>
    <w:rsid w:val="29323FCF"/>
    <w:rsid w:val="295E6B72"/>
    <w:rsid w:val="29977838"/>
    <w:rsid w:val="29C25353"/>
    <w:rsid w:val="29EE439A"/>
    <w:rsid w:val="2A1C3CD3"/>
    <w:rsid w:val="2AC35584"/>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D836AE"/>
    <w:rsid w:val="30E600AF"/>
    <w:rsid w:val="30F17F41"/>
    <w:rsid w:val="311938B0"/>
    <w:rsid w:val="315B210C"/>
    <w:rsid w:val="3164112A"/>
    <w:rsid w:val="317F1D7B"/>
    <w:rsid w:val="31CC76FF"/>
    <w:rsid w:val="31F172F6"/>
    <w:rsid w:val="32905CAB"/>
    <w:rsid w:val="32931F82"/>
    <w:rsid w:val="32B51A27"/>
    <w:rsid w:val="32FA6504"/>
    <w:rsid w:val="33055173"/>
    <w:rsid w:val="330A11E9"/>
    <w:rsid w:val="33294694"/>
    <w:rsid w:val="335210D7"/>
    <w:rsid w:val="33D54BEA"/>
    <w:rsid w:val="34E12746"/>
    <w:rsid w:val="355A5092"/>
    <w:rsid w:val="356C1CB1"/>
    <w:rsid w:val="357E5017"/>
    <w:rsid w:val="358D3127"/>
    <w:rsid w:val="35A119F9"/>
    <w:rsid w:val="35E52E60"/>
    <w:rsid w:val="362339C7"/>
    <w:rsid w:val="3627310D"/>
    <w:rsid w:val="363B2715"/>
    <w:rsid w:val="367F3DA1"/>
    <w:rsid w:val="36AC7731"/>
    <w:rsid w:val="36F1454D"/>
    <w:rsid w:val="3748158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5B369C"/>
    <w:rsid w:val="3DAC214A"/>
    <w:rsid w:val="3DBA0CE8"/>
    <w:rsid w:val="3DC926AD"/>
    <w:rsid w:val="3E291783"/>
    <w:rsid w:val="3F253EC2"/>
    <w:rsid w:val="3FDE6FD5"/>
    <w:rsid w:val="4015650F"/>
    <w:rsid w:val="40676830"/>
    <w:rsid w:val="408B6047"/>
    <w:rsid w:val="40E13EB9"/>
    <w:rsid w:val="40F06215"/>
    <w:rsid w:val="411101D9"/>
    <w:rsid w:val="41120516"/>
    <w:rsid w:val="41391759"/>
    <w:rsid w:val="415E262D"/>
    <w:rsid w:val="41910EE4"/>
    <w:rsid w:val="41B80523"/>
    <w:rsid w:val="41BC551E"/>
    <w:rsid w:val="421279E6"/>
    <w:rsid w:val="423F3439"/>
    <w:rsid w:val="4242307D"/>
    <w:rsid w:val="42611F54"/>
    <w:rsid w:val="427E62A6"/>
    <w:rsid w:val="42985C27"/>
    <w:rsid w:val="42C1143C"/>
    <w:rsid w:val="42D57D44"/>
    <w:rsid w:val="434D63C0"/>
    <w:rsid w:val="434D745C"/>
    <w:rsid w:val="43860D47"/>
    <w:rsid w:val="43A044FF"/>
    <w:rsid w:val="43E95815"/>
    <w:rsid w:val="44364CD0"/>
    <w:rsid w:val="44472C6C"/>
    <w:rsid w:val="448E1FA2"/>
    <w:rsid w:val="452B2802"/>
    <w:rsid w:val="457F7ACC"/>
    <w:rsid w:val="46C2238E"/>
    <w:rsid w:val="46FB6035"/>
    <w:rsid w:val="47AF3639"/>
    <w:rsid w:val="47B1479B"/>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021D52"/>
    <w:rsid w:val="4F413B09"/>
    <w:rsid w:val="4F792DCA"/>
    <w:rsid w:val="4F8F10A2"/>
    <w:rsid w:val="4F9D25EA"/>
    <w:rsid w:val="4FAA2E71"/>
    <w:rsid w:val="4FE70DC0"/>
    <w:rsid w:val="503B0D85"/>
    <w:rsid w:val="50E5625A"/>
    <w:rsid w:val="51195F62"/>
    <w:rsid w:val="51214A1C"/>
    <w:rsid w:val="51B6537D"/>
    <w:rsid w:val="51D60BAD"/>
    <w:rsid w:val="51E85918"/>
    <w:rsid w:val="526B785D"/>
    <w:rsid w:val="529A4E08"/>
    <w:rsid w:val="52CA50F4"/>
    <w:rsid w:val="53054F9F"/>
    <w:rsid w:val="53351597"/>
    <w:rsid w:val="53633748"/>
    <w:rsid w:val="538E7F97"/>
    <w:rsid w:val="53BF452D"/>
    <w:rsid w:val="53F31105"/>
    <w:rsid w:val="54665390"/>
    <w:rsid w:val="54777B6E"/>
    <w:rsid w:val="54796820"/>
    <w:rsid w:val="5490517C"/>
    <w:rsid w:val="54DF553D"/>
    <w:rsid w:val="556B4EDD"/>
    <w:rsid w:val="55DD08C4"/>
    <w:rsid w:val="560343FB"/>
    <w:rsid w:val="56466840"/>
    <w:rsid w:val="565C5E10"/>
    <w:rsid w:val="565E627F"/>
    <w:rsid w:val="56605C0D"/>
    <w:rsid w:val="566C55F5"/>
    <w:rsid w:val="568C5B7C"/>
    <w:rsid w:val="5719718C"/>
    <w:rsid w:val="576F4F06"/>
    <w:rsid w:val="58780095"/>
    <w:rsid w:val="58F451C8"/>
    <w:rsid w:val="599704D6"/>
    <w:rsid w:val="5AD54636"/>
    <w:rsid w:val="5AE91E90"/>
    <w:rsid w:val="5B1220CD"/>
    <w:rsid w:val="5B2F1CB7"/>
    <w:rsid w:val="5BF92FB6"/>
    <w:rsid w:val="5C207A49"/>
    <w:rsid w:val="5C451348"/>
    <w:rsid w:val="5C6C0FCA"/>
    <w:rsid w:val="5C6E4D42"/>
    <w:rsid w:val="5D40525F"/>
    <w:rsid w:val="5DC934C7"/>
    <w:rsid w:val="5DE61BB4"/>
    <w:rsid w:val="5DE921E3"/>
    <w:rsid w:val="5E025F34"/>
    <w:rsid w:val="5E5B76CA"/>
    <w:rsid w:val="5E6957C1"/>
    <w:rsid w:val="5E6957E0"/>
    <w:rsid w:val="5EAF49FF"/>
    <w:rsid w:val="5EB005A8"/>
    <w:rsid w:val="5ED457C4"/>
    <w:rsid w:val="5F36302E"/>
    <w:rsid w:val="5F4E6765"/>
    <w:rsid w:val="5F5D4F94"/>
    <w:rsid w:val="5FE64BF0"/>
    <w:rsid w:val="600E2F0E"/>
    <w:rsid w:val="60A0128E"/>
    <w:rsid w:val="613D6F0C"/>
    <w:rsid w:val="61563EDB"/>
    <w:rsid w:val="61606110"/>
    <w:rsid w:val="616B2C59"/>
    <w:rsid w:val="617F52FC"/>
    <w:rsid w:val="618B5A4F"/>
    <w:rsid w:val="61C35ECC"/>
    <w:rsid w:val="6200624D"/>
    <w:rsid w:val="622412A8"/>
    <w:rsid w:val="624152A8"/>
    <w:rsid w:val="62717F29"/>
    <w:rsid w:val="62C959F4"/>
    <w:rsid w:val="64293E8B"/>
    <w:rsid w:val="6431737D"/>
    <w:rsid w:val="64491E06"/>
    <w:rsid w:val="65351D88"/>
    <w:rsid w:val="653D28FB"/>
    <w:rsid w:val="653F0AED"/>
    <w:rsid w:val="65483BE2"/>
    <w:rsid w:val="65BB2EF6"/>
    <w:rsid w:val="65D82B19"/>
    <w:rsid w:val="65F32E35"/>
    <w:rsid w:val="666E3111"/>
    <w:rsid w:val="66700D86"/>
    <w:rsid w:val="66B90AD6"/>
    <w:rsid w:val="66F34A45"/>
    <w:rsid w:val="67096872"/>
    <w:rsid w:val="672166AA"/>
    <w:rsid w:val="673F51FA"/>
    <w:rsid w:val="676B07FC"/>
    <w:rsid w:val="681D4ECB"/>
    <w:rsid w:val="689F687A"/>
    <w:rsid w:val="68A270ED"/>
    <w:rsid w:val="68F64B7B"/>
    <w:rsid w:val="69993FC4"/>
    <w:rsid w:val="69C433F1"/>
    <w:rsid w:val="6A163EBE"/>
    <w:rsid w:val="6A656DD9"/>
    <w:rsid w:val="6B0928F1"/>
    <w:rsid w:val="6BA52303"/>
    <w:rsid w:val="6C7F08A6"/>
    <w:rsid w:val="6CBA018C"/>
    <w:rsid w:val="6CD67BD4"/>
    <w:rsid w:val="6D1610B8"/>
    <w:rsid w:val="6D302D7C"/>
    <w:rsid w:val="6D392803"/>
    <w:rsid w:val="6D9E2518"/>
    <w:rsid w:val="6DBA7B46"/>
    <w:rsid w:val="6E77495A"/>
    <w:rsid w:val="6EC800BC"/>
    <w:rsid w:val="6F2F0361"/>
    <w:rsid w:val="6FB73BE7"/>
    <w:rsid w:val="6FC74F89"/>
    <w:rsid w:val="6FC82399"/>
    <w:rsid w:val="6FE93FCD"/>
    <w:rsid w:val="70120CD3"/>
    <w:rsid w:val="70310109"/>
    <w:rsid w:val="705B2C76"/>
    <w:rsid w:val="70CB34AB"/>
    <w:rsid w:val="70E368C0"/>
    <w:rsid w:val="70F17567"/>
    <w:rsid w:val="710A4F1D"/>
    <w:rsid w:val="71685DAD"/>
    <w:rsid w:val="718E6436"/>
    <w:rsid w:val="71CF7BDA"/>
    <w:rsid w:val="725F012C"/>
    <w:rsid w:val="727A01CC"/>
    <w:rsid w:val="72FD5CB8"/>
    <w:rsid w:val="73452A90"/>
    <w:rsid w:val="73586019"/>
    <w:rsid w:val="736E6F41"/>
    <w:rsid w:val="73CC6079"/>
    <w:rsid w:val="73DF5EF1"/>
    <w:rsid w:val="74B17A6A"/>
    <w:rsid w:val="74CF4AFC"/>
    <w:rsid w:val="751E4CA6"/>
    <w:rsid w:val="753A5E46"/>
    <w:rsid w:val="7550035E"/>
    <w:rsid w:val="758A45B5"/>
    <w:rsid w:val="758D4034"/>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2F56B9"/>
    <w:rsid w:val="7A6D1745"/>
    <w:rsid w:val="7A8D0632"/>
    <w:rsid w:val="7A8E45BE"/>
    <w:rsid w:val="7BDD0B1E"/>
    <w:rsid w:val="7BF32717"/>
    <w:rsid w:val="7BFF10BB"/>
    <w:rsid w:val="7C366122"/>
    <w:rsid w:val="7C693CA2"/>
    <w:rsid w:val="7C7062B2"/>
    <w:rsid w:val="7D4E23DA"/>
    <w:rsid w:val="7E3452EF"/>
    <w:rsid w:val="7E6601F9"/>
    <w:rsid w:val="7E697BFB"/>
    <w:rsid w:val="7EC42D4A"/>
    <w:rsid w:val="7EDC1B88"/>
    <w:rsid w:val="7EE97DD9"/>
    <w:rsid w:val="7EF02F3D"/>
    <w:rsid w:val="7F1629A4"/>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autoRedefine/>
    <w:qFormat/>
    <w:uiPriority w:val="0"/>
    <w:pPr>
      <w:widowControl/>
      <w:spacing w:before="280" w:after="280"/>
    </w:pPr>
    <w:rPr>
      <w:rFonts w:ascii="宋体" w:hAnsi="Times New Roman" w:eastAsia="宋体" w:cs="Times New Roman"/>
      <w:sz w:val="18"/>
    </w:rPr>
  </w:style>
  <w:style w:type="paragraph" w:customStyle="1" w:styleId="11">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5"/>
    <w:autoRedefine/>
    <w:semiHidden/>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4223</Words>
  <Characters>4374</Characters>
  <Lines>6</Lines>
  <Paragraphs>1</Paragraphs>
  <TotalTime>13</TotalTime>
  <ScaleCrop>false</ScaleCrop>
  <LinksUpToDate>false</LinksUpToDate>
  <CharactersWithSpaces>4596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渡</cp:lastModifiedBy>
  <dcterms:modified xsi:type="dcterms:W3CDTF">2024-06-12T03:32:24Z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F524E4D748A4440CA767081C0279DA23_13</vt:lpwstr>
  </property>
  <property fmtid="{D5CDD505-2E9C-101B-9397-08002B2CF9AE}" pid="4" name="commondata">
    <vt:lpwstr>eyJoZGlkIjoiNzljOTE0MDRlMmUyY2M3ZGQ4Nzk0OWRiOWI1OGE3ZmYifQ==</vt:lpwstr>
  </property>
</Properties>
</file>