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lang w:val="en-US" w:eastAsia="zh-CN"/>
        </w:rPr>
        <w:t>,But actually</w:t>
      </w: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市中医院科教智慧电视机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科教智慧电视机（数量一台</w:t>
            </w:r>
            <w:bookmarkStart w:id="0" w:name="_GoBack"/>
            <w:bookmarkEnd w:id="0"/>
            <w:r>
              <w:rPr>
                <w:rFonts w:hint="eastAsia" w:ascii="仿宋" w:hAnsi="仿宋" w:eastAsia="仿宋"/>
                <w:bCs/>
                <w:szCs w:val="21"/>
                <w:lang w:val="en-US" w:eastAsia="zh-CN"/>
              </w:rPr>
              <w:t>）</w:t>
            </w:r>
          </w:p>
        </w:tc>
        <w:tc>
          <w:tcPr>
            <w:tcW w:w="795"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功能参数</w:t>
            </w:r>
          </w:p>
        </w:tc>
        <w:tc>
          <w:tcPr>
            <w:tcW w:w="4523" w:type="dxa"/>
            <w:noWrap w:val="0"/>
            <w:vAlign w:val="top"/>
          </w:tcPr>
          <w:p>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采用防眩光全钢化防爆玻璃面板，耐热冲击性能均通过国家强制玻璃标准，机身具备防盐雾锈蚀特性，满足防火要求；产品符合强制性产品认证制度，需具备CCC认证；产品经过中国节能产品认证，需具备节能认证证书；</w:t>
            </w:r>
          </w:p>
          <w:p>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显示参数：整机屏幕≥100英寸屏，长≥2210mm，高≥1240mm，分辨率≥3840x2160，≥1000nits亮度，≥144Hz高刷；</w:t>
            </w:r>
          </w:p>
          <w:p>
            <w:pPr>
              <w:numPr>
                <w:ilvl w:val="0"/>
                <w:numId w:val="2"/>
              </w:numPr>
              <w:spacing w:line="320" w:lineRule="exact"/>
              <w:ind w:left="0" w:leftChars="0" w:firstLine="0" w:firstLineChars="0"/>
              <w:jc w:val="left"/>
              <w:rPr>
                <w:rFonts w:hint="eastAsia" w:ascii="仿宋" w:hAnsi="仿宋" w:eastAsia="仿宋"/>
                <w:bCs/>
                <w:szCs w:val="21"/>
                <w:lang w:val="en-US" w:eastAsia="zh-CN"/>
              </w:rPr>
            </w:pPr>
            <w:r>
              <w:rPr>
                <w:rFonts w:hint="eastAsia" w:ascii="仿宋" w:hAnsi="仿宋" w:eastAsia="仿宋"/>
                <w:bCs/>
                <w:szCs w:val="21"/>
                <w:lang w:val="en-US" w:eastAsia="zh-CN"/>
              </w:rPr>
              <w:t>处理器：CPU≥ 四核，运行内存≥4GB，内存≥64GB；</w:t>
            </w:r>
          </w:p>
          <w:p>
            <w:pPr>
              <w:numPr>
                <w:ilvl w:val="0"/>
                <w:numId w:val="0"/>
              </w:numPr>
              <w:spacing w:line="320" w:lineRule="exact"/>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4、接入参数：HDMI:≥3个，USB≥2个，AV≥1个，ATV/DTMB≥1个；</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5、内置播放器：内置 Mi-Player 播放器，支持 RM、FLV、MOV、AVI、MKV、TS、MP4 等主流格式；6、视频解码：支持MPEG1/2/4、H.264、Real等；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7、音频解码：DOLBY AUDIO、DTS-HD音频双解码等；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8、音视频参数：支持独立双分频，≥8个发声单元;</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9、网络参数：支持有线、WiFi、支持蓝牙等;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10、功率：不低于550W；</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11、整机质保一年，主要部件质保三年，全国联保，享受三包服务。</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FC6BD"/>
    <w:multiLevelType w:val="singleLevel"/>
    <w:tmpl w:val="87CFC6BD"/>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5"/>
    <w:autoRedefine/>
    <w:semiHidden/>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1136</Words>
  <Characters>1168</Characters>
  <Lines>6</Lines>
  <Paragraphs>1</Paragraphs>
  <TotalTime>4</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2024-06-05T10:22:27Z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