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医院</w:t>
      </w:r>
      <w:r>
        <w:rPr>
          <w:rFonts w:hint="eastAsia" w:asciiTheme="majorEastAsia" w:hAnsiTheme="majorEastAsia" w:eastAsiaTheme="majorEastAsia"/>
          <w:b/>
          <w:sz w:val="36"/>
          <w:szCs w:val="36"/>
          <w:lang w:val="en-US" w:eastAsia="zh-CN"/>
        </w:rPr>
        <w:t>HRP系统</w:t>
      </w:r>
      <w:r>
        <w:rPr>
          <w:rFonts w:hint="eastAsia" w:asciiTheme="majorEastAsia" w:hAnsiTheme="majorEastAsia" w:eastAsiaTheme="majorEastAsia"/>
          <w:b/>
          <w:sz w:val="32"/>
          <w:szCs w:val="32"/>
        </w:rPr>
        <w:t>项目初步参数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7"/>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1275"/>
        <w:gridCol w:w="6045"/>
        <w:gridCol w:w="705"/>
        <w:gridCol w:w="645"/>
        <w:gridCol w:w="63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9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系统基础平台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系统设置</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包括系统字典维护、联用设置等日常操作，支持组织机构管理、用户角色权限管理以及任务调度，支持设置基础档案编码规则及系统参数配置等。</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医院字典管理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对医院的用户定义代码、会计科目、账套管理、组织机构体系、职工信息、收入信息、成本信息、物资信息、资产信息、药品信息、供应商及其他基础字典等常用信息进行维护及管理。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系统管理平台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1.用户权限管理：对医院各角色、用户进行设置及相应权限的赋权管理；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2.业务日志：提供用户操作日志的自动记录和查询功能；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3.任务调度：支持对系统自动任务的定时设置及查看追踪。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bookmarkStart w:id="0" w:name="_GoBack"/>
            <w:bookmarkEnd w:id="0"/>
            <w:r>
              <w:rPr>
                <w:rFonts w:hint="eastAsia" w:ascii="仿宋" w:hAnsi="仿宋" w:eastAsia="仿宋" w:cs="仿宋"/>
                <w:i w:val="0"/>
                <w:iCs w:val="0"/>
                <w:color w:val="000000"/>
                <w:kern w:val="0"/>
                <w:sz w:val="21"/>
                <w:szCs w:val="21"/>
                <w:u w:val="none"/>
                <w:lang w:val="en-US" w:eastAsia="zh-CN" w:bidi="ar"/>
              </w:rPr>
              <w:t>数据集成平台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完成与医院第三方信息系统的数据及平台统一交互，涉及与 HIS、SPD、电子病历、药品、人力、绩效以及银行等， 以实现医院的数据规范、信息规范和一体化目标。本系统的所有接口，不收取任何形式费用。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应用建模平台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分析平台：通过定义数据模型、可视化模型，用户可以自定义数据源、分析模型和指标，自定义页面布局和展示内容，为用户多元化展示数据提供可视化工具；</w:t>
            </w:r>
          </w:p>
          <w:p>
            <w:pPr>
              <w:keepNext w:val="0"/>
              <w:keepLines w:val="0"/>
              <w:widowControl/>
              <w:numPr>
                <w:ilvl w:val="0"/>
                <w:numId w:val="2"/>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流程平台：支持对各系统审批流程的自定义设置，满足医院相关业务应用 的个性化流程审批管理要求；</w:t>
            </w:r>
          </w:p>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打印模板管理：提供打印模板的定义设计、修改、删除功能。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p>
            <w:pPr>
              <w:pStyle w:val="4"/>
              <w:rPr>
                <w:rFonts w:hint="eastAsia" w:ascii="仿宋" w:hAnsi="仿宋" w:eastAsia="仿宋" w:cs="仿宋"/>
                <w:i w:val="0"/>
                <w:iCs w:val="0"/>
                <w:color w:val="000000"/>
                <w:sz w:val="21"/>
                <w:szCs w:val="21"/>
                <w:u w:val="none"/>
              </w:rPr>
            </w:pPr>
          </w:p>
          <w:p>
            <w:pPr>
              <w:rPr>
                <w:rFonts w:hint="eastAsia" w:ascii="仿宋" w:hAnsi="仿宋" w:eastAsia="仿宋" w:cs="仿宋"/>
                <w:i w:val="0"/>
                <w:iCs w:val="0"/>
                <w:color w:val="000000"/>
                <w:sz w:val="21"/>
                <w:szCs w:val="21"/>
                <w:u w:val="none"/>
              </w:rPr>
            </w:pPr>
          </w:p>
          <w:p>
            <w:pPr>
              <w:pStyle w:val="4"/>
              <w:rPr>
                <w:rFonts w:hint="eastAsia" w:ascii="仿宋" w:hAnsi="仿宋" w:eastAsia="仿宋" w:cs="仿宋"/>
                <w:i w:val="0"/>
                <w:iCs w:val="0"/>
                <w:color w:val="000000"/>
                <w:sz w:val="21"/>
                <w:szCs w:val="21"/>
                <w:u w:val="none"/>
              </w:rPr>
            </w:pPr>
          </w:p>
          <w:p>
            <w:pPr>
              <w:rPr>
                <w:rFonts w:hint="eastAsia" w:ascii="仿宋" w:hAnsi="仿宋" w:eastAsia="仿宋" w:cs="仿宋"/>
                <w:i w:val="0"/>
                <w:iCs w:val="0"/>
                <w:color w:val="000000"/>
                <w:sz w:val="21"/>
                <w:szCs w:val="21"/>
                <w:u w:val="none"/>
              </w:rPr>
            </w:pPr>
          </w:p>
          <w:p>
            <w:pPr>
              <w:pStyle w:val="4"/>
              <w:rPr>
                <w:rFonts w:hint="eastAsia" w:ascii="仿宋" w:hAnsi="仿宋" w:eastAsia="仿宋" w:cs="仿宋"/>
                <w:i w:val="0"/>
                <w:iCs w:val="0"/>
                <w:color w:val="000000"/>
                <w:sz w:val="21"/>
                <w:szCs w:val="21"/>
                <w:u w:val="none"/>
              </w:rPr>
            </w:pPr>
          </w:p>
          <w:p>
            <w:pPr>
              <w:rPr>
                <w:rFonts w:hint="eastAsia" w:ascii="仿宋" w:hAnsi="仿宋" w:eastAsia="仿宋" w:cs="仿宋"/>
                <w:i w:val="0"/>
                <w:iCs w:val="0"/>
                <w:color w:val="000000"/>
                <w:sz w:val="21"/>
                <w:szCs w:val="21"/>
                <w:u w:val="none"/>
              </w:rPr>
            </w:pPr>
          </w:p>
          <w:p>
            <w:pPr>
              <w:pStyle w:val="4"/>
              <w:rPr>
                <w:rFonts w:hint="eastAsia" w:ascii="仿宋" w:hAnsi="仿宋" w:eastAsia="仿宋" w:cs="仿宋"/>
                <w:i w:val="0"/>
                <w:iCs w:val="0"/>
                <w:color w:val="000000"/>
                <w:sz w:val="21"/>
                <w:szCs w:val="21"/>
                <w:u w:val="none"/>
              </w:rPr>
            </w:pPr>
          </w:p>
          <w:p>
            <w:pPr>
              <w:rPr>
                <w:rFonts w:hint="eastAsia" w:ascii="仿宋" w:hAnsi="仿宋" w:eastAsia="仿宋" w:cs="仿宋"/>
                <w:i w:val="0"/>
                <w:iCs w:val="0"/>
                <w:color w:val="000000"/>
                <w:sz w:val="21"/>
                <w:szCs w:val="21"/>
                <w:u w:val="none"/>
              </w:rPr>
            </w:pPr>
          </w:p>
          <w:p>
            <w:pPr>
              <w:pStyle w:val="4"/>
              <w:rPr>
                <w:rFonts w:hint="eastAsia"/>
              </w:rPr>
            </w:pPr>
            <w:r>
              <w:rPr>
                <w:rFonts w:hint="eastAsia" w:ascii="仿宋" w:hAnsi="仿宋" w:eastAsia="仿宋" w:cs="仿宋"/>
                <w:i w:val="0"/>
                <w:iCs w:val="0"/>
                <w:color w:val="000000"/>
                <w:kern w:val="0"/>
                <w:sz w:val="21"/>
                <w:szCs w:val="21"/>
                <w:u w:val="none"/>
                <w:lang w:val="en-US" w:eastAsia="zh-CN" w:bidi="ar"/>
              </w:rPr>
              <w:t>预算管理</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预算编制、审核和批复                                     </w:t>
            </w:r>
          </w:p>
        </w:tc>
        <w:tc>
          <w:tcPr>
            <w:tcW w:w="60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建立“全口径、全过程、全员性、全方位”的全面预算管理体系，包括实现预算样表设计、预算编制、预算审核、预算报表、预算调整、预算执行、预算控制设置、预算分析、预算绩效的全过程管理；构建建立医院级、归口管理部门级、预算科室级的三级预算管理体系，确保全员参与；涵盖业务预算、收入预算、支出预算、投资筹资预算的全面预算管理体系，主要支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1.可上传相关政策文件，维护预算项目（项目库）基础资料；</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2.可在系统内按自定义条件编制预算方案；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3.生成并下发和收集医疗业务工作量样表、收入预算（财政、科教、医疗）样表、支出预算（财政、科教、医疗）样表、筹资投资预算样表、预算调整样表等各类模板样表；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4.支持公立医院收支两条线预算编制，按预算项目进行编制，支持导入导出EXCEL，保证预算事项档案、预算收支项目与会计科目对照关系适配、预算事项与辅助核算对照适配；</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5.支持公立医院三级预算体系搭建，满足二上二下的编报流程，汇总提交审批，预算批复、分解下达任务；</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集成预算编制模块和财务模块，支持现金管理、应收应付、报销管理、合同管理、总账等系统取实际发生数，作为编制本期预算的参考；可按预算控制资金管理、应收应付、报销管理、合同管理、资金计划等模块；</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7.项目预算绩效申报，由归口科室同步完成，报表格式参照预算一体化系统平台中预算绩效申报表，支持EXCEL导出导入功能；</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8.预算的审核分为预算科室内审核、归口审核两个审核阶段，支持按自定义流程审核、批复预算。</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0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预算调整</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预算调整和预算调剂。其中预算调整单可对已编制的预算进行调整。预算调整单可用于追加预算和调减预算，预算总金额会相应增加或减少；通过预算调剂单，对已编制的预算进行调剂。预算调剂用于各预算项目之间的预算金额调剂，预算总金额不变。</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1.收入预算执行：在预算管理系统中医疗收入的执行数据可以获取 HIS 中的收入数据（动态核销）和按月抽取财务总账中收入数据（静态核销）两种方式。财政补助收入的预算执行数可通过实际的财务收款的会计凭证进行获取。医院的其他收入类业务的预算执行数，亦可通过系统间的联通，采集财务收款的会计凭证作为预算执行数；</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2.支出预算执行：分从业务和财务这两个执行角度，可以分为动态核销和静态核销，支持预算占用；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3.业务预算执行：可通过接口获取 HIS 数据进行执行，或者手工录入数据执行；</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4.支持全院预算与资金计划联查，已支付的资金计划与预算同时自动核销；</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5.与智能报账系统关联，报账界面实时反映预算项目执行情况，资金支付后自动核销相关预算事项，并按月、季、年度自动生成预算执行率报表。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预算控制</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通过报账系统对支出预算进行控制，包括个人报销和对公报账。个人报销主要指个人的日常、差旅费用报销等；对公报账主要指合同、采购、资产的对公报账等支付。支持刚性或柔性控制。预算管理办公室可在预算管理系统中通过控制策略，配置对其他业务系统的预算控制。系统支持对具体单据、控制节点、预算执行类别的设置。可通过精细化的定义控制维度，实现对不同业务单据按不同的业务维度去控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预算分析和预算绩效评价</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提供预算表列分析和预算项目执行跟踪等多种分析功能，还可以实现基于自定义维度的自由分析，主要支持：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1.支持预算执行分析，可支持预算科室和归口科室从指标、事项、项目、科室的维度对预算执行情况进行查询，可自定义生成预算分析表，支持EXCEL导出功能；</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2.支持预算绩效评价，由归口管理科室填报，报表格式参照预算一体化平台预算绩效评价表，支持EXCEL导出导入功能。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财务管理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基础设置</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主要包括基础信息、基础编码、科目关系设置、自动凭证设置等基础设置。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总账</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能够满足医院日常基本财务核算工作中常用的账簿初始化、凭证管理、HIS 与药房等外部业务管理、账簿管理、期末处理等业务要求，主要支持：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1.衔接新旧信息系统账套转换初始化，包括账套余额结转、年初余额调整、科目初始账录入等；旧账套的数据无缝接入新系统，保证新系统里可以查询以往年度数据；</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日常凭证录入，按条件查询凭证，自定义凭证模板，按报销审核数据自动生成凭证，按工资、绩效等发放数据自动生成凭证，按HIS、SPD、资产、药品等数据自动生成凭证，自定义业务自动生成凭证（如按时、按频率、按新增业务等自动生成凭证），凭证现金流量标注，凭证电子签名，凭证审核与标错纠错，凭证记账，按科目、凭证类型等进行凭证汇总与统计，凭证差异项自动标注与查询，自定义打印凭证格式，凭证分册设置等；财务会计和预算会计实现自定义辅助核算维度（如预算会计实现功能分类科目和项目名称两个维度核算）；</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3.与 HIS系统对接，获取门诊、住院、自助机等各类报表数据，并生成自动凭证，可实时查询 HIS 数据并与科目余额对账；与药品系统对接，按付款日期范围、业务类型、供应商等条件查询并生成入库自动凭证，按调拨出库、领用消耗、退库等数据生成相关自动凭证；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按照业务发生的时间先后顺序逐日、逐笔连续记录凭证数据，并按科目展示，按科目范围、科目级次查询统计科目余额表，查询科目总账、科目明细账、现金日记账、银行日记账、资金日报表、辅助核算项账、现金流量明细表以及各类自定义报表（如应收账款备查表、应付账款备查表、专项资金备查表等）；</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5.引导自动期末结转，对月结及年结数据自动检查校验，试算平衡后生成自动凭证，对固定资产、无形资产、库存物资等科目的本期发生额及期末余额进行系统间对账；</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6.新政府会计制度要求的其他功能，如预算一体化平台数据上传，</w:t>
            </w:r>
            <w:r>
              <w:rPr>
                <w:rFonts w:hint="eastAsia" w:ascii="仿宋" w:hAnsi="仿宋" w:eastAsia="仿宋" w:cs="仿宋"/>
                <w:i w:val="0"/>
                <w:iCs w:val="0"/>
                <w:color w:val="0000FF"/>
                <w:kern w:val="0"/>
                <w:sz w:val="21"/>
                <w:szCs w:val="21"/>
                <w:u w:val="none"/>
                <w:lang w:val="en-US" w:eastAsia="zh-CN" w:bidi="ar"/>
              </w:rPr>
              <w:t>无需人工干预，能够达到考核标准</w:t>
            </w:r>
            <w:r>
              <w:rPr>
                <w:rFonts w:hint="eastAsia" w:ascii="仿宋" w:hAnsi="仿宋" w:eastAsia="仿宋" w:cs="仿宋"/>
                <w:i w:val="0"/>
                <w:iCs w:val="0"/>
                <w:color w:val="000000"/>
                <w:kern w:val="0"/>
                <w:sz w:val="21"/>
                <w:szCs w:val="21"/>
                <w:u w:val="none"/>
                <w:lang w:val="en-US" w:eastAsia="zh-CN" w:bidi="ar"/>
              </w:rPr>
              <w:t>等。</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资金到账认领，对于专项资金、财政拨款、科研经费等资金，由申领人申请、财务确认后自动标记并录入备查簿（按科室），资金使用在申请环节由报账人标记，凭证生成后自动录入至相应备查簿；支持资金申领人查询自己科室的备查簿详情，可自动汇总各科室备查簿；</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2.出纳账登记，登记现金和银行账。 支持出纳对账以及对账结果查询；</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3.自动银行对账，导入银行对账单，自动勾对银行流水，标记不一致项目，根据对账结果生成银行余额调节表，按自定义条件查询银行余额调节表；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4.支持资金监控，对账户日余额分析、现金流量分析、大额交易查询、账户余额预警；</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5.支持金融机构授信和使用情况统计分析，关联合同管理中银行合同。</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往来管理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用于医院处理所有债权债务业务及相关管理工作，包括：医院与供应商、部门和业务员所形成的应收应付款、收款付款业务的管理，为医院提供各种往来款项的处理及自定义查询、统计分析等功能，主要包括：</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通过对应收、应付类科目的借贷方向、金额、合同编号、发票号、往来单位和个人信息等条件的校验，进行自动核销，可以在凭证制作保存后即时核销往来款项，也可以集中核销，可以一一对应核销，也可以多笔款项一起核销，可查询核销记录；</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2.收款室收款员暂存款，实现与HIS协同，自动生成财务凭证；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3.自定义条件查询各往来科目余额表、各往来科目明细账、各往来科目核销清单，定期对未核销往来账目进行预警，按自定义条件对未核销明细账目进行查询；</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4.账龄分析，自定义条件查询应收或应付科目未核销的往来业务时间分布情况；</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5.坏账准备管理，根据应收账款的余额和坏账提取比例自定义提取坏账，并生成对应的坏账提取凭证；</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6.往来设置，根据报销、借款等业务自动生成维护供应商、部门、业务员等基本信息，自动校验往来科目余额与往来明细汇总。</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报表管理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和数据统计</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实现各级组织进行报表的制定、下发、收集、审核、上报、审批与分析等相关业务工作，为医院提供报表编制、数据采集和报表过程管理的全方位管理服务，主要支持：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自定义报表管理，按会计、预算、成本、现金流量等数据生成日常业务报表，本年预算结余与盈余调节表可做到准确归集，可按自定义时间生成，可自定义表内、表间审核公式，对报表数据进行审核，可按上级部门报表定制生成报表（如卫财年报、部门决算报表、三级公立医院绩效考核表、统计报表、资产报表、公立医院高质量发展表等），并录入相关逻辑校验条件；系统需支持舍位平衡，快速自动生成“千元”“万元”报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2.逻辑条件外显，点击任何报表上的数据均可显示相关逻辑校验条件及数据获取渠道，支持报表数据与凭证联查；</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3.数据统计分析，收入、费用、资产负债率、固定资产周转率、存货周转率、医疗服务性收入占比、药占比、耗占比、百元固定资产业务收入等指标的同比环比，可自定义生成数据统计报表。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薪酬管理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通过与人力资源系统和绩效系统做接口，工资和绩效部分通过接口导入代发模块，支持其他代发通过excel导入的代发模块，自动生成相关薪酬凭证。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1.分科室计提工资、代扣保险、发放工资；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2.分科室计提奖金、发放奖金；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3.月末自动统计合成按姓名和身份证号码归集的个人所得税表，支出excel导入导出。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合同管理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合同管理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院各类经济合同、协议管理，实现从合同签订、合同履行、合同归档、合同变更、保证金管理、违约索赔管理，到合同结束的全生命周期管理，系统功能主要包括工作台、合同起草、合同审批、合同签章、合同打印、合同执行、合同报表、合同预警、基础设置等，主要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1.医院日常业务中处理合同的所有环节，包括：录入、审核、生效、变更、冻结、终止、废止、查询统计、打印等；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2.根据合同制定资金计划，以及进行预收、预付款处理等；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3.对合同的活动或状态进行预警，提醒用户进行相关事务处理；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4.提供合同全面跟踪，付款后实时更新合同状态，按自定义条件查询各科室、各类合同；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可扫描上传电子版合同资料，手动录入合同关键信息，支持合同与资金计划、线上报销、资金管理、账务处理等模块联查，支持依据合同信息自动录入应收、应付、预收、预付备查簿，支持依据合同直接录入资金计划并发起线上报账申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6.从HRP起草签订的合同，其信息自动录入应收、应付、预收、预付备查簿，支持依据合同直接录入资金计划并发起线上报账申请；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7.支持自动录入合同维保金、履约保证金备查簿；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8.支持与预算管理、资金计划、资产管理、 财务管理、智能报账等模块的业务协同和一体化应用。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资产管理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卡片管理</w:t>
            </w:r>
          </w:p>
        </w:tc>
        <w:tc>
          <w:tcPr>
            <w:tcW w:w="60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1.卡片初始账：以账表的形式记录期初卡片折旧、转移、处置、资金来源、副卡、使用科室、变动、状态变动、图片等信息。可导入、新增、复制期初卡片，支持生成期初入库单，支持期初建账；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2.卡片维护：维护、新增资产卡片，记录折旧、转移、处置、资金来源、副卡、 使用科室、变动、状态变动、附属设备、图片等信息。支持多种资产分类方式，并按不同口径生成资产报表；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3.支持多资金来源、多项目管理、支持多科室共用资产折旧比例设置；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4.可通过资产卡片联查资产验收、入库、领用、折旧、转移、变更、处置、计量、保养、维护等信息，实时掌握资产动态； 提供卡片复制、修改、日志记录功能；支持附属设备管理，记录、维护附属设备信息。</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固定、无形资产管理</w:t>
            </w:r>
          </w:p>
        </w:tc>
        <w:tc>
          <w:tcPr>
            <w:tcW w:w="60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资产变动主要针对资产转移、原值变动及资产使用状态变动业务并回写卡片信息，主要包括：</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1.支持资产转移（科室－科室/仓库 －仓库/放置区域－放置区域）单据新增功能；支持转移单审核和反审功能；支持转移单查询及打印功能；</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2.支持资产原值变动功能，可进行资产卡片的原值、累计折旧、折旧年限、工作量调整生成原值变动单据；支持变动单据审核和反审功能；支持变动单据查询和打印功能；</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3.可进行资产卡片使用状态变更，并支持卡片批量变更；</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4.支持使用状态变动单审核和反审功能；支持使用状态变动单据查询和打印功能；</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5.支持资金来源调整单据，审核后，可调整资产卡片资金来源数据，并支持重新计算期间折旧；</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资产处置，提供固定资产处置单据新建、审核和反审功能。支持导入盘亏单、设备处置单以及EXCEL单据生成。支持多种资产处置方式，包括核销减少、投资减少、盘亏减少、出让减少、有偿调出、无偿调出、销售减少、捐赠减少、毁损减少、报废减少等方式；</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7.条码管理，支持按资产分类进行条码生成规则设置及资产卡片条码生成功能：</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（1）条码设置：主要实现按照固定资产 分类进行条码生成内容设置；支持附属设备条码生成及打印；</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（2）条码生成：主要支持资产卡片生成条码内容及条码打印；</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（3）赠送条码打印设备1台及所需的辅材；</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折旧摊销，满足医院对资产折旧摊销业务要求，支持平均年限法和工作量法，支持折旧资产当月工作量维护功能；支持资产计提折旧、摊销及反折旧、反摊销功能；可查询各科室计提折旧摊销信息，查看不同资金来源折旧摊销信息；</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9.期末处理，支持固定资产期末数据结转，并为财务会计生成凭证数据；</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10.提供报表统计查询功能，包括折旧账表、资产月报、资产总账、变动账表、资产入库分析表、科室资产分布表等各类报表，可自定义资金来源生成资产报表；</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11.资产移动盘点，提供移动盘点APP，支持手机、PDA等移动盘点方式，移动盘点：提供资产盘点设备和移动盘点APP，通过移动设备上安装的 APP 扫描资产条形码或二维码完成盘点任务，自动生成资产盘点表，赠送相应盘点扫码设备不少于3台；</w:t>
            </w:r>
          </w:p>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12.采购合同及发票，支持与合同管理、智能报账、财务会计模块联查，支持卡片录入时自动导入合同及发票，支持依据合同和发票提示付款。</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科室成本、诊次成本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和床日成本</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1.基础数据管理：实现对医院各核算单元的明细数据进行维护，包含收入数据、成本数据、内部服务数据、固定资产折旧数据、财务数据、工作量数据等，提供数据的维护功能；</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2.数据采集：通过 HRP 系统与 HIS 系统的对接，实现医院 HIS 系统、SPD、固定资产系统、人力资源系统、绩效系统、财务核算系统的有效衔接，自动获取各部门收入、成本、工作量、服务量等数据，为成本核算所需的各类收支数据；在数据获取的过程中，对不能进行自动采集数据需支持成本录入或数据导入功能，目的是为全面地采集收入成本数据；</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成本分摊：按照《医院财务制度》规定的“四类三级分摊法”对成本数据进行分摊，完成全成本核算工作，并能提供对医疗业务成本、医疗成本、医疗全成本、医院全成本的处理，分摊管理支持同一科室不同成本项目按不同的动因进行分摊，支持同级分摊、定向分摊，支持对分摊的数据进行校验，确保分摊结果的准确性；</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4.成本分析：可提供收支余分析、科室分析、本量利分析、人力、药耗专题分析等综合分析功能，系统可自动出具成本报告；</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5.成本报表：支持科室成本报表、诊次成本报表、床日成本报表自动生成。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智能报账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智能报账</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完成医院全部业务线上报账，通过智能填单，实现无接触式全线上流转，满足医院日常药品、设备、耗材等采购报账、差旅报销、借还款管理、收款报账、科研经费报账等业务需求，主要支持：</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1.静态字典数据维护并初始化系统，维护所涉及模块业务的用户、权限管理等基础设置；</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2.医院日常差旅、会议、培训、出国、劳务、支出报账等员工报账业务，合同、资产、采购、维保等对公报账业务，支持上传影像及附件，支持引用合同管理中合同资料，支持自定义设置并打印报账单，支持在报账单上显示报销标准、报销流程、预算情况、资金计划情况等，支持资金支付完成后自动生成专项资金执行率报表、预算执行率报表等；</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3.实现每月资金计划线上申请、审批，支持引用审批后资金计划发起报账申请，完成支付后自动核销相关资金计划安排，自定义格式编制、查询及打印资金计划，支持资金计划与年度预算安排联查；</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4.线上审批，自定义条件查询未审批及已审批单据，支持同意或驳回申请时添加审批意见，支持审批流程中补充附件，支持线上申请与审批电子签名；移动端申请，接入OA流程审批。</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5.借款与还款管理，借款线上申请及审批完成后，可自动生成记账凭证并录入借款备查簿，待还款业务完成后，按相应借款业务进行核销，可按自定义条件查询未核销、部分核销及全部核销借款；</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6.线上报销微信小程序、企业微信、钉钉，可通过微信小程序或钉钉</w:t>
            </w:r>
            <w:r>
              <w:rPr>
                <w:rFonts w:hint="eastAsia" w:ascii="仿宋" w:hAnsi="仿宋" w:eastAsia="仿宋" w:cs="仿宋"/>
                <w:lang w:eastAsia="zh-CN"/>
              </w:rPr>
              <w:t>登录</w:t>
            </w:r>
            <w:r>
              <w:rPr>
                <w:rFonts w:hint="eastAsia" w:ascii="仿宋" w:hAnsi="仿宋" w:eastAsia="仿宋" w:cs="仿宋"/>
              </w:rPr>
              <w:t>报账系统，并发起员工报账、员工借款与对公报账申请，支持领导在小程序、企业微信、钉钉上审批并查看附件，自定义不同业务报账申请模板，报账申请时可扫描上传影像及附件，扫描上传发票时</w:t>
            </w:r>
            <w:r>
              <w:rPr>
                <w:rFonts w:hint="eastAsia" w:ascii="仿宋" w:hAnsi="仿宋" w:eastAsia="仿宋" w:cs="仿宋"/>
                <w:lang w:eastAsia="zh-CN"/>
              </w:rPr>
              <w:t>自动</w:t>
            </w:r>
            <w:r>
              <w:rPr>
                <w:rFonts w:hint="eastAsia" w:ascii="仿宋" w:hAnsi="仿宋" w:eastAsia="仿宋" w:cs="仿宋"/>
              </w:rPr>
              <w:t>识别发票信息并自动验证发票真伪以及是否重复报账；</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7.职工报销汇总统计，按自定义条件查询、汇总单个职工所申请的员工报账业务、借款业务以及对公报账业务，可统计同一员工在某段时间内每笔报销业务及总金额；</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8.影像及附件联查，每笔报账单中的影像资料及附件可在审核、审批、付款、生成凭证、凭证查询、报表统计中进行联查、实现长期存储；</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rPr>
              <w:t>9.发票统计，对于报账所上传的发票影像资料按员工、供应商等进行汇总统计并生成备查簿，可按自定义条件筛选查询。</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对账平台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对账平台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完成支付宝、微信、银行、 自助机、第三方渠道等接口对接，并实现一个期间的 HIS 收入与支付宝、微信、银行、自助机、 第三方渠道等收费数据的对账。需人工处理单边账，可以一键发起退费，</w:t>
            </w:r>
            <w:r>
              <w:rPr>
                <w:rFonts w:hint="eastAsia" w:ascii="仿宋" w:hAnsi="仿宋" w:eastAsia="仿宋" w:cs="仿宋"/>
                <w:i w:val="0"/>
                <w:iCs w:val="0"/>
                <w:color w:val="0000FF"/>
                <w:kern w:val="0"/>
                <w:sz w:val="21"/>
                <w:szCs w:val="21"/>
                <w:u w:val="none"/>
                <w:lang w:val="en-US" w:eastAsia="zh-CN" w:bidi="ar"/>
              </w:rPr>
              <w:t>经核对确认无误后执行退费流程，</w:t>
            </w:r>
            <w:r>
              <w:rPr>
                <w:rFonts w:hint="eastAsia" w:ascii="仿宋" w:hAnsi="仿宋" w:eastAsia="仿宋" w:cs="仿宋"/>
                <w:i w:val="0"/>
                <w:iCs w:val="0"/>
                <w:color w:val="000000"/>
                <w:kern w:val="0"/>
                <w:sz w:val="21"/>
                <w:szCs w:val="21"/>
                <w:u w:val="none"/>
                <w:lang w:val="en-US" w:eastAsia="zh-CN" w:bidi="ar"/>
              </w:rPr>
              <w:t>无需进入各支付渠道分别发起</w:t>
            </w:r>
            <w:r>
              <w:rPr>
                <w:rFonts w:hint="eastAsia" w:ascii="仿宋" w:hAnsi="仿宋" w:eastAsia="仿宋" w:cs="仿宋"/>
                <w:i w:val="0"/>
                <w:iCs w:val="0"/>
                <w:color w:val="0000FF"/>
                <w:kern w:val="0"/>
                <w:sz w:val="21"/>
                <w:szCs w:val="21"/>
                <w:u w:val="none"/>
                <w:lang w:val="en-US" w:eastAsia="zh-CN" w:bidi="ar"/>
              </w:rPr>
              <w:t>退费、对账</w:t>
            </w:r>
            <w:r>
              <w:rPr>
                <w:rFonts w:hint="eastAsia" w:ascii="仿宋" w:hAnsi="仿宋" w:eastAsia="仿宋" w:cs="仿宋"/>
                <w:i w:val="0"/>
                <w:iCs w:val="0"/>
                <w:color w:val="000000"/>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FF"/>
                <w:kern w:val="0"/>
                <w:sz w:val="21"/>
                <w:szCs w:val="21"/>
                <w:highlight w:val="none"/>
                <w:lang w:val="en-US" w:eastAsia="zh-CN" w:bidi="ar"/>
              </w:rPr>
            </w:pPr>
            <w:r>
              <w:rPr>
                <w:rFonts w:hint="eastAsia" w:ascii="仿宋" w:hAnsi="仿宋" w:eastAsia="仿宋" w:cs="仿宋"/>
                <w:color w:val="0000FF"/>
                <w:kern w:val="0"/>
                <w:szCs w:val="21"/>
                <w:highlight w:val="none"/>
                <w:lang w:eastAsia="zh-CN" w:bidi="ar"/>
              </w:rPr>
              <w:t>历史数据迁移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FF"/>
                <w:kern w:val="0"/>
                <w:sz w:val="21"/>
                <w:szCs w:val="21"/>
                <w:highlight w:val="none"/>
                <w:lang w:val="en-US" w:eastAsia="zh-CN" w:bidi="ar"/>
              </w:rPr>
            </w:pPr>
            <w:r>
              <w:rPr>
                <w:rFonts w:hint="eastAsia" w:ascii="仿宋" w:hAnsi="仿宋" w:eastAsia="仿宋" w:cs="仿宋"/>
                <w:color w:val="0000FF"/>
                <w:kern w:val="0"/>
                <w:szCs w:val="21"/>
                <w:highlight w:val="none"/>
                <w:lang w:eastAsia="zh-CN" w:bidi="ar"/>
              </w:rPr>
              <w:t>历史数据迁移</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FF"/>
                <w:kern w:val="0"/>
                <w:sz w:val="21"/>
                <w:szCs w:val="21"/>
                <w:highlight w:val="none"/>
                <w:lang w:val="en-US" w:eastAsia="zh-CN" w:bidi="ar"/>
              </w:rPr>
            </w:pPr>
            <w:r>
              <w:rPr>
                <w:rFonts w:hint="eastAsia" w:ascii="仿宋" w:hAnsi="仿宋" w:eastAsia="仿宋" w:cs="仿宋"/>
                <w:color w:val="0000FF"/>
                <w:kern w:val="0"/>
                <w:szCs w:val="21"/>
                <w:highlight w:val="none"/>
                <w:lang w:bidi="ar"/>
              </w:rPr>
              <w:t>支持历史数据（基础资料、财务所有数据、</w:t>
            </w:r>
            <w:r>
              <w:rPr>
                <w:rFonts w:hint="eastAsia" w:ascii="仿宋" w:hAnsi="仿宋" w:eastAsia="仿宋" w:cs="仿宋"/>
                <w:color w:val="0000FF"/>
                <w:kern w:val="0"/>
                <w:szCs w:val="21"/>
                <w:highlight w:val="none"/>
                <w:lang w:eastAsia="zh-CN" w:bidi="ar"/>
              </w:rPr>
              <w:t>固定</w:t>
            </w:r>
            <w:r>
              <w:rPr>
                <w:rFonts w:hint="eastAsia" w:ascii="仿宋" w:hAnsi="仿宋" w:eastAsia="仿宋" w:cs="仿宋"/>
                <w:color w:val="0000FF"/>
                <w:kern w:val="0"/>
                <w:szCs w:val="21"/>
                <w:highlight w:val="none"/>
                <w:lang w:bidi="ar"/>
              </w:rPr>
              <w:t>资产、人事信息等）迁移</w:t>
            </w:r>
            <w:r>
              <w:rPr>
                <w:rFonts w:hint="eastAsia" w:ascii="仿宋" w:hAnsi="仿宋" w:eastAsia="仿宋" w:cs="仿宋"/>
                <w:color w:val="0000FF"/>
                <w:kern w:val="0"/>
                <w:szCs w:val="21"/>
                <w:highlight w:val="none"/>
                <w:lang w:val="en-US" w:eastAsia="zh-CN" w:bidi="ar"/>
              </w:rPr>
              <w:t>至</w:t>
            </w:r>
            <w:r>
              <w:rPr>
                <w:rFonts w:hint="eastAsia" w:ascii="仿宋" w:hAnsi="仿宋" w:eastAsia="仿宋" w:cs="仿宋"/>
                <w:color w:val="0000FF"/>
                <w:kern w:val="0"/>
                <w:szCs w:val="21"/>
                <w:highlight w:val="none"/>
                <w:lang w:bidi="ar"/>
              </w:rPr>
              <w:t>HRP系统，满足历史数据查询的需</w:t>
            </w:r>
            <w:r>
              <w:rPr>
                <w:rFonts w:hint="eastAsia" w:ascii="仿宋" w:hAnsi="仿宋" w:eastAsia="仿宋" w:cs="仿宋"/>
                <w:color w:val="0000FF"/>
                <w:kern w:val="0"/>
                <w:szCs w:val="21"/>
                <w:highlight w:val="none"/>
                <w:lang w:val="en-US" w:eastAsia="zh-CN" w:bidi="ar"/>
              </w:rPr>
              <w:t>求等</w:t>
            </w:r>
            <w:r>
              <w:rPr>
                <w:rFonts w:hint="eastAsia" w:ascii="仿宋" w:hAnsi="仿宋" w:eastAsia="仿宋" w:cs="仿宋"/>
                <w:color w:val="0000FF"/>
                <w:kern w:val="0"/>
                <w:szCs w:val="21"/>
                <w:highlight w:val="none"/>
                <w:lang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kern w:val="2"/>
                <w:sz w:val="21"/>
                <w:szCs w:val="21"/>
                <w:highlight w:val="yellow"/>
                <w:lang w:val="en-US" w:eastAsia="zh-CN" w:bidi="ar-SA"/>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kern w:val="2"/>
                <w:sz w:val="21"/>
                <w:szCs w:val="21"/>
                <w:highlight w:val="yellow"/>
                <w:lang w:val="en-US" w:eastAsia="zh-CN" w:bidi="ar-SA"/>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kern w:val="2"/>
                <w:sz w:val="21"/>
                <w:szCs w:val="21"/>
                <w:highlight w:val="yellow"/>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支持服务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项目管理要求</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1.供应商应具有健全的项目管理制度和流程，以及合格的项目实施人员，对本项目进行全过程质量管理，确保项目实施的顺利。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2.针对采购方项目，供应商应承诺如下支持服务保证：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①供应商必须提供支持服务以保证系统的平稳运行。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②供应商需要与采购方共同合作，统一安排运维管理，保证系统的有效运转。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③供应商需要制定全面的工作计划，保证按照工作计划进行运维管理。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④供应商应在合同期内将系统的所有变动详细记录，并有反馈。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⑤供应商必须保证版本的控制，对所有的应用系统配置、源程序代码、文档等进行有效的管理。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⑥供应商必须制定安全管理手册，保证系统的可靠性。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⑦供应商必须遵从国家各级政府部门、各级卫生主管部门制定的统一安全标准。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⑧不得使用加密狗、注册码</w:t>
            </w:r>
            <w:r>
              <w:rPr>
                <w:rFonts w:hint="eastAsia" w:ascii="仿宋" w:hAnsi="仿宋" w:eastAsia="仿宋" w:cs="仿宋"/>
                <w:i w:val="0"/>
                <w:iCs w:val="0"/>
                <w:color w:val="0000FF"/>
                <w:kern w:val="0"/>
                <w:sz w:val="21"/>
                <w:szCs w:val="21"/>
                <w:u w:val="none"/>
                <w:lang w:val="en-US" w:eastAsia="zh-CN" w:bidi="ar"/>
              </w:rPr>
              <w:t>等方式</w:t>
            </w:r>
            <w:r>
              <w:rPr>
                <w:rFonts w:hint="eastAsia" w:ascii="仿宋" w:hAnsi="仿宋" w:eastAsia="仿宋" w:cs="仿宋"/>
                <w:i w:val="0"/>
                <w:iCs w:val="0"/>
                <w:color w:val="000000"/>
                <w:kern w:val="0"/>
                <w:sz w:val="21"/>
                <w:szCs w:val="21"/>
                <w:u w:val="none"/>
                <w:lang w:val="en-US" w:eastAsia="zh-CN" w:bidi="ar"/>
              </w:rPr>
              <w:t>限制使用期限或安装点数。免费开放的用户数、接入数、授权数等必须满足软件使用期间内医院的使用需求。（注：供应商须提供响应承诺函（格式自拟），对该项要求进行承诺。该项为实质性响应条款，不满足将导致响应无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⑨供应商对系统的任何改动都应该通知采购方。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3.需求收集及开发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①供应商承担从医院收集需求的工作，用户需求规格说明书将由采购方签字盖章后确认。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②每个模块需由医院指定的业务科室负责人对供应商收集的需求进行确认。在不超出模块整体业务架构的前提下，以业务科室确认的需求作为开发、上线和验收依据。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③供应商需要对用户需求做进一步的分析与处理，并将其转化成技术需求规格，报告给采购方。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4.本项目需在合同签订日起6月内正式上线，投入使用。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5.整体项目在合同签订日起12月内完成。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人员组织要求</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1.成交供应商必须针对本项目专门建立一个完善和稳定的管理组织机构。稳定的项目负责人，其中必须包括一名专职负责的项目经理。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2.供应商若成交须承诺，如更换技术人员，需提供不低于原技术人员同等资历的人员，并通过采购方书面同意，办理相关项目变更手续。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项目实施期间，项目经理、技术负责人接到采购人通知半小时内必须到达采购人现场处理问题。在系统实施期间，供应商承诺的项目经理和关键人员未经采购方同意不得调整，中标供应商如中途更换项目经理，必须征得采购方同意。中标供应商需接受采购方的监督检查，并承担人员不足、不到位所导致的相关质量、进度等违约责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4.对成交供应商在项目实施过程中出现资源、进度、质量协调控制不力的情况，招标方有权要求更换相关项目人员，中标供应商必须予以配合，并确保不影响项目建设的进度和质量。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5.供应商必须在响应文件中提出项目组织方案、人员名单及沟通方案。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6.项目实施团队中须有具备财务专业知识的人员。</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培训要求</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1.供应商在响应文件中提出全面的培训计划和课程内容安排，承诺合同签订后征得用户方同意后实施。成交供应商应承担培训所产生的所有费用。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2.用户培训：六安市中医院工作人员；管理员培训：六安市中医院系统管理员。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3.用户：不少于 10 个工作日；系统管理员：不少于 5 个工作日。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培训目标：成交供应商完成对医院的工作人员进行技术培训，用户能够正确熟练地使用系统。成交供应商完成对系统管理员进行全面培训，系统管理员熟练管理财务信息化平台并可以实现服务的管理维护，完成财务信息化平台日常的管理维护等工作。</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bl>
    <w:p>
      <w:pPr>
        <w:pStyle w:val="4"/>
      </w:pPr>
    </w:p>
    <w:p>
      <w:pPr>
        <w:jc w:val="both"/>
        <w:rPr>
          <w:rFonts w:hint="eastAsia" w:ascii="宋体" w:hAnsi="宋体" w:eastAsia="宋体" w:cs="宋体"/>
          <w:b/>
          <w:bCs/>
          <w:color w:val="000000"/>
          <w:sz w:val="32"/>
          <w:szCs w:val="32"/>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1AFD50"/>
    <w:multiLevelType w:val="singleLevel"/>
    <w:tmpl w:val="5D1AFD5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2839E4"/>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4983351"/>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106C06"/>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autoRedefine/>
    <w:unhideWhenUsed/>
    <w:qFormat/>
    <w:uiPriority w:val="99"/>
    <w:pPr>
      <w:tabs>
        <w:tab w:val="center" w:pos="4153"/>
        <w:tab w:val="right" w:pos="8306"/>
      </w:tabs>
      <w:snapToGrid w:val="0"/>
      <w:jc w:val="left"/>
    </w:pPr>
    <w:rPr>
      <w:sz w:val="18"/>
      <w:szCs w:val="18"/>
    </w:r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w:basedOn w:val="1"/>
    <w:next w:val="1"/>
    <w:autoRedefine/>
    <w:qFormat/>
    <w:uiPriority w:val="0"/>
    <w:pPr>
      <w:spacing w:after="120"/>
    </w:p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4"/>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2"/>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1136</Words>
  <Characters>1168</Characters>
  <Lines>6</Lines>
  <Paragraphs>1</Paragraphs>
  <TotalTime>211</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2024-05-24T06:39:21Z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