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Style w:val="21"/>
          <w:rFonts w:hint="eastAsia" w:ascii="宋体" w:hAnsi="宋体" w:eastAsia="宋体" w:cs="仿宋_GB2312"/>
          <w:sz w:val="36"/>
          <w:szCs w:val="36"/>
          <w:lang w:eastAsia="zh-CN"/>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eastAsia="zh-CN"/>
        </w:rPr>
        <w:t>供应室</w:t>
      </w:r>
      <w:r>
        <w:rPr>
          <w:rStyle w:val="21"/>
          <w:rFonts w:hint="eastAsia" w:ascii="宋体" w:hAnsi="宋体" w:eastAsia="宋体" w:cs="仿宋_GB2312"/>
          <w:sz w:val="36"/>
          <w:szCs w:val="36"/>
          <w:lang w:eastAsia="zh-CN"/>
        </w:rPr>
        <w:t>防护服采购</w:t>
      </w:r>
      <w:r>
        <w:rPr>
          <w:rStyle w:val="21"/>
          <w:rFonts w:hint="eastAsia" w:ascii="宋体" w:hAnsi="宋体" w:eastAsia="宋体" w:cs="仿宋_GB2312"/>
          <w:sz w:val="36"/>
          <w:szCs w:val="36"/>
        </w:rPr>
        <w:t>文件</w:t>
      </w:r>
    </w:p>
    <w:p>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进行询价。</w:t>
      </w:r>
    </w:p>
    <w:p>
      <w:pPr>
        <w:numPr>
          <w:ilvl w:val="0"/>
          <w:numId w:val="1"/>
        </w:numPr>
        <w:ind w:leftChars="-395" w:firstLine="1400" w:firstLineChars="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项目名称：六安市中医院</w:t>
      </w:r>
      <w:r>
        <w:rPr>
          <w:rFonts w:hint="eastAsia" w:ascii="仿宋_GB2312" w:hAnsi="仿宋_GB2312" w:eastAsia="仿宋_GB2312" w:cs="仿宋_GB2312"/>
          <w:sz w:val="28"/>
          <w:szCs w:val="28"/>
          <w:lang w:eastAsia="zh-CN"/>
        </w:rPr>
        <w:t>供应室防护服采购</w:t>
      </w:r>
      <w:r>
        <w:rPr>
          <w:rFonts w:hint="eastAsia" w:ascii="仿宋_GB2312" w:hAnsi="仿宋_GB2312" w:eastAsia="仿宋_GB2312" w:cs="仿宋_GB2312"/>
          <w:sz w:val="28"/>
          <w:szCs w:val="28"/>
        </w:rPr>
        <w:t>项目</w:t>
      </w:r>
    </w:p>
    <w:p>
      <w:pPr>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二、项目编号：</w:t>
      </w:r>
      <w:r>
        <w:rPr>
          <w:rFonts w:hint="eastAsia" w:ascii="仿宋_GB2312" w:hAnsi="仿宋_GB2312" w:eastAsia="仿宋_GB2312" w:cs="仿宋_GB2312"/>
          <w:sz w:val="28"/>
          <w:szCs w:val="28"/>
          <w:lang w:val="zh-CN"/>
        </w:rPr>
        <w:t>LASZYY-HQ2024010</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三、比选地点：六安市中医院一号楼19楼东会议室</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、开标时间：202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、参选文件有效期：30天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、参选保证金：本项目不收参选保证金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、项目简介：</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eastAsia="zh-CN"/>
        </w:rPr>
        <w:t>供应室所需防水透气防护服（非一次性）</w:t>
      </w:r>
      <w:r>
        <w:rPr>
          <w:rFonts w:hint="eastAsia" w:ascii="仿宋_GB2312" w:hAnsi="仿宋_GB2312" w:eastAsia="仿宋_GB2312" w:cs="仿宋_GB2312"/>
          <w:sz w:val="28"/>
          <w:szCs w:val="28"/>
          <w:lang w:val="en-US" w:eastAsia="zh-CN"/>
        </w:rPr>
        <w:t>40件</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六安市中医院19楼总务科</w:t>
      </w:r>
      <w:r>
        <w:rPr>
          <w:rStyle w:val="20"/>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十一、本项目评审办法:</w:t>
      </w:r>
    </w:p>
    <w:p>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该采购项目进行二次报价。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、联系事项：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联系方式：0564-3597279  </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p>
      <w:pPr>
        <w:spacing w:line="480" w:lineRule="exact"/>
        <w:ind w:firstLine="2530" w:firstLineChars="900"/>
        <w:rPr>
          <w:rFonts w:hint="eastAsia" w:ascii="仿宋_GB2312" w:hAnsi="仿宋_GB2312" w:eastAsia="仿宋_GB2312" w:cs="仿宋_GB2312"/>
          <w:b/>
          <w:color w:val="000000"/>
          <w:sz w:val="28"/>
          <w:szCs w:val="28"/>
        </w:rPr>
      </w:pP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采购需求</w:t>
      </w:r>
    </w:p>
    <w:p>
      <w:pPr>
        <w:keepNext w:val="0"/>
        <w:keepLines w:val="0"/>
        <w:pageBreakBefore w:val="0"/>
        <w:widowControl w:val="0"/>
        <w:kinsoku/>
        <w:wordWrap/>
        <w:overflowPunct/>
        <w:topLinePunct w:val="0"/>
        <w:autoSpaceDE/>
        <w:autoSpaceDN/>
        <w:bidi w:val="0"/>
        <w:adjustRightInd/>
        <w:snapToGrid/>
        <w:spacing w:line="560" w:lineRule="atLeast"/>
        <w:ind w:firstLine="600"/>
        <w:textAlignment w:val="auto"/>
        <w:rPr>
          <w:rFonts w:ascii="仿宋_GB2312" w:hAnsi="宋体" w:eastAsia="仿宋_GB2312" w:cs="宋体"/>
          <w:sz w:val="32"/>
          <w:szCs w:val="36"/>
        </w:rPr>
      </w:pPr>
      <w:r>
        <w:rPr>
          <w:rFonts w:hint="eastAsia" w:ascii="黑体" w:hAnsi="黑体" w:eastAsia="黑体" w:cs="黑体"/>
          <w:sz w:val="32"/>
          <w:szCs w:val="36"/>
          <w:lang w:eastAsia="zh-CN"/>
        </w:rPr>
        <w:t>一、数量</w:t>
      </w:r>
      <w:r>
        <w:rPr>
          <w:rFonts w:hint="eastAsia" w:ascii="仿宋_GB2312" w:hAnsi="宋体" w:eastAsia="仿宋_GB2312" w:cs="宋体"/>
          <w:sz w:val="32"/>
          <w:szCs w:val="36"/>
        </w:rPr>
        <w:t>：</w:t>
      </w:r>
      <w:r>
        <w:rPr>
          <w:rFonts w:hint="eastAsia" w:ascii="仿宋_GB2312" w:hAnsi="仿宋_GB2312" w:eastAsia="仿宋_GB2312" w:cs="仿宋_GB2312"/>
          <w:sz w:val="28"/>
          <w:szCs w:val="28"/>
          <w:lang w:val="en-US" w:eastAsia="zh-CN"/>
        </w:rPr>
        <w:t>防水透气防护服40件。</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二、质量要求：</w:t>
      </w:r>
      <w:r>
        <w:rPr>
          <w:rFonts w:hint="eastAsia" w:ascii="仿宋_GB2312" w:hAnsi="仿宋_GB2312" w:eastAsia="仿宋_GB2312" w:cs="仿宋_GB2312"/>
          <w:sz w:val="28"/>
          <w:szCs w:val="28"/>
          <w:lang w:val="en-US" w:eastAsia="zh-CN"/>
        </w:rPr>
        <w:t>防护服后背系带。耐腐蚀、防水性能好可有效阻隔水及其它污染物的渗透、防静电减少污染物的主动吸附，袖口处有绳子可以套住大拇指，在两侧腋窝及后背处有网状可以达到散热效果。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default"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三、合作期限及付款方式：</w:t>
      </w:r>
      <w:r>
        <w:rPr>
          <w:rFonts w:hint="eastAsia" w:ascii="仿宋_GB2312" w:hAnsi="仿宋_GB2312" w:eastAsia="仿宋_GB2312" w:cs="仿宋_GB2312"/>
          <w:sz w:val="28"/>
          <w:szCs w:val="28"/>
          <w:lang w:val="en-US" w:eastAsia="zh-CN"/>
        </w:rPr>
        <w:t>合作期限一年度。自中标之日起一年度内合同单价不变，按需供货，据实结算。</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四、型号要求：</w:t>
      </w:r>
    </w:p>
    <w:tbl>
      <w:tblPr>
        <w:tblStyle w:val="15"/>
        <w:tblpPr w:leftFromText="180" w:rightFromText="180" w:vertAnchor="text" w:horzAnchor="page" w:tblpX="2430" w:tblpY="3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32"/>
        <w:gridCol w:w="1541"/>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型号</w:t>
            </w:r>
          </w:p>
        </w:tc>
        <w:tc>
          <w:tcPr>
            <w:tcW w:w="1732"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165</w:t>
            </w:r>
          </w:p>
        </w:tc>
        <w:tc>
          <w:tcPr>
            <w:tcW w:w="1541"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175</w:t>
            </w:r>
          </w:p>
        </w:tc>
        <w:tc>
          <w:tcPr>
            <w:tcW w:w="3013"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1732"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541"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3013" w:type="dxa"/>
            <w:noWrap w:val="0"/>
            <w:vAlign w:val="top"/>
          </w:tcPr>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r>
    </w:tbl>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五</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eastAsia" w:ascii="黑体" w:hAnsi="黑体" w:eastAsia="黑体" w:cs="黑体"/>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eastAsia" w:ascii="黑体" w:hAnsi="黑体" w:eastAsia="黑体" w:cs="黑体"/>
          <w:sz w:val="32"/>
          <w:szCs w:val="36"/>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firstLine="640" w:firstLineChars="200"/>
        <w:textAlignment w:val="auto"/>
        <w:outlineLvl w:val="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图片仅供参考：</w:t>
      </w:r>
    </w:p>
    <w:p>
      <w:pPr>
        <w:keepNext w:val="0"/>
        <w:keepLines w:val="0"/>
        <w:pageBreakBefore w:val="0"/>
        <w:widowControl w:val="0"/>
        <w:kinsoku/>
        <w:wordWrap/>
        <w:overflowPunct/>
        <w:topLinePunct w:val="0"/>
        <w:autoSpaceDE/>
        <w:autoSpaceDN/>
        <w:bidi w:val="0"/>
        <w:adjustRightInd/>
        <w:snapToGrid/>
        <w:spacing w:line="560" w:lineRule="atLeast"/>
        <w:ind w:firstLine="420" w:firstLineChars="200"/>
        <w:textAlignment w:val="auto"/>
        <w:outlineLvl w:val="0"/>
        <w:rPr>
          <w:rFonts w:hint="eastAsia" w:eastAsia="宋体"/>
          <w:lang w:eastAsia="zh-CN"/>
        </w:rPr>
      </w:pPr>
      <w:r>
        <w:rPr>
          <w:rFonts w:hint="eastAsia" w:eastAsia="宋体"/>
          <w:lang w:eastAsia="zh-CN"/>
        </w:rPr>
        <w:drawing>
          <wp:inline distT="0" distB="0" distL="114300" distR="114300">
            <wp:extent cx="3074670" cy="3074670"/>
            <wp:effectExtent l="0" t="0" r="11430" b="11430"/>
            <wp:docPr id="1" name="图片 1" descr="32b0065cfc449dcdd683d48af3fa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b0065cfc449dcdd683d48af3fafad"/>
                    <pic:cNvPicPr>
                      <a:picLocks noChangeAspect="1"/>
                    </pic:cNvPicPr>
                  </pic:nvPicPr>
                  <pic:blipFill>
                    <a:blip r:embed="rId6"/>
                    <a:stretch>
                      <a:fillRect/>
                    </a:stretch>
                  </pic:blipFill>
                  <pic:spPr>
                    <a:xfrm>
                      <a:off x="0" y="0"/>
                      <a:ext cx="3074670" cy="307467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left="0" w:leftChars="0"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成交供应商先提供样品，经采购人确认后签定合同根据采购人需求进行供货。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left="0" w:leftChars="0" w:firstLine="560" w:firstLineChars="200"/>
        <w:textAlignment w:val="auto"/>
        <w:outlineLvl w:val="0"/>
        <w:rPr>
          <w:rFonts w:hint="eastAsia" w:ascii="仿宋_GB2312" w:hAnsi="仿宋_GB2312" w:eastAsia="仿宋_GB2312" w:cs="仿宋_GB2312"/>
          <w:sz w:val="28"/>
          <w:szCs w:val="28"/>
          <w:lang w:val="en-US" w:eastAsia="zh-CN"/>
        </w:rPr>
      </w:pPr>
    </w:p>
    <w:p>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b/>
          <w:bCs/>
          <w:lang w:val="en-US" w:eastAsia="zh-CN" w:bidi="ar-SA"/>
        </w:rPr>
      </w:pPr>
    </w:p>
    <w:p>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pPr>
        <w:spacing w:line="480" w:lineRule="exact"/>
        <w:rPr>
          <w:rFonts w:hint="eastAsia" w:ascii="仿宋_GB2312" w:hAnsi="仿宋_GB2312" w:eastAsia="仿宋_GB2312" w:cs="仿宋_GB2312"/>
          <w:b/>
          <w:bCs/>
          <w:snapToGrid w:val="0"/>
          <w:color w:val="000000"/>
          <w:kern w:val="0"/>
          <w:sz w:val="28"/>
          <w:szCs w:val="28"/>
        </w:rPr>
      </w:pP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pStyle w:val="35"/>
        <w:spacing w:after="0" w:line="480" w:lineRule="exact"/>
        <w:jc w:val="left"/>
        <w:rPr>
          <w:rFonts w:hint="eastAsia" w:ascii="仿宋_GB2312" w:hAnsi="仿宋_GB2312" w:eastAsia="仿宋_GB2312" w:cs="仿宋_GB2312"/>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pPr>
        <w:spacing w:line="480" w:lineRule="exact"/>
        <w:jc w:val="center"/>
        <w:rPr>
          <w:rFonts w:hint="eastAsia" w:ascii="仿宋_GB2312" w:hAnsi="仿宋_GB2312" w:eastAsia="仿宋_GB2312" w:cs="仿宋_GB2312"/>
          <w:b/>
          <w:bCs/>
          <w:snapToGrid w:val="0"/>
          <w:color w:val="000000"/>
          <w:kern w:val="0"/>
          <w:sz w:val="28"/>
          <w:szCs w:val="28"/>
        </w:rPr>
      </w:pPr>
    </w:p>
    <w:p>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pPr>
        <w:spacing w:line="480" w:lineRule="exact"/>
        <w:rPr>
          <w:rFonts w:hint="eastAsia" w:ascii="仿宋_GB2312" w:hAnsi="仿宋_GB2312" w:eastAsia="仿宋_GB2312" w:cs="仿宋_GB2312"/>
          <w:sz w:val="24"/>
          <w:szCs w:val="28"/>
        </w:rPr>
      </w:pPr>
    </w:p>
    <w:p>
      <w:pPr>
        <w:pStyle w:val="12"/>
        <w:spacing w:line="480" w:lineRule="exact"/>
        <w:ind w:right="-21" w:firstLine="210"/>
        <w:rPr>
          <w:rFonts w:hint="eastAsia" w:ascii="仿宋_GB2312" w:hAnsi="仿宋_GB2312" w:eastAsia="仿宋_GB2312" w:cs="仿宋_GB2312"/>
        </w:rPr>
      </w:pPr>
    </w:p>
    <w:p>
      <w:pPr>
        <w:pStyle w:val="12"/>
        <w:spacing w:line="480" w:lineRule="exact"/>
        <w:ind w:right="-21" w:firstLine="210"/>
        <w:rPr>
          <w:rFonts w:hint="eastAsia" w:ascii="仿宋_GB2312" w:hAnsi="仿宋_GB2312" w:eastAsia="仿宋_GB2312" w:cs="仿宋_GB2312"/>
        </w:rPr>
      </w:pPr>
    </w:p>
    <w:p>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pPr>
        <w:pStyle w:val="35"/>
        <w:spacing w:line="480" w:lineRule="exact"/>
        <w:jc w:val="righ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pPr>
        <w:pStyle w:val="35"/>
        <w:spacing w:after="0" w:line="480" w:lineRule="exact"/>
        <w:jc w:val="right"/>
        <w:rPr>
          <w:rFonts w:hint="eastAsia" w:ascii="仿宋_GB2312" w:hAnsi="仿宋_GB2312" w:eastAsia="仿宋_GB2312" w:cs="仿宋_GB2312"/>
          <w:lang w:val="en-US" w:eastAsia="zh-CN" w:bidi="ar-SA"/>
        </w:rPr>
      </w:pP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bl>
    <w:p>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spacing w:before="103"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snapToGrid w:val="0"/>
          <w:color w:val="000000"/>
          <w:kern w:val="0"/>
          <w:lang w:val="en-US" w:eastAsia="zh-CN"/>
        </w:rPr>
        <w:t>七、六安市中医院供应室防护服报价表</w:t>
      </w:r>
    </w:p>
    <w:tbl>
      <w:tblPr>
        <w:tblStyle w:val="15"/>
        <w:tblpPr w:leftFromText="180" w:rightFromText="180" w:vertAnchor="text" w:horzAnchor="page" w:tblpXSpec="center" w:tblpY="149"/>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1125"/>
        <w:gridCol w:w="5"/>
        <w:gridCol w:w="3327"/>
        <w:gridCol w:w="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4"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名称（型号）</w:t>
            </w:r>
          </w:p>
        </w:tc>
        <w:tc>
          <w:tcPr>
            <w:tcW w:w="1125"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单位</w:t>
            </w:r>
          </w:p>
        </w:tc>
        <w:tc>
          <w:tcPr>
            <w:tcW w:w="3332" w:type="dxa"/>
            <w:gridSpan w:val="2"/>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报价（元）</w:t>
            </w:r>
          </w:p>
        </w:tc>
        <w:tc>
          <w:tcPr>
            <w:tcW w:w="1490" w:type="dxa"/>
            <w:gridSpan w:val="2"/>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both"/>
              <w:rPr>
                <w:rFonts w:hint="default"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防护服（165）</w:t>
            </w:r>
          </w:p>
        </w:tc>
        <w:tc>
          <w:tcPr>
            <w:tcW w:w="1125"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件</w:t>
            </w:r>
          </w:p>
        </w:tc>
        <w:tc>
          <w:tcPr>
            <w:tcW w:w="3332" w:type="dxa"/>
            <w:gridSpan w:val="2"/>
          </w:tcPr>
          <w:p>
            <w:pPr>
              <w:pStyle w:val="35"/>
              <w:spacing w:after="0" w:line="480" w:lineRule="exact"/>
              <w:jc w:val="center"/>
              <w:rPr>
                <w:rFonts w:hint="eastAsia" w:ascii="仿宋_GB2312" w:hAnsi="仿宋_GB2312" w:eastAsia="仿宋_GB2312" w:cs="仿宋_GB2312"/>
                <w:lang w:val="en-US" w:eastAsia="zh-CN" w:bidi="ar-SA"/>
              </w:rPr>
            </w:pPr>
          </w:p>
        </w:tc>
        <w:tc>
          <w:tcPr>
            <w:tcW w:w="1490" w:type="dxa"/>
            <w:gridSpan w:val="2"/>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防护服（175）</w:t>
            </w:r>
          </w:p>
        </w:tc>
        <w:tc>
          <w:tcPr>
            <w:tcW w:w="1130" w:type="dxa"/>
            <w:gridSpan w:val="2"/>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件</w:t>
            </w:r>
          </w:p>
        </w:tc>
        <w:tc>
          <w:tcPr>
            <w:tcW w:w="3332" w:type="dxa"/>
            <w:gridSpan w:val="2"/>
          </w:tcPr>
          <w:p>
            <w:pPr>
              <w:pStyle w:val="35"/>
              <w:spacing w:after="0" w:line="480" w:lineRule="exact"/>
              <w:jc w:val="left"/>
              <w:rPr>
                <w:rFonts w:hint="eastAsia" w:ascii="仿宋_GB2312" w:hAnsi="仿宋_GB2312" w:eastAsia="仿宋_GB2312" w:cs="仿宋_GB2312"/>
                <w:b/>
                <w:bCs/>
                <w:lang w:val="en-US" w:eastAsia="zh-CN" w:bidi="ar-SA"/>
              </w:rPr>
            </w:pPr>
          </w:p>
        </w:tc>
        <w:tc>
          <w:tcPr>
            <w:tcW w:w="1485"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6"/>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合计金额（元）：</w:t>
            </w:r>
          </w:p>
        </w:tc>
      </w:tr>
    </w:tbl>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（注：以上报价含加工费用、人工费、物流运输费以及税金、一定范围内的风险等全部费用。）</w:t>
      </w:r>
    </w:p>
    <w:p>
      <w:pPr>
        <w:pStyle w:val="35"/>
        <w:spacing w:line="480" w:lineRule="exact"/>
        <w:ind w:firstLine="5600" w:firstLineChars="2000"/>
        <w:jc w:val="both"/>
        <w:rPr>
          <w:rFonts w:hint="eastAsia" w:ascii="仿宋_GB2312" w:hAnsi="仿宋_GB2312" w:eastAsia="仿宋_GB2312" w:cs="仿宋_GB2312"/>
          <w:lang w:val="en-US" w:eastAsia="zh-CN" w:bidi="ar-SA"/>
        </w:rPr>
      </w:pPr>
      <w:bookmarkStart w:id="4" w:name="_Hlk148546489"/>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bookmarkStart w:id="5" w:name="_GoBack"/>
      <w:bookmarkEnd w:id="5"/>
      <w:r>
        <w:rPr>
          <w:rFonts w:hint="eastAsia" w:ascii="仿宋_GB2312" w:hAnsi="仿宋_GB2312" w:eastAsia="仿宋_GB2312" w:cs="仿宋_GB2312"/>
          <w:lang w:val="en-US" w:eastAsia="zh-CN" w:bidi="ar-SA"/>
        </w:rPr>
        <w:t>日期：  年   月   日</w:t>
      </w:r>
      <w:bookmarkEnd w:id="4"/>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3E0DAD08"/>
    <w:multiLevelType w:val="singleLevel"/>
    <w:tmpl w:val="3E0DAD0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86A1097"/>
    <w:rsid w:val="095D3437"/>
    <w:rsid w:val="0C381CB4"/>
    <w:rsid w:val="112041FA"/>
    <w:rsid w:val="19F53DD2"/>
    <w:rsid w:val="256B24DE"/>
    <w:rsid w:val="26DB5D7A"/>
    <w:rsid w:val="2F8329CC"/>
    <w:rsid w:val="3B5878C5"/>
    <w:rsid w:val="3E2D4B12"/>
    <w:rsid w:val="43E24CCB"/>
    <w:rsid w:val="456B5FCB"/>
    <w:rsid w:val="47E763C2"/>
    <w:rsid w:val="4BC76A5A"/>
    <w:rsid w:val="5B6A500E"/>
    <w:rsid w:val="66CF4630"/>
    <w:rsid w:val="6C9265BD"/>
    <w:rsid w:val="6F2E5F27"/>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4047</Words>
  <Characters>4458</Characters>
  <Paragraphs>885</Paragraphs>
  <TotalTime>1</TotalTime>
  <ScaleCrop>false</ScaleCrop>
  <LinksUpToDate>false</LinksUpToDate>
  <CharactersWithSpaces>4821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2023-11-20T00:53:00Z</cp:lastPrinted>
  <dcterms:modified xsi:type="dcterms:W3CDTF">2024-05-24T03:16:03Z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F2E2A456B73A46C782C5933F4A772ADA_13</vt:lpwstr>
  </property>
</Properties>
</file>