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呼出气一氧化氮参数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684"/>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b/>
                <w:sz w:val="22"/>
                <w:szCs w:val="22"/>
              </w:rPr>
            </w:pPr>
            <w:r>
              <w:rPr>
                <w:rFonts w:hint="eastAsia"/>
                <w:b/>
                <w:sz w:val="22"/>
                <w:szCs w:val="22"/>
              </w:rPr>
              <w:t>（一）产品标准及认证</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rFonts w:hint="eastAsia" w:eastAsiaTheme="minorEastAsia"/>
                <w:b/>
                <w:sz w:val="22"/>
                <w:szCs w:val="22"/>
                <w:lang w:eastAsia="zh-CN"/>
              </w:rPr>
            </w:pPr>
            <w:r>
              <w:rPr>
                <w:rFonts w:hint="eastAsia"/>
                <w:b/>
                <w:sz w:val="22"/>
                <w:szCs w:val="22"/>
                <w:lang w:eastAsia="zh-CN"/>
              </w:rPr>
              <w:t>参数响应情况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 xml:space="preserve"> 1</w:t>
            </w:r>
            <w:r>
              <w:rPr>
                <w:rFonts w:hint="eastAsia"/>
                <w:sz w:val="22"/>
                <w:szCs w:val="22"/>
              </w:rPr>
              <w:t>、 仪器及耗材均单独获得注册证。</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 xml:space="preserve"> 2</w:t>
            </w:r>
            <w:r>
              <w:rPr>
                <w:rFonts w:hint="eastAsia"/>
                <w:sz w:val="22"/>
                <w:szCs w:val="22"/>
              </w:rPr>
              <w:t>、产品获得C</w:t>
            </w:r>
            <w:r>
              <w:rPr>
                <w:sz w:val="22"/>
                <w:szCs w:val="22"/>
              </w:rPr>
              <w:t>E</w:t>
            </w:r>
            <w:r>
              <w:rPr>
                <w:rFonts w:hint="eastAsia"/>
                <w:sz w:val="22"/>
                <w:szCs w:val="22"/>
              </w:rPr>
              <w:t>或F</w:t>
            </w:r>
            <w:r>
              <w:rPr>
                <w:sz w:val="22"/>
                <w:szCs w:val="22"/>
              </w:rPr>
              <w:t>DA</w:t>
            </w:r>
            <w:r>
              <w:rPr>
                <w:rFonts w:hint="eastAsia"/>
                <w:sz w:val="22"/>
                <w:szCs w:val="22"/>
              </w:rPr>
              <w:t>的认证/备案</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rFonts w:hint="eastAsia"/>
                <w:sz w:val="22"/>
                <w:szCs w:val="22"/>
              </w:rPr>
              <w:t>3、质量认证：I</w:t>
            </w:r>
            <w:r>
              <w:rPr>
                <w:sz w:val="22"/>
                <w:szCs w:val="22"/>
              </w:rPr>
              <w:t>SO 13485</w:t>
            </w:r>
            <w:r>
              <w:rPr>
                <w:rFonts w:hint="eastAsia"/>
                <w:sz w:val="22"/>
                <w:szCs w:val="22"/>
              </w:rPr>
              <w:t>质量体系认证</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40" w:firstLineChars="200"/>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b/>
                <w:sz w:val="22"/>
                <w:szCs w:val="22"/>
              </w:rPr>
            </w:pPr>
            <w:r>
              <w:rPr>
                <w:rFonts w:hint="eastAsia"/>
                <w:b/>
                <w:sz w:val="22"/>
                <w:szCs w:val="22"/>
              </w:rPr>
              <w:t>（二）检测参数和方式</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rFonts w:hint="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1</w:t>
            </w:r>
            <w:r>
              <w:rPr>
                <w:rFonts w:hint="eastAsia"/>
                <w:sz w:val="22"/>
                <w:szCs w:val="22"/>
              </w:rPr>
              <w:t>、应用范围：</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rFonts w:hint="eastAsia"/>
                <w:sz w:val="22"/>
                <w:szCs w:val="22"/>
              </w:rPr>
              <w:t>上呼吸道与下呼吸道（大、小气道及肺泡）的感染、过敏及炎症的辅助诊断、炎症分型及用药监测，适用于支气管哮喘、慢性咳嗽、慢性阻塞性肺疾病和其他呼吸道炎症以及原发性纤毛运动障碍等疾病</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2</w:t>
            </w:r>
            <w:r>
              <w:rPr>
                <w:rFonts w:hint="eastAsia"/>
                <w:sz w:val="22"/>
                <w:szCs w:val="22"/>
              </w:rPr>
              <w:t>、</w:t>
            </w:r>
            <w:r>
              <w:rPr>
                <w:sz w:val="22"/>
                <w:szCs w:val="22"/>
              </w:rPr>
              <w:t>采样方式：</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bookmarkStart w:id="0" w:name="_GoBack"/>
            <w:bookmarkEnd w:id="0"/>
            <w:r>
              <w:rPr>
                <w:sz w:val="22"/>
                <w:szCs w:val="22"/>
              </w:rPr>
              <w:t>设备应支持在线口呼、在线鼻呼的采样方式，支持在线口呼完成困难的情况下，一键转换为离线模式，</w:t>
            </w:r>
            <w:r>
              <w:rPr>
                <w:rFonts w:hint="eastAsia"/>
                <w:sz w:val="22"/>
                <w:szCs w:val="22"/>
              </w:rPr>
              <w:t>且</w:t>
            </w:r>
            <w:r>
              <w:rPr>
                <w:sz w:val="22"/>
                <w:szCs w:val="22"/>
              </w:rPr>
              <w:t>无需</w:t>
            </w:r>
            <w:r>
              <w:rPr>
                <w:rFonts w:hint="eastAsia"/>
                <w:sz w:val="22"/>
                <w:szCs w:val="22"/>
              </w:rPr>
              <w:t>连接外置离线</w:t>
            </w:r>
            <w:r>
              <w:rPr>
                <w:sz w:val="22"/>
                <w:szCs w:val="22"/>
              </w:rPr>
              <w:t>采集装置</w:t>
            </w:r>
            <w:r>
              <w:rPr>
                <w:rFonts w:hint="eastAsia"/>
                <w:sz w:val="22"/>
                <w:szCs w:val="22"/>
              </w:rPr>
              <w:t>（离线采集装机内置于主机，并同主机一同注册，以保障使用的合规性和方便性）</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40" w:firstLineChars="200"/>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rFonts w:hint="eastAsia"/>
                <w:sz w:val="22"/>
                <w:szCs w:val="22"/>
              </w:rPr>
              <w:t>3、</w:t>
            </w:r>
            <w:r>
              <w:rPr>
                <w:sz w:val="22"/>
                <w:szCs w:val="22"/>
              </w:rPr>
              <w:t>测定模式：</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rFonts w:hint="eastAsia"/>
                <w:sz w:val="22"/>
                <w:szCs w:val="22"/>
              </w:rPr>
              <w:t>a</w:t>
            </w:r>
            <w:r>
              <w:rPr>
                <w:sz w:val="22"/>
                <w:szCs w:val="22"/>
              </w:rPr>
              <w:t>) 具备成人和儿童模式的鼻腔一氧化氮浓度测定nNO；</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sz w:val="22"/>
                <w:szCs w:val="22"/>
              </w:rPr>
              <w:t>b) 具备成人和儿童模式的大气道一氧化氮浓度测定FeNO；</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sz w:val="22"/>
                <w:szCs w:val="22"/>
              </w:rPr>
              <w:t>c) 具备成人和儿童模式的小气道和肺泡中一氧化氮浓度测定CaNO；</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sz w:val="22"/>
                <w:szCs w:val="22"/>
              </w:rPr>
              <w:t xml:space="preserve">d) </w:t>
            </w:r>
            <w:r>
              <w:rPr>
                <w:rFonts w:hint="eastAsia"/>
                <w:sz w:val="22"/>
                <w:szCs w:val="22"/>
              </w:rPr>
              <w:t>具备离线、</w:t>
            </w:r>
            <w:r>
              <w:rPr>
                <w:sz w:val="22"/>
                <w:szCs w:val="22"/>
              </w:rPr>
              <w:t>潮气和标准气质控时气袋中一氧化氮浓度测定sNO；</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220" w:firstLineChars="100"/>
              <w:textAlignment w:val="auto"/>
              <w:rPr>
                <w:sz w:val="22"/>
                <w:szCs w:val="22"/>
              </w:rPr>
            </w:pPr>
            <w:r>
              <w:rPr>
                <w:rFonts w:hint="eastAsia"/>
                <w:sz w:val="22"/>
                <w:szCs w:val="22"/>
              </w:rPr>
              <w:t>e</w:t>
            </w:r>
            <w:r>
              <w:rPr>
                <w:sz w:val="22"/>
                <w:szCs w:val="22"/>
              </w:rPr>
              <w:t>) 不同部位的一氧化氮浓度测定既可分项测试，也可</w:t>
            </w:r>
            <w:r>
              <w:rPr>
                <w:rFonts w:hint="eastAsia"/>
                <w:sz w:val="22"/>
                <w:szCs w:val="22"/>
              </w:rPr>
              <w:t>自由组合一键测量，并保障不少于7种的测试组合（含单参数）</w:t>
            </w:r>
            <w:r>
              <w:rPr>
                <w:sz w:val="22"/>
                <w:szCs w:val="22"/>
              </w:rPr>
              <w:t>，提高测试效率</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220" w:firstLineChars="100"/>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4</w:t>
            </w:r>
            <w:r>
              <w:rPr>
                <w:rFonts w:hint="eastAsia"/>
                <w:sz w:val="22"/>
                <w:szCs w:val="22"/>
              </w:rPr>
              <w:t>、</w:t>
            </w:r>
            <w:r>
              <w:rPr>
                <w:sz w:val="22"/>
                <w:szCs w:val="22"/>
              </w:rPr>
              <w:t>采样过程控制：</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sz w:val="22"/>
                <w:szCs w:val="22"/>
              </w:rPr>
              <w:t>a) 呼气流速监测：</w:t>
            </w:r>
            <w:r>
              <w:rPr>
                <w:rFonts w:hint="eastAsia"/>
                <w:sz w:val="22"/>
                <w:szCs w:val="22"/>
              </w:rPr>
              <w:t>可</w:t>
            </w:r>
            <w:r>
              <w:rPr>
                <w:sz w:val="22"/>
                <w:szCs w:val="22"/>
              </w:rPr>
              <w:t>实时</w:t>
            </w:r>
            <w:r>
              <w:rPr>
                <w:rFonts w:hint="eastAsia"/>
                <w:sz w:val="22"/>
                <w:szCs w:val="22"/>
              </w:rPr>
              <w:t>观察</w:t>
            </w:r>
            <w:r>
              <w:rPr>
                <w:sz w:val="22"/>
                <w:szCs w:val="22"/>
              </w:rPr>
              <w:t>患者呼气流量</w:t>
            </w:r>
            <w:r>
              <w:rPr>
                <w:rFonts w:hint="eastAsia"/>
                <w:sz w:val="22"/>
                <w:szCs w:val="22"/>
              </w:rPr>
              <w:t>是否满足指南要求</w:t>
            </w:r>
            <w:r>
              <w:rPr>
                <w:sz w:val="22"/>
                <w:szCs w:val="22"/>
              </w:rPr>
              <w:t>；</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40" w:firstLineChars="200"/>
              <w:textAlignment w:val="auto"/>
              <w:rPr>
                <w:sz w:val="22"/>
                <w:szCs w:val="22"/>
              </w:rPr>
            </w:pPr>
            <w:r>
              <w:rPr>
                <w:sz w:val="22"/>
                <w:szCs w:val="22"/>
              </w:rPr>
              <w:t xml:space="preserve">b) </w:t>
            </w:r>
            <w:r>
              <w:rPr>
                <w:rFonts w:hint="eastAsia"/>
                <w:sz w:val="22"/>
                <w:szCs w:val="22"/>
              </w:rPr>
              <w:t>在线检测</w:t>
            </w:r>
            <w:r>
              <w:rPr>
                <w:sz w:val="22"/>
                <w:szCs w:val="22"/>
              </w:rPr>
              <w:t>自动终止功能：呼气流速不符合要求，设备将自动终止本次检测</w:t>
            </w:r>
            <w:r>
              <w:rPr>
                <w:rFonts w:hint="eastAsia"/>
                <w:sz w:val="22"/>
                <w:szCs w:val="22"/>
              </w:rPr>
              <w:t>，且可一键转为离线检测，不需要另外更换采集模块</w:t>
            </w:r>
            <w:r>
              <w:rPr>
                <w:sz w:val="22"/>
                <w:szCs w:val="22"/>
              </w:rPr>
              <w:t>；</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40" w:firstLineChars="200"/>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220" w:firstLineChars="100"/>
              <w:textAlignment w:val="auto"/>
              <w:rPr>
                <w:sz w:val="22"/>
                <w:szCs w:val="22"/>
              </w:rPr>
            </w:pPr>
            <w:r>
              <w:rPr>
                <w:rFonts w:hint="eastAsia"/>
                <w:sz w:val="22"/>
                <w:szCs w:val="22"/>
              </w:rPr>
              <w:t>c</w:t>
            </w:r>
            <w:r>
              <w:rPr>
                <w:sz w:val="22"/>
                <w:szCs w:val="22"/>
              </w:rPr>
              <w:t>)</w:t>
            </w:r>
            <w:r>
              <w:rPr>
                <w:rFonts w:hint="eastAsia"/>
                <w:sz w:val="22"/>
                <w:szCs w:val="22"/>
              </w:rPr>
              <w:t xml:space="preserve"> 呼气流量调节功能, 呼气流量动态调节系统对呼气流量进行动态调节，提高吹气的一次通过率;</w:t>
            </w:r>
            <w:r>
              <w:rPr>
                <w:sz w:val="22"/>
                <w:szCs w:val="22"/>
              </w:rPr>
              <w:t xml:space="preserve"> </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220" w:firstLineChars="100"/>
              <w:textAlignment w:val="auto"/>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r>
              <w:rPr>
                <w:sz w:val="22"/>
                <w:szCs w:val="22"/>
              </w:rPr>
              <w:t>d) 视频激励功能：通过视频激励软件指导患者顺利完成检测</w:t>
            </w:r>
          </w:p>
        </w:tc>
        <w:tc>
          <w:tcPr>
            <w:tcW w:w="1838" w:type="dxa"/>
          </w:tcPr>
          <w:p>
            <w:pPr>
              <w:keepNext w:val="0"/>
              <w:keepLines w:val="0"/>
              <w:pageBreakBefore w:val="0"/>
              <w:kinsoku/>
              <w:wordWrap/>
              <w:overflowPunct/>
              <w:topLinePunct w:val="0"/>
              <w:autoSpaceDE/>
              <w:autoSpaceDN/>
              <w:bidi w:val="0"/>
              <w:adjustRightInd/>
              <w:snapToGrid/>
              <w:spacing w:after="120" w:line="240" w:lineRule="auto"/>
              <w:ind w:firstLine="454"/>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b/>
                <w:sz w:val="22"/>
                <w:szCs w:val="22"/>
              </w:rPr>
            </w:pPr>
            <w:r>
              <w:rPr>
                <w:rFonts w:hint="eastAsia"/>
                <w:b/>
                <w:sz w:val="22"/>
                <w:szCs w:val="22"/>
              </w:rPr>
              <w:t>（三）</w:t>
            </w:r>
            <w:r>
              <w:rPr>
                <w:b/>
                <w:sz w:val="22"/>
                <w:szCs w:val="22"/>
              </w:rPr>
              <w:t>性能指标：</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rFonts w:hint="eastAsia"/>
                <w:b/>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1.测试范围：</w:t>
            </w:r>
            <w:r>
              <w:rPr>
                <w:rFonts w:hint="eastAsia"/>
                <w:sz w:val="22"/>
                <w:szCs w:val="22"/>
              </w:rPr>
              <w:t>1</w:t>
            </w:r>
            <w:r>
              <w:rPr>
                <w:sz w:val="22"/>
                <w:szCs w:val="22"/>
              </w:rPr>
              <w:t>ppb－3500ppb；</w:t>
            </w:r>
            <w:r>
              <w:rPr>
                <w:rFonts w:hint="eastAsia"/>
                <w:sz w:val="22"/>
                <w:szCs w:val="22"/>
              </w:rPr>
              <w:t>检测下限：1ppb</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2.分析时间：</w:t>
            </w:r>
            <w:r>
              <w:rPr>
                <w:rFonts w:hint="eastAsia"/>
                <w:sz w:val="22"/>
                <w:szCs w:val="22"/>
              </w:rPr>
              <w:t>在线小于等于6</w:t>
            </w:r>
            <w:r>
              <w:rPr>
                <w:sz w:val="22"/>
                <w:szCs w:val="22"/>
              </w:rPr>
              <w:t>0秒；</w:t>
            </w:r>
            <w:r>
              <w:rPr>
                <w:rFonts w:hint="eastAsia"/>
                <w:sz w:val="22"/>
                <w:szCs w:val="22"/>
              </w:rPr>
              <w:t>离线潮气小于等于7</w:t>
            </w:r>
            <w:r>
              <w:rPr>
                <w:sz w:val="22"/>
                <w:szCs w:val="22"/>
              </w:rPr>
              <w:t>0</w:t>
            </w:r>
            <w:r>
              <w:rPr>
                <w:rFonts w:hint="eastAsia"/>
                <w:sz w:val="22"/>
                <w:szCs w:val="22"/>
              </w:rPr>
              <w:t>秒（含抽气采样时间）</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 xml:space="preserve">3.准确性：误差±3ppb或±10% </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ascii="等线" w:hAnsi="等线" w:eastAsia="等线" w:cs="Calibri"/>
                <w:color w:val="000000"/>
                <w:sz w:val="22"/>
                <w:szCs w:val="22"/>
              </w:rPr>
            </w:pPr>
            <w:r>
              <w:rPr>
                <w:rFonts w:eastAsiaTheme="minorHAnsi"/>
                <w:sz w:val="22"/>
                <w:szCs w:val="22"/>
              </w:rPr>
              <w:t>4</w:t>
            </w:r>
            <w:r>
              <w:rPr>
                <w:rFonts w:hint="eastAsia"/>
                <w:sz w:val="22"/>
                <w:szCs w:val="22"/>
              </w:rPr>
              <w:t>、</w:t>
            </w:r>
            <w:r>
              <w:rPr>
                <w:sz w:val="22"/>
                <w:szCs w:val="22"/>
              </w:rPr>
              <w:t>质控功能：</w:t>
            </w:r>
            <w:r>
              <w:rPr>
                <w:rFonts w:hint="eastAsia"/>
                <w:sz w:val="22"/>
                <w:szCs w:val="22"/>
              </w:rPr>
              <w:t>仪器开机后进行自检，对关键元器件状态进行动态监测以及预热；</w:t>
            </w:r>
            <w:r>
              <w:rPr>
                <w:sz w:val="22"/>
                <w:szCs w:val="22"/>
              </w:rPr>
              <w:t>设备内部具有温度、湿度</w:t>
            </w:r>
            <w:r>
              <w:rPr>
                <w:rFonts w:hint="eastAsia"/>
                <w:sz w:val="22"/>
                <w:szCs w:val="22"/>
              </w:rPr>
              <w:t>调控模块</w:t>
            </w:r>
            <w:r>
              <w:rPr>
                <w:sz w:val="22"/>
                <w:szCs w:val="22"/>
              </w:rPr>
              <w:t>、</w:t>
            </w:r>
            <w:r>
              <w:rPr>
                <w:rFonts w:hint="eastAsia"/>
                <w:sz w:val="22"/>
                <w:szCs w:val="22"/>
              </w:rPr>
              <w:t>避免环境对检测结果的影响。</w:t>
            </w:r>
            <w:r>
              <w:rPr>
                <w:sz w:val="22"/>
                <w:szCs w:val="22"/>
              </w:rPr>
              <w:t>具备一氧化氮（NO）标准气检验与校准，一氧化氮（NO）环境气检验，</w:t>
            </w:r>
            <w:r>
              <w:rPr>
                <w:rFonts w:hint="eastAsia"/>
                <w:sz w:val="22"/>
                <w:szCs w:val="22"/>
              </w:rPr>
              <w:t>仪器自动零点校准功能，</w:t>
            </w:r>
            <w:r>
              <w:rPr>
                <w:sz w:val="22"/>
                <w:szCs w:val="22"/>
              </w:rPr>
              <w:t>保证测试结果准确性</w:t>
            </w:r>
            <w:r>
              <w:rPr>
                <w:rFonts w:hint="eastAsia"/>
                <w:sz w:val="22"/>
                <w:szCs w:val="22"/>
              </w:rPr>
              <w:t>。</w:t>
            </w:r>
            <w:r>
              <w:rPr>
                <w:rFonts w:ascii="等线" w:hAnsi="等线" w:eastAsia="等线" w:cs="Calibri"/>
                <w:color w:val="000000"/>
                <w:sz w:val="22"/>
                <w:szCs w:val="22"/>
              </w:rPr>
              <w:t>且厂家要有制备标准气的能力，以支持定期的校准服务</w:t>
            </w:r>
            <w:r>
              <w:rPr>
                <w:rFonts w:hint="eastAsia" w:ascii="等线" w:hAnsi="等线" w:eastAsia="等线" w:cs="Calibri"/>
                <w:color w:val="000000"/>
                <w:sz w:val="22"/>
                <w:szCs w:val="22"/>
              </w:rPr>
              <w:t>。</w:t>
            </w:r>
          </w:p>
        </w:tc>
        <w:tc>
          <w:tcPr>
            <w:tcW w:w="1838"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eastAsiaTheme="minorHAns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ascii="等线" w:hAnsi="等线" w:eastAsia="等线" w:cs="Calibri"/>
                <w:color w:val="000000"/>
                <w:sz w:val="22"/>
                <w:szCs w:val="22"/>
              </w:rPr>
            </w:pPr>
            <w:r>
              <w:rPr>
                <w:rFonts w:hint="eastAsia" w:ascii="等线" w:hAnsi="等线" w:eastAsia="等线" w:cs="Calibri"/>
                <w:color w:val="000000"/>
                <w:sz w:val="22"/>
                <w:szCs w:val="22"/>
              </w:rPr>
              <w:t>5、采集有效气体功能：</w:t>
            </w:r>
            <w:r>
              <w:rPr>
                <w:rFonts w:ascii="等线" w:hAnsi="等线" w:eastAsia="等线" w:cs="Calibri"/>
                <w:color w:val="000000"/>
                <w:sz w:val="22"/>
                <w:szCs w:val="22"/>
              </w:rPr>
              <w:t>3D双流体阀采集模块，呼气气体多层采样，实现精准质控</w:t>
            </w:r>
            <w:r>
              <w:rPr>
                <w:rFonts w:hint="eastAsia" w:ascii="等线" w:hAnsi="等线" w:eastAsia="等线" w:cs="Calibri"/>
                <w:color w:val="000000"/>
                <w:sz w:val="22"/>
                <w:szCs w:val="22"/>
              </w:rPr>
              <w:t>，保障样本质量</w:t>
            </w:r>
          </w:p>
        </w:tc>
        <w:tc>
          <w:tcPr>
            <w:tcW w:w="1838"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等线" w:hAnsi="等线" w:eastAsia="等线"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ascii="等线" w:hAnsi="等线" w:eastAsia="等线" w:cs="Calibri"/>
                <w:color w:val="000000"/>
                <w:sz w:val="22"/>
                <w:szCs w:val="22"/>
              </w:rPr>
            </w:pPr>
            <w:r>
              <w:rPr>
                <w:rFonts w:hint="eastAsia" w:ascii="等线" w:hAnsi="等线" w:eastAsia="等线" w:cs="Calibri"/>
                <w:color w:val="000000"/>
                <w:sz w:val="22"/>
                <w:szCs w:val="22"/>
              </w:rPr>
              <w:t>6、可提供在三级医院进行的与国际认可平台的临床比对评估数据</w:t>
            </w:r>
            <w:r>
              <w:rPr>
                <w:rFonts w:ascii="等线" w:hAnsi="等线" w:eastAsia="等线" w:cs="Calibri"/>
                <w:color w:val="000000"/>
                <w:sz w:val="22"/>
                <w:szCs w:val="22"/>
              </w:rPr>
              <w:t>/报告，且临床参考值区间符合率大于94%。</w:t>
            </w:r>
          </w:p>
        </w:tc>
        <w:tc>
          <w:tcPr>
            <w:tcW w:w="1838" w:type="dxa"/>
          </w:tcPr>
          <w:p>
            <w:pPr>
              <w:keepNext w:val="0"/>
              <w:keepLines w:val="0"/>
              <w:pageBreakBefore w:val="0"/>
              <w:widowControl/>
              <w:kinsoku/>
              <w:wordWrap/>
              <w:overflowPunct/>
              <w:topLinePunct w:val="0"/>
              <w:autoSpaceDE/>
              <w:autoSpaceDN/>
              <w:bidi w:val="0"/>
              <w:adjustRightInd/>
              <w:snapToGrid/>
              <w:spacing w:after="120" w:line="240" w:lineRule="auto"/>
              <w:textAlignment w:val="auto"/>
              <w:rPr>
                <w:rFonts w:hint="eastAsia" w:ascii="等线" w:hAnsi="等线" w:eastAsia="等线" w:cs="Calibri"/>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7</w:t>
            </w:r>
            <w:r>
              <w:rPr>
                <w:rFonts w:hint="eastAsia"/>
                <w:sz w:val="22"/>
                <w:szCs w:val="22"/>
              </w:rPr>
              <w:t>、一次性呼吸过滤器（包括潮气检测所需的接头）均为一次性使用，防止交叉感染；一次性呼吸过滤器可有效过滤环境中一氧化氮对结果的干扰，提高检测准确性</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8</w:t>
            </w:r>
            <w:r>
              <w:rPr>
                <w:rFonts w:hint="eastAsia"/>
                <w:sz w:val="22"/>
                <w:szCs w:val="22"/>
              </w:rPr>
              <w:t>、</w:t>
            </w:r>
            <w:r>
              <w:rPr>
                <w:sz w:val="22"/>
                <w:szCs w:val="22"/>
              </w:rPr>
              <w:t xml:space="preserve"> 图形化交互界面设计，测试时有</w:t>
            </w:r>
            <w:r>
              <w:rPr>
                <w:rFonts w:hint="eastAsia"/>
                <w:sz w:val="22"/>
                <w:szCs w:val="22"/>
              </w:rPr>
              <w:t>仪器在传感器剩余使用次数、呼吸手柄剩余使用次数、仪器使用寿命、吸气及呼气超时、内部电池低电量</w:t>
            </w:r>
            <w:r>
              <w:rPr>
                <w:sz w:val="22"/>
                <w:szCs w:val="22"/>
              </w:rPr>
              <w:t>、呼气压力太大或者太小等情况</w:t>
            </w:r>
            <w:r>
              <w:rPr>
                <w:rFonts w:hint="eastAsia"/>
                <w:sz w:val="22"/>
                <w:szCs w:val="22"/>
              </w:rPr>
              <w:t>的</w:t>
            </w:r>
            <w:r>
              <w:rPr>
                <w:sz w:val="22"/>
                <w:szCs w:val="22"/>
              </w:rPr>
              <w:t>实时提醒，方便临床质控</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9</w:t>
            </w:r>
            <w:r>
              <w:rPr>
                <w:rFonts w:hint="eastAsia"/>
                <w:sz w:val="22"/>
                <w:szCs w:val="22"/>
              </w:rPr>
              <w:t>、训练模式：患者可以通过训练的方式进行吹气训练，保证正式测量时的成功率</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10</w:t>
            </w:r>
            <w:r>
              <w:rPr>
                <w:rFonts w:hint="eastAsia"/>
                <w:sz w:val="22"/>
                <w:szCs w:val="22"/>
              </w:rPr>
              <w:t>、</w:t>
            </w:r>
            <w:r>
              <w:rPr>
                <w:sz w:val="22"/>
                <w:szCs w:val="22"/>
              </w:rPr>
              <w:t xml:space="preserve"> 10.1</w:t>
            </w:r>
            <w:r>
              <w:rPr>
                <w:rFonts w:hint="eastAsia"/>
                <w:sz w:val="22"/>
                <w:szCs w:val="22"/>
              </w:rPr>
              <w:t>英</w:t>
            </w:r>
            <w:r>
              <w:rPr>
                <w:sz w:val="22"/>
                <w:szCs w:val="22"/>
              </w:rPr>
              <w:t>寸触摸彩色液晶屏幕</w:t>
            </w:r>
            <w:r>
              <w:rPr>
                <w:rFonts w:hint="eastAsia"/>
                <w:sz w:val="22"/>
                <w:szCs w:val="22"/>
              </w:rPr>
              <w:t>设计</w:t>
            </w:r>
            <w:r>
              <w:rPr>
                <w:sz w:val="22"/>
                <w:szCs w:val="22"/>
              </w:rPr>
              <w:t>，方便携带及床旁使用</w:t>
            </w:r>
            <w:r>
              <w:rPr>
                <w:rFonts w:hint="eastAsia"/>
                <w:sz w:val="22"/>
                <w:szCs w:val="22"/>
              </w:rPr>
              <w:t>。并配置电脑端的配套软件，支持按照使用需求使用电脑操作测试</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11</w:t>
            </w:r>
            <w:r>
              <w:rPr>
                <w:rFonts w:hint="eastAsia"/>
                <w:sz w:val="22"/>
                <w:szCs w:val="22"/>
              </w:rPr>
              <w:t>、 磁吸式手柄，靠近即可将手柄吸到主机上，方便临床操作</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r>
              <w:rPr>
                <w:sz w:val="22"/>
                <w:szCs w:val="22"/>
              </w:rPr>
              <w:t>12</w:t>
            </w:r>
            <w:r>
              <w:rPr>
                <w:rFonts w:hint="eastAsia"/>
                <w:sz w:val="22"/>
                <w:szCs w:val="22"/>
              </w:rPr>
              <w:t>、</w:t>
            </w:r>
            <w:r>
              <w:rPr>
                <w:sz w:val="22"/>
                <w:szCs w:val="22"/>
              </w:rPr>
              <w:t xml:space="preserve"> 内置高性能锂电池，方便断电等场景使</w:t>
            </w:r>
            <w:r>
              <w:rPr>
                <w:rFonts w:hint="eastAsia"/>
                <w:sz w:val="22"/>
                <w:szCs w:val="22"/>
              </w:rPr>
              <w:t>用，电池充满电后可使用时间≥4小时。</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684" w:type="dxa"/>
          </w:tcPr>
          <w:p>
            <w:pPr>
              <w:keepNext w:val="0"/>
              <w:keepLines w:val="0"/>
              <w:pageBreakBefore w:val="0"/>
              <w:kinsoku/>
              <w:wordWrap/>
              <w:overflowPunct/>
              <w:topLinePunct w:val="0"/>
              <w:autoSpaceDE/>
              <w:autoSpaceDN/>
              <w:bidi w:val="0"/>
              <w:adjustRightInd/>
              <w:snapToGrid/>
              <w:spacing w:after="120" w:line="240" w:lineRule="auto"/>
              <w:textAlignment w:val="auto"/>
            </w:pPr>
            <w:r>
              <w:rPr>
                <w:sz w:val="22"/>
                <w:szCs w:val="22"/>
              </w:rPr>
              <w:t>13</w:t>
            </w:r>
            <w:r>
              <w:rPr>
                <w:rFonts w:hint="eastAsia"/>
                <w:sz w:val="22"/>
                <w:szCs w:val="22"/>
              </w:rPr>
              <w:t>、</w:t>
            </w:r>
            <w:r>
              <w:rPr>
                <w:sz w:val="22"/>
                <w:szCs w:val="22"/>
              </w:rPr>
              <w:t xml:space="preserve"> 打印功能：</w:t>
            </w:r>
            <w:r>
              <w:rPr>
                <w:rFonts w:hint="eastAsia"/>
                <w:sz w:val="22"/>
                <w:szCs w:val="22"/>
              </w:rPr>
              <w:t>a）</w:t>
            </w:r>
            <w:r>
              <w:rPr>
                <w:sz w:val="22"/>
                <w:szCs w:val="22"/>
              </w:rPr>
              <w:t>内置热敏打印机：支持本机打印，满足</w:t>
            </w:r>
            <w:r>
              <w:rPr>
                <w:rFonts w:hint="eastAsia"/>
                <w:sz w:val="22"/>
                <w:szCs w:val="22"/>
              </w:rPr>
              <w:t>移动检查</w:t>
            </w:r>
            <w:r>
              <w:rPr>
                <w:sz w:val="22"/>
                <w:szCs w:val="22"/>
              </w:rPr>
              <w:t>及院内病房床边检查等使用场景</w:t>
            </w:r>
            <w:r>
              <w:rPr>
                <w:rFonts w:hint="eastAsia"/>
                <w:sz w:val="22"/>
                <w:szCs w:val="22"/>
              </w:rPr>
              <w:t>；b）可连接电脑后外接打印机</w:t>
            </w:r>
            <w:r>
              <w:rPr>
                <w:sz w:val="22"/>
                <w:szCs w:val="22"/>
              </w:rPr>
              <w:t>打印</w:t>
            </w:r>
          </w:p>
        </w:tc>
        <w:tc>
          <w:tcPr>
            <w:tcW w:w="1838" w:type="dxa"/>
          </w:tcPr>
          <w:p>
            <w:pPr>
              <w:keepNext w:val="0"/>
              <w:keepLines w:val="0"/>
              <w:pageBreakBefore w:val="0"/>
              <w:kinsoku/>
              <w:wordWrap/>
              <w:overflowPunct/>
              <w:topLinePunct w:val="0"/>
              <w:autoSpaceDE/>
              <w:autoSpaceDN/>
              <w:bidi w:val="0"/>
              <w:adjustRightInd/>
              <w:snapToGrid/>
              <w:spacing w:after="120" w:line="240" w:lineRule="auto"/>
              <w:textAlignment w:val="auto"/>
              <w:rPr>
                <w:sz w:val="22"/>
                <w:szCs w:val="22"/>
              </w:rPr>
            </w:pPr>
          </w:p>
        </w:tc>
      </w:tr>
    </w:tbl>
    <w:p/>
    <w:sectPr>
      <w:pgSz w:w="11906" w:h="16838"/>
      <w:pgMar w:top="1440" w:right="1800" w:bottom="1440" w:left="1800" w:header="851" w:footer="992" w:gutter="0"/>
      <w:cols w:space="425"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wYjQzOTAxZGNlM2UwMTJhZTkyMTgxYWJkNjI2ZWIifQ=="/>
  </w:docVars>
  <w:rsids>
    <w:rsidRoot w:val="007D3C73"/>
    <w:rsid w:val="000224D9"/>
    <w:rsid w:val="00071A38"/>
    <w:rsid w:val="000E701F"/>
    <w:rsid w:val="00106360"/>
    <w:rsid w:val="00180185"/>
    <w:rsid w:val="00187F5A"/>
    <w:rsid w:val="00203CEF"/>
    <w:rsid w:val="002202CC"/>
    <w:rsid w:val="002454E5"/>
    <w:rsid w:val="002A670D"/>
    <w:rsid w:val="002D657C"/>
    <w:rsid w:val="002F2AD8"/>
    <w:rsid w:val="003F035A"/>
    <w:rsid w:val="003F5E20"/>
    <w:rsid w:val="003F6D6D"/>
    <w:rsid w:val="004919A7"/>
    <w:rsid w:val="004F5F30"/>
    <w:rsid w:val="00535A4C"/>
    <w:rsid w:val="005414DE"/>
    <w:rsid w:val="00561128"/>
    <w:rsid w:val="0057637F"/>
    <w:rsid w:val="00603B41"/>
    <w:rsid w:val="00646F52"/>
    <w:rsid w:val="006A5186"/>
    <w:rsid w:val="006C6B6E"/>
    <w:rsid w:val="007D3C73"/>
    <w:rsid w:val="00807346"/>
    <w:rsid w:val="00824CC3"/>
    <w:rsid w:val="008C2EC4"/>
    <w:rsid w:val="008E75BA"/>
    <w:rsid w:val="00900FC9"/>
    <w:rsid w:val="00957268"/>
    <w:rsid w:val="009869F2"/>
    <w:rsid w:val="009E3968"/>
    <w:rsid w:val="00A43B8D"/>
    <w:rsid w:val="00A76305"/>
    <w:rsid w:val="00B721D2"/>
    <w:rsid w:val="00B964DC"/>
    <w:rsid w:val="00BA22EA"/>
    <w:rsid w:val="00BD13F5"/>
    <w:rsid w:val="00C12823"/>
    <w:rsid w:val="00C6255B"/>
    <w:rsid w:val="00C66288"/>
    <w:rsid w:val="00E10808"/>
    <w:rsid w:val="00E10F5F"/>
    <w:rsid w:val="00E4509D"/>
    <w:rsid w:val="00E828BB"/>
    <w:rsid w:val="00EE2D74"/>
    <w:rsid w:val="00EF4F01"/>
    <w:rsid w:val="00F42B92"/>
    <w:rsid w:val="00F514F9"/>
    <w:rsid w:val="19966917"/>
    <w:rsid w:val="20A62E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Theme="minorHAnsi" w:hAnsiTheme="minorHAnsi" w:eastAsiaTheme="minorEastAsia"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320"/>
        <w:tab w:val="right" w:pos="8640"/>
      </w:tabs>
      <w:spacing w:after="0" w:line="240" w:lineRule="auto"/>
    </w:pPr>
  </w:style>
  <w:style w:type="paragraph" w:styleId="3">
    <w:name w:val="header"/>
    <w:basedOn w:val="1"/>
    <w:link w:val="9"/>
    <w:autoRedefine/>
    <w:unhideWhenUsed/>
    <w:qFormat/>
    <w:uiPriority w:val="99"/>
    <w:pPr>
      <w:tabs>
        <w:tab w:val="center" w:pos="4320"/>
        <w:tab w:val="right" w:pos="8640"/>
      </w:tabs>
      <w:spacing w:after="0" w:line="240" w:lineRule="auto"/>
    </w:p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left="720"/>
      <w:contextualSpacing/>
    </w:pPr>
  </w:style>
  <w:style w:type="character" w:customStyle="1" w:styleId="8">
    <w:name w:val="jc"/>
    <w:basedOn w:val="6"/>
    <w:autoRedefine/>
    <w:qFormat/>
    <w:uiPriority w:val="0"/>
  </w:style>
  <w:style w:type="character" w:customStyle="1" w:styleId="9">
    <w:name w:val="页眉 字符"/>
    <w:basedOn w:val="6"/>
    <w:link w:val="3"/>
    <w:autoRedefine/>
    <w:qFormat/>
    <w:uiPriority w:val="99"/>
  </w:style>
  <w:style w:type="character" w:customStyle="1" w:styleId="10">
    <w:name w:val="页脚 字符"/>
    <w:basedOn w:val="6"/>
    <w:link w:val="2"/>
    <w:autoRedefine/>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209</Words>
  <Characters>1193</Characters>
  <Lines>9</Lines>
  <Paragraphs>2</Paragraphs>
  <TotalTime>68</TotalTime>
  <ScaleCrop>false</ScaleCrop>
  <LinksUpToDate>false</LinksUpToDate>
  <CharactersWithSpaces>1400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2023-05-22T13:12:00Z</dcterms:created>
  <dc:creator>Pingping Zhang</dc:creator>
  <cp:lastModifiedBy>胡绪飞</cp:lastModifiedBy>
  <dcterms:modified xsi:type="dcterms:W3CDTF">2024-05-22T06:05:24Z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52C66F465DEC4197BE7BA15D2E821219_12</vt:lpwstr>
  </property>
</Properties>
</file>