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医院</w:t>
      </w:r>
      <w:bookmarkStart w:id="0" w:name="_GoBack"/>
      <w:bookmarkEnd w:id="0"/>
      <w:r>
        <w:rPr>
          <w:rFonts w:hint="eastAsia" w:asciiTheme="majorEastAsia" w:hAnsiTheme="majorEastAsia" w:eastAsiaTheme="majorEastAsia"/>
          <w:b/>
          <w:sz w:val="36"/>
          <w:szCs w:val="36"/>
          <w:lang w:val="en-US" w:eastAsia="zh-CN"/>
        </w:rPr>
        <w:t>HRP系统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7"/>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1275"/>
        <w:gridCol w:w="6045"/>
        <w:gridCol w:w="705"/>
        <w:gridCol w:w="645"/>
        <w:gridCol w:w="63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系统基础平台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系统设置</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包括系统字典维护、联用设置等日常操作，支持组织机构管理、用户角色权限管理以及任务调度，支持设置基础档案编码规则及系统参数配置等。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医院字典管理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对医院的用户定义代码、会计科目、账套管理、组织机构体系、职工信息、收入信息、成本信息、物资信息、资产信息、药品信息、供应商及其他基础字典等常用信息进行维护及管理。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系统管理平台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1.用户权限管理：对医院各角色、用户进行设置及相应权限的赋权管理；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2.业务日志：提供用户操作日志的自动记录和查询功能；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3.任务调度：支持对系统自动任务的定时设置及查看追踪。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应用建模平台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分析平台：通过定义数据模型、可视化模型，用户可以自定义数据源、分析模型和指标，自定义页面布局和展示内容，为用户多元化展示数据提供可视化工具；</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流程平台：支持对各系统审批流程的自定义设置，满足医院相关业务应用 的个性化流程审批管理要求；</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打印模板管理：提供打印模板的定义设计、修改、删除功能。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数据集成平台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完成与医院第三方信息系统的数据及平台统一交互，涉及与 HIS、SPD、电子病历、药品、人力、绩效以及银行等， 以实现医院的数据规范、信息规范和一体化目标。本系统的所有接口，不收取任何形式费用。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p>
            <w:pPr>
              <w:pStyle w:val="2"/>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2"/>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2"/>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2"/>
              <w:rPr>
                <w:rFonts w:hint="eastAsia" w:ascii="仿宋" w:hAnsi="仿宋" w:eastAsia="仿宋" w:cs="仿宋"/>
                <w:i w:val="0"/>
                <w:iCs w:val="0"/>
                <w:color w:val="000000"/>
                <w:sz w:val="21"/>
                <w:szCs w:val="21"/>
                <w:u w:val="none"/>
              </w:rPr>
            </w:pPr>
          </w:p>
          <w:p>
            <w:pPr>
              <w:rPr>
                <w:rFonts w:hint="eastAsia" w:ascii="仿宋" w:hAnsi="仿宋" w:eastAsia="仿宋" w:cs="仿宋"/>
                <w:i w:val="0"/>
                <w:iCs w:val="0"/>
                <w:color w:val="000000"/>
                <w:sz w:val="21"/>
                <w:szCs w:val="21"/>
                <w:u w:val="none"/>
              </w:rPr>
            </w:pPr>
          </w:p>
          <w:p>
            <w:pPr>
              <w:pStyle w:val="2"/>
              <w:rPr>
                <w:rFonts w:hint="eastAsia"/>
              </w:rPr>
            </w:pPr>
            <w:r>
              <w:rPr>
                <w:rFonts w:hint="eastAsia" w:ascii="仿宋" w:hAnsi="仿宋" w:eastAsia="仿宋" w:cs="仿宋"/>
                <w:i w:val="0"/>
                <w:iCs w:val="0"/>
                <w:color w:val="000000"/>
                <w:kern w:val="0"/>
                <w:sz w:val="21"/>
                <w:szCs w:val="21"/>
                <w:u w:val="none"/>
                <w:lang w:val="en-US" w:eastAsia="zh-CN" w:bidi="ar"/>
              </w:rPr>
              <w:t>预算管理</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预算编制、审核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和批复                                     </w:t>
            </w:r>
          </w:p>
        </w:tc>
        <w:tc>
          <w:tcPr>
            <w:tcW w:w="60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立“全口径、全过程、全员性、全方位”的全面预算管理体系，包括实现预算样表设计、预算编制、预算审核、预算报表、预算调整、预算执行、预算控制设置、预算分析、预算绩效的全过程管理；构建建立医院级、归口管理部门级、预算科室级的三级预算管理体系，确保全员参与；涵盖业务预算、收入预算、支出预算、投资筹资预算的全面预算管理体系，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1.可上传相关政策文件，维护预算项目（项目库）基础资料；</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2.可在系统内按自定义条件编制预算方案；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3.生成并下发和收集医疗业务工作量样表、收入预算（财政、科教、医疗）样表、支出预算（财政、科教、医疗）样表、筹资投资预算样表、预算调整样表等各类模板样表；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4.支持公立医院收支两条线预算编制，按预算项目进行编制，支持导入导出EXCEL，保证预算事项档案、预算收支项目与会计科目对照关系适配、预算事项与辅助核算对照适配；</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5.支持公立医院三级预算体系搭建，满足二上二下的编报流程，汇总提交审批，预算批复、分解下达任务；</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集成预算编制模块和财务模块，支持现金管理、应收应付、报销管理、合同管理、总账等系统取实际发生数，作为编制本期预算的参考；可按预算控制资金管理、应收应付、报销管理、合同管理、资金计划等模块；</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7.项目预算绩效申报，由归口科室同步完成，报表格式参照预算一体化系统平台中预算绩效申报表，支持EXCEL导出导入功能；</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8.预算的审核分为预算科室内审核、归口审核两个审核阶段，支持按自定义流程审核、批复预算。</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0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预算调整</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预算调整和预算调剂。其中预算调整单可对已编制的预算进行调整。预算调整单可用于追加预算和调减预算，预算总金额会相应增加或减少；通过预算调剂单，对已编制的预算进行调剂。预算调剂用于各预算项目之间的预算金额调剂，预算总金额不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1.收入预算执行：在预算管理系统中医疗收入的执行数据可以获取 HIS 中的收入数据（动态核销）和按月抽取财务总账中收入数据（静态核销）两种方式。财政补助收入的预算执行数可通过实际的财务收款的会计凭证进行获取。医院的其他收入类业务的预算执行数，亦可通过系统间的联通，采集财务收款的会计凭证作为预算执行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2.支出预算执行：分从业务和财务这两个执行角度，可以分为动态核销和静态核销，支持预算占用；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3.业务预算执行：可通过接口获取 HIS 数据进行执行，或者手工录入数据执行；</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4.支持全院预算与资金计划联查，已支付的资金计划与预算同时自动核销；</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5.与智能报账系统关联，报账界面实时反映预算项目执行情况，资金支付后自动核销相关预算事项，并按月、季、年度自动生成预算执行率报表。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预算控制</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通过报账系统对支出预算进行控制，包括个人报销和对公报账。个人报销主要指个人的日常、差旅费用报销等；对公报账主要指合同、采购、资产的对公报账等支付。支持刚性或柔性控制。预算管理办公室可在预算管理系统中通过控制策略，配置对其他业务系统的预算控制。系统支持对具体单据、控制节点、预算执行类别的设置。可通过精细化的定义控制维度，实现对不同业务单据按不同的业务维度去控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预算分析和预算绩效评价</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提供预算表列分析和预算项目执行跟踪等多种分析功能，还可以实现基于自定义维度的自由分析，主要支持：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1.支持预算执行分析，可支持预算科室和归口科室从指标、事项、项目、科室的维度对预算执行情况进行查询，可自定义生成预算分析表，支持EXCEL导出功能；</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2.支持预算绩效评价，由归口管理科室填报，报表格式参照预算一体化平台预算绩效评价表，支持EXCEL导出导入功能。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基础设置</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主要包括基础信息、基础编码、科目关系设置、自动凭证设置等基础设置。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总账</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能够满足医院日常基本财务核算工作中常用的账簿初始化、凭证管理、HIS 与药房等外部业务管理、账簿管理、期末处理等业务要求，主要支持：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1.衔接新旧信息系统账套转换初始化，包括账套余额结转、年初余额调整、科目初始账录入等；旧账套的数据无缝接入新系统，保证新系统里可以查询以往年度数据；</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日常凭证录入，按条件查询凭证，自定义凭证模板，按报销审核数据自动生成凭证，按工资、绩效等发放数据自动生成凭证，按HIS、SPD、资产、药品等数据自动生成凭证，自定义业务自动生成凭证（如按时、按频率、按新增业务等自动生成凭证），凭证现金流量标注，凭证电子签名，凭证审核与标错纠错，凭证记账，按科目、凭证类型等进行凭证汇总与统计，凭证差异项自动标注与查询，自定义打印凭证格式，凭证分册设置等；财务会计和预算会计实现自定义辅助核算维度（如预算会计实现功能分类科目和项目名称两个维度核算）；</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3.与 HIS系统对接，获取门诊、住院、自助机等各类报表数据，并生成自动凭证，可实时查询 HIS 数据并与科目余额对账；与药品系统对接，按付款日期范围、业务类型、供应商等条件查询并生成入库自动凭证，按调拨出库、领用消耗、退库等数据生成相关自动凭证；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按照业务发生的时间先后顺序逐日、逐笔连续记录凭证数据，并按科目展示，按科目范围、科目级次查询统计科目余额表，查询科目总账、科目明细账、现金日记账、银行日记账、资金日报表、辅助核算项账、现金流量明细表以及各类自定义报表（如应收账款备查表、应付账款备查表、专项资金备查表等）；</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5.引导自动期末结转，对月结及年结数据自动检查校验，试算平衡后生成自动凭证，对固定资产、无形资产、库存物资等科目的本期发生额及期末余额进行系统间对账；</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6.新政府会计制度要求的其他功能，如预算一体化平台数据上传等。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资金到账认领，对于专项资金、财政拨款、科研经费等资金，由申领人申请、财务确认后自动标记并录入备查簿（按科室），资金使用在申请环节由报账人标记，凭证生成后自动录入至相应备查簿；支持资金申领人查询自己科室的备查簿详情，可自动汇总各科室备查簿；</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2.出纳账登记，登记现金和银行账。 支持出纳对账以及对账结果查询；</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3.自动银行对账，导入银行对账单，自动勾对银行流水，标记不一致项目，根据对账结果生成银行余额调节表，按自定义条件查询银行余额调节表；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4.支持资金监控，对账户日余额分析、现金流量分析、大额交易查询、账户余额预警；</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5.支持金融机构授信和使用情况统计分析，关联合同管理中银行合同。</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往来管理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用于医院处理所有债权债务业务及相关管理工作，包括：医院与供应商、部门和业务员所形成的应收应付款、收款付款业务的管理，为医院提供各种往来款项的处理及自定义查询、统计分析等功能，主要包括：</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通过对应收、应付类科目的借贷方向、金额、合同编号、发票号、往来单位和个人信息等条件的校验，进行自动核销，可以在凭证制作保存后即时核销往来款项，也可以集中核销，可以一一对应核销，也可以多笔款项一起核销，可查询核销记录；</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2.收款室收款员暂存款，实现与HIS协同，自动生成财务凭证；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3.自定义条件查询各往来科目余额表、各往来科目明细账、各往来科目核销清单，定期对未核销往来账目进行预警，按自定义条件对未核销明细账目进行查询；</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4.账龄分析，自定义条件查询应收或应付科目未核销的往来业务时间分布情况；</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5.坏账准备管理，根据应收账款的余额和坏账提取比例自定义提取坏账，并生成对应的坏账提取凭证；</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6.往来设置，根据报销、借款等业务自动生成维护供应商、部门、业务员等基本信息，自动校验往来科目余额与往来明细汇总。</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报表管理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和数据统计</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实现各级组织进行报表的制定、下发、收集、审核、上报、审批与分析等相关业务工作，为医院提供报表编制、数据采集和报表过程管理的全方位管理服务，主要支持：</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自定义报表管理，按会计、预算、成本、现金流量等数据生成日常业务报表，本年预算结余与盈余调节表可做到准确归集，可按自定义时间生成，可自定义表内、表间审核公式，对报表数据进行审核，可按上级部门报表定制生成报表（如卫财年报、部门决算报表、三级公立医院绩效考核表、统计报表、资产报表、公立医院高质量发展表等），并录入相关逻辑校验条件；系统需支持舍位平衡，快速自动生成“千元”“万元”报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2.逻辑条件外显，点击任何报表上的数据均可显示相关逻辑校验条件及数据获取渠道，支持报表数据与凭证联查；</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3.数据统计分析，收入、费用、资产负债率、固定资产周转率、存货周转率、医疗服务性收入占比、药占比、耗占比、百元固定资产业务收入等指标的同比环比，可自定义生成数据统计报表。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薪酬管理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通过与人力资源系统和绩效系统做接口，工资和绩效部分通过接口导入代发模块，支持其他代发通过excel导入的代发模块，自动生成相关薪酬凭证。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1.分科室计提工资、代扣保险、发放工资；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2.分科室计提奖金、发放奖金；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3.月末自动统计合成按姓名和身份证号码归集的个人所得税表，支出excel导入导出。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合同管理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合同管理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院各类经济合同、协议管理，实现从合同签订、合同履行、合同归档、合同变更、保证金管理、违约索赔管理，到合同结束的全生命周期管理，系统功能主要包括工作台、合同起草、合同审批、合同签章、合同打印、合同执行、合同报表、合同预警、基础设置等，主要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1.医院日常业务中处理合同的所有环节，包括：录入、审核、生效、变更、冻结、终止、废止、查询统计、打印等；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2.根据合同制定资金计划，以及进行预收、预付款处理等；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3.对合同的活动或状态进行预警，提醒用户进行相关事务处理；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4.提供合同全面跟踪，付款后实时更新合同状态，按自定义条件查询各科室、各类合同；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可扫描上传电子版合同资料，手动录入合同关键信息，支持合同与资金计划、线上报销、资金管理、账务处理等模块联查，支持依据合同信息自动录入应收、应付、预收、预付备查簿，支持依据合同直接录入资金计划并发起线上报账申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6.从HRP起草签订的合同，其信息自动录入应收、应付、预收、预付备查簿，支持依据合同直接录入资金计划并发起线上报账申请；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7.支持自动录入合同维保金、履约保证金备查簿；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8.支持与预算管理、资金计划、资产管理、 财务管理、智能报账等模块的业务协同和一体化应用。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资产管理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卡片管理</w:t>
            </w:r>
          </w:p>
        </w:tc>
        <w:tc>
          <w:tcPr>
            <w:tcW w:w="60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1.卡片初始账：以账表的形式记录期初卡片折旧、转移、处置、资金来源、副卡、使用科室、变动、状态变动、图片等信息。可导入、新增、复制期初卡片，支持生成期初入库单，支持期初建账；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2.卡片维护：维护、新增资产卡片，记录折旧、转移、处置、资金来源、副卡、 使用科室、变动、状态变动、附属设备、图片等信息。支持多种资产分类方式，并按不同口径生成资产报表；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3.支持多资金来源、多项目管理、支持多科室共用资产折旧比例设置；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4.可通过资产卡片联查资产验收、入库、领用、折旧、转移、变更、处置、计量、保养、维护等信息，实时掌握资产动态； 提供卡片复制、修改、日志记录功能；支持附属设备管理，记录、维护附属设备信息。</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固定、无形资产管理</w:t>
            </w:r>
          </w:p>
        </w:tc>
        <w:tc>
          <w:tcPr>
            <w:tcW w:w="60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资产变动主要针对资产转移、原值变动及资产使用状态变动业务并回写卡片信息，主要包括：</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1.支持资产转移（科室－科室/仓库 －仓库/放置区域－放置区域）单据新增功能；支持转移单审核和反审功能；支持转移单查询及打印功能；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2.支持资产原值变动功能，可进行资产卡片的原值、累计折旧、折旧年限、工作量调整生成原值变动单据；支持变动单据审核和反审功能；支持变动单据查询和打印功能；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3.可进行资产卡片使用状态变更，并支持卡片批量变更；</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4.支持使用状态变动单审核和反审功能；支持使用状态变动单据查询和打印功能；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5.支持资金来源调整单据，审核后，可调整资产卡片资金来源数据，并支持重新计算期间折旧；</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资产处置，提供固定资产处置单据新建、审核和反审功能。支持导入盘亏单、设备处置单以及EXCEL单据生成。支持多种资产处置方式，包括核销减少、投资减少、盘亏减少、出让减少、有偿调出、无偿调出、销售减少、捐赠减少、毁损减少、报废减少等方式；</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7.条码管理，支持按资产分类进行条码生成规则设置及资产卡片条码生成功能：</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（1）条码设置：主要实现按照固定资产 分类进行条码生成内容设置；支持附属设备条码生成及打印；</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（2）条码生成：主要支持资产卡片生成条码内容及条码打印；</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（3）赠送条码打印设备1台及所需的辅材；</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折旧摊销，满足医院对资产折旧摊销业务要求，支持平均年限法和工作量法，支持折旧资产当月工作量维护功能；支持资产计提折旧、摊销及反折旧、反摊销功能；可查询各科室计提折旧摊销信息，查看不同资金来源折旧摊销信息；</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9.期末处理，支持固定资产期末数据结转，并为财务会计生成凭证数据；</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10.提供报表统计查询功能，包括折旧账表、资产月报、资产总账、变动账表、资产入库分析表、科室资产分布表等各类报表，可自定义资金来源生成资产报表；</w:t>
            </w: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11.资产移动盘点，提供移动盘点APP，支持手机、PDA等移动盘点方式，移动盘点：提供资产盘点设备和移动盘点APP，通过移动设备上安装的 APP 扫描资产条形码或二维码完成盘点任务，自动生成资产盘点表，赠送相应盘点扫码设备不少于3台；</w:t>
            </w:r>
          </w:p>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12.采购合同及发票，支持与合同管理、智能报账、财务会计模块联查，支持卡片录入时自动导入合同及发票，支持依据合同和发票提示付款。</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科室成本、诊次成本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和床日成本</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1.基础数据管理：实现对医院各核算单元的明细数据进行维护，包含收入数据、成本数据、内部服务数据、固定资产折旧数据、财务数据、工作量数据等，提供数据的维护功能；</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2.数据采集：通过 HRP 系统与 HIS 系统的对接，实现医院 HIS 系统、SPD、固定资产系统、人力资源系统、绩效系统、财务核算系统的有效衔接，自动获取各部门收入、成本、工作量、服务量等数据，为成本核算所需的各类收支数据；在数据获取的过程中，对不能进行自动采集数据需支持成本录入或数据导入功能，目的是为全面地采集收入成本数据；</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成本分摊：按照《医院财务制度》规定的“四类三级分摊法”对成本数据进行分摊，完成全成本核算工作，并能提供对医疗业务成本、医疗成本、医疗全成本、医院全成本的处理，分摊管理支持同一科室不同成本项目按不同的动因进行分摊，支持同级分摊、定向分摊，支持对分摊的数据进行校验，确保分摊结果的准确性；</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4.成本分析：可提供收支余分析、科室分析、本量利分析、人力、药耗专题分析等综合分析功能，系统可自动出具成本报告；</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5.成本报表：支持科室成本报表、诊次成本报表、床日成本报表自动生成。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智能报账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智能报账</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完成医院全部业务线上报账，通过智能填单，实现无接触式全线上流转，满足医院日常药品、设备、耗材等采购报账、差旅报销、借还款管理、收款报账、科研经费报账等业务需求，主要支持：</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1.静态字典数据维护并初始化系统，维护所涉及模块业务的用户、权限管理等基础设置；</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2.医院日常差旅、会议、培训、出国、劳务、支出报账等员工报账业务，合同、资产、采购、维保等对公报账业务，支持上传影像及附件，支持引用合同管理中合同资料，支持自定义设置并打印报账单，支持在报账单上显示报销标准、报销流程、预算情况、资金计划情况等，支持资金支付完成后自动生成专项资金执行率报表、预算执行率报表等；</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3.实现每月资金计划线上申请、审批，支持引用审批后资金计划发起报账申请，完成支付后自动核销相关资金计划安排，自定义格式编制、查询及打印资金计划，支持资金计划与年度预算安排联查；</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4.线上审批，自定义条件查询未审批及已审批单据，支持同意或驳回申请时添加审批意见，支持审批流程中补充附件，支持线上申请与审批电子签名；移动端申请，接入OA流程审批。</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5.借款与还款管理，借款线上申请及审批完成后，可自动生成记账凭证并录入借款备查簿，待还款业务完成后，按相应借款业务进行核销，可按自定义条件查询未核销、部分核销及全部核销借款；</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6.线上报销微信小程序、企业微信、钉钉，可通过微信小程序或钉钉</w:t>
            </w:r>
            <w:r>
              <w:rPr>
                <w:rFonts w:hint="eastAsia" w:ascii="仿宋" w:hAnsi="仿宋" w:eastAsia="仿宋" w:cs="仿宋"/>
                <w:lang w:eastAsia="zh-CN"/>
              </w:rPr>
              <w:t>登录</w:t>
            </w:r>
            <w:r>
              <w:rPr>
                <w:rFonts w:hint="eastAsia" w:ascii="仿宋" w:hAnsi="仿宋" w:eastAsia="仿宋" w:cs="仿宋"/>
              </w:rPr>
              <w:t>报账系统，并发起员工报账、员工借款与对公报账申请，支持领导在小程序、企业微信、钉钉上审批并查看附件，自定义不同业务报账申请模板，报账申请时可扫描上传影像及附件，扫描上传发票时</w:t>
            </w:r>
            <w:r>
              <w:rPr>
                <w:rFonts w:hint="eastAsia" w:ascii="仿宋" w:hAnsi="仿宋" w:eastAsia="仿宋" w:cs="仿宋"/>
                <w:lang w:eastAsia="zh-CN"/>
              </w:rPr>
              <w:t>自动</w:t>
            </w:r>
            <w:r>
              <w:rPr>
                <w:rFonts w:hint="eastAsia" w:ascii="仿宋" w:hAnsi="仿宋" w:eastAsia="仿宋" w:cs="仿宋"/>
              </w:rPr>
              <w:t>识别发票信息并自动验证发票真伪以及是否重复报账；</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7.职工报销汇总统计，按自定义条件查询、汇总单个职工所申请的员工报账业务、借款业务以及对公报账业务，可统计同一员工在某段时间内每笔报销业务及总金额；</w:t>
            </w:r>
          </w:p>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rPr>
              <w:t>8.影像及附件联查，每笔报账单中的影像资料及附件可在审核、审批、付款、生成凭证、凭证查询、报表统计中进行联查、实现长期存储；</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rPr>
              <w:t>9.发票统计，对于报账所上传的发票影像资料按员工、供应商等进行汇总统计并生成备查簿，可按自定义条件筛选查询。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对账平台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对账平台</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完成支付宝、微信、银行、 自助机、第三方渠道等接口对接，并实现一个期间的 HIS 收入与支付宝、微信、银行、自助机、 第三方渠道等收费数据的对账。需人工处理单边账，可以一键发起退费，无需进入各支付渠道分别发起对账。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支持服务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项目管理要求</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1.供应商应具有健全的项目管理制度和流程，以及合格的项目实施人员，对本项目进行全过程质量管理，确保项目实施的顺利。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2.针对采购方项目，供应商应承诺如下支持服务保证：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①供应商必须提供支持服务以保证系统的平稳运行。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②供应商需要与采购方共同合作，统一安排运维管理，保证系统的有效运转。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③供应商需要制定全面的工作计划，保证按照工作计划进行运维管理。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④供应商应在合同期内将系统的所有变动详细记录，并有反馈。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⑤供应商必须保证版本的控制，对所有的应用系统配置、源程序代码、文档等进行有效的管理。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⑥供应商必须制定安全管理手册，保证系统的可靠性。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⑦供应商必须遵从国家各级政府部门、各级卫生主管部门制定的统一安全标准。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⑧不得使用加密狗、注册码限制使用期限或安装点数。免费开放的用户数、接入数、授权数等必须满足软件使用期间内医院的使用需求。（注：供应商须提供响应承诺函（格式自拟），对该项要求进行承诺。该项为实质性响应条款，不满足将导致响应无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⑨供应商对系统的任何改动都应该通知采购方。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3.需求收集及开发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①供应商承担从医院收集需求的工作，用户需求规格说明书将由采购方签字盖章后确认。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②每个模块需由医院指定的业务科室负责人对供应商收集的需求进行确认。在不超出模块整体业务架构的前提下，以业务科室确认的需求作为开发、上线和验收依据。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③供应商需要对用户需求做进一步的分析与处理，并将其转化成技术需求规格，报告给采购方。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4.本项目需在合同签订日起6月内正式上线，投入使用。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5.整体项目在合同签订日起12月内完成。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人员组织要求</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1.成交供应商必须针对本项目专门建立一个完善和稳定的管理组织机构。稳定的项目负责人，其中必须包括一名专职负责的项目经理。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2.供应商若成交须承诺，如更换技术人员，需提供不低于原技术人员同等资历的人员，并通过采购方书面同意，办理相关项目变更手续。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项目实施期间，项目经理、技术负责人接到采购人通知半小时内必须到达采购人现场处理问题。在系统实施期间，供应商承诺的项目经理和关键人员未经采购方同意不得调整，中标供应商如中途更换项目经理，必须征得采购方同意。中标供应商需接受采购方的监督检查，并承担人员不足、不到位所导致的相关质量、进度等违约责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4.对成交供应商在项目实施过程中出现资源、进度、质量协调控制不力的情况，招标方有权要求更换相关项目人员，中标供应商必须予以配合，并确保不影响项目建设的进度和质量。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5.供应商必须在响应文件中提出项目组织方案、人员名单及沟通方案。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6.项目实施团队中须有具备财务专业知识的人员。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培训要求</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1.供应商在响应文件中提出全面的培训计划和课程内容安排，承诺合同签订后征得用户方同意后实施。成交供应商应承担培训所产生的所有费用。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2.用户培训：六安市中医院工作人员；管理员培训：六安市中医院系统管理员。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3.用户：不少于 10 个工作日；系统管理员：不少于 5 个工作日。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培训目标：成交供应商完成对医院的工作人员进行技术培训，用户能够正确熟练地使用系统。成交供应商完成对系统管理员进行全面培训，系统管理员熟练管理财务信息化平台并可以实现服务的管理维护，完成财务信息化平台日常的管理维护等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bl>
    <w:p>
      <w:pPr>
        <w:pStyle w:val="2"/>
      </w:pPr>
    </w:p>
    <w:p>
      <w:pPr>
        <w:jc w:val="both"/>
        <w:rPr>
          <w:rFonts w:hint="eastAsia" w:ascii="宋体" w:hAnsi="宋体" w:eastAsia="宋体" w:cs="宋体"/>
          <w:b/>
          <w:bCs/>
          <w:color w:val="000000"/>
          <w:sz w:val="32"/>
          <w:szCs w:val="32"/>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1AFD50"/>
    <w:multiLevelType w:val="singleLevel"/>
    <w:tmpl w:val="5D1AFD5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1136</Words>
  <Characters>1168</Characters>
  <Lines>6</Lines>
  <Paragraphs>1</Paragraphs>
  <TotalTime>2</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2024-05-17T01:05:20Z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