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lang w:val="en-US" w:eastAsia="zh-CN"/>
        </w:rPr>
        <w:t>互联网＋护理服务</w:t>
      </w:r>
      <w:r>
        <w:rPr>
          <w:rFonts w:hint="eastAsia" w:asciiTheme="majorEastAsia" w:hAnsiTheme="majorEastAsia" w:eastAsiaTheme="majorEastAsia"/>
          <w:b/>
          <w:sz w:val="32"/>
          <w:szCs w:val="32"/>
        </w:rPr>
        <w:t>项目初步参数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第二次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pPr>
              <w:spacing w:line="320" w:lineRule="exact"/>
              <w:jc w:val="center"/>
              <w:rPr>
                <w:rFonts w:hint="eastAsia" w:ascii="仿宋" w:hAnsi="仿宋" w:eastAsia="仿宋"/>
                <w:bCs/>
                <w:szCs w:val="21"/>
                <w:lang w:val="en-US" w:eastAsia="zh-CN"/>
              </w:rPr>
            </w:pPr>
          </w:p>
        </w:tc>
        <w:tc>
          <w:tcPr>
            <w:tcW w:w="795"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参数名称</w:t>
            </w:r>
          </w:p>
        </w:tc>
        <w:tc>
          <w:tcPr>
            <w:tcW w:w="4523"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pPr>
              <w:spacing w:line="320" w:lineRule="exact"/>
              <w:rPr>
                <w:rFonts w:ascii="仿宋" w:hAnsi="仿宋" w:eastAsia="仿宋"/>
                <w:bCs/>
                <w:szCs w:val="21"/>
              </w:rPr>
            </w:pPr>
          </w:p>
        </w:tc>
        <w:tc>
          <w:tcPr>
            <w:tcW w:w="426" w:type="dxa"/>
            <w:vMerge w:val="continue"/>
            <w:noWrap w:val="0"/>
            <w:vAlign w:val="top"/>
          </w:tcPr>
          <w:p>
            <w:pPr>
              <w:spacing w:line="320" w:lineRule="exact"/>
              <w:rPr>
                <w:rFonts w:ascii="仿宋" w:hAnsi="仿宋" w:eastAsia="仿宋"/>
                <w:bCs/>
                <w:szCs w:val="21"/>
              </w:rPr>
            </w:pPr>
          </w:p>
        </w:tc>
        <w:tc>
          <w:tcPr>
            <w:tcW w:w="956" w:type="dxa"/>
            <w:vMerge w:val="continue"/>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总体要求</w:t>
            </w:r>
          </w:p>
        </w:tc>
        <w:tc>
          <w:tcPr>
            <w:tcW w:w="795" w:type="dxa"/>
            <w:noWrap w:val="0"/>
            <w:vAlign w:val="center"/>
          </w:tcPr>
          <w:p>
            <w:pPr>
              <w:spacing w:line="320" w:lineRule="exact"/>
              <w:jc w:val="center"/>
              <w:rPr>
                <w:rFonts w:hint="eastAsia" w:ascii="仿宋" w:hAnsi="仿宋" w:eastAsia="仿宋"/>
                <w:bCs/>
                <w:szCs w:val="21"/>
              </w:rPr>
            </w:pPr>
            <w:r>
              <w:rPr>
                <w:rFonts w:hint="eastAsia" w:ascii="仿宋" w:hAnsi="仿宋" w:eastAsia="仿宋"/>
                <w:bCs/>
                <w:szCs w:val="21"/>
                <w:lang w:val="en-US" w:eastAsia="zh-CN"/>
              </w:rPr>
              <w:t>应用场景</w:t>
            </w:r>
          </w:p>
        </w:tc>
        <w:tc>
          <w:tcPr>
            <w:tcW w:w="4523" w:type="dxa"/>
            <w:noWrap w:val="0"/>
            <w:vAlign w:val="top"/>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针对各类患者、护士、医院管理等用户多种形式的应用场景，提供电脑系统、APP、微信公众号、支付宝生活号、小程序等多种软件类型。</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vMerge w:val="restart"/>
            <w:noWrap w:val="0"/>
            <w:vAlign w:val="center"/>
          </w:tcPr>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bCs/>
                <w:szCs w:val="21"/>
              </w:rPr>
            </w:pPr>
            <w:r>
              <w:rPr>
                <w:rFonts w:ascii="仿宋" w:hAnsi="仿宋" w:eastAsia="仿宋" w:cs="仿宋"/>
                <w:color w:val="auto"/>
                <w:kern w:val="0"/>
                <w:sz w:val="24"/>
                <w:szCs w:val="20"/>
                <w:lang w:val="en-US" w:eastAsia="zh-CN" w:bidi="hi-IN"/>
              </w:rPr>
              <w:t>患者端</w:t>
            </w:r>
          </w:p>
        </w:tc>
        <w:tc>
          <w:tcPr>
            <w:tcW w:w="795" w:type="dxa"/>
            <w:noWrap w:val="0"/>
            <w:vAlign w:val="center"/>
          </w:tcPr>
          <w:p>
            <w:pPr>
              <w:widowControl/>
              <w:jc w:val="center"/>
              <w:rPr>
                <w:rFonts w:ascii="仿宋" w:hAnsi="仿宋" w:eastAsia="仿宋"/>
                <w:bCs/>
                <w:szCs w:val="21"/>
              </w:rPr>
            </w:pPr>
            <w:r>
              <w:rPr>
                <w:rFonts w:ascii="仿宋" w:hAnsi="仿宋" w:eastAsia="仿宋"/>
                <w:bCs/>
                <w:szCs w:val="21"/>
                <w:lang w:val="en-US" w:eastAsia="zh-CN"/>
              </w:rPr>
              <w:t>患者身份认证</w:t>
            </w:r>
          </w:p>
        </w:tc>
        <w:tc>
          <w:tcPr>
            <w:tcW w:w="4523" w:type="dxa"/>
            <w:noWrap w:val="0"/>
            <w:vAlign w:val="top"/>
          </w:tcPr>
          <w:p>
            <w:pPr>
              <w:pStyle w:val="3"/>
              <w:ind w:firstLine="0"/>
              <w:jc w:val="left"/>
              <w:rPr>
                <w:rFonts w:hint="default" w:ascii="仿宋" w:hAnsi="仿宋" w:eastAsia="仿宋" w:cs="宋体"/>
                <w:kern w:val="0"/>
                <w:szCs w:val="21"/>
                <w:lang w:val="en-US" w:eastAsia="zh-CN"/>
              </w:rPr>
            </w:pPr>
            <w:r>
              <w:rPr>
                <w:rFonts w:hint="default" w:ascii="仿宋" w:hAnsi="仿宋" w:eastAsia="仿宋" w:cs="宋体"/>
                <w:kern w:val="0"/>
                <w:szCs w:val="21"/>
                <w:lang w:val="en-US" w:eastAsia="zh-CN"/>
              </w:rPr>
              <w:t>采集患者本人/患者代理人身份信息，包含身份证正、反面，手持身份证人像等信息，并采取比对措施保障身份真实性。</w:t>
            </w:r>
          </w:p>
        </w:tc>
        <w:tc>
          <w:tcPr>
            <w:tcW w:w="541" w:type="dxa"/>
            <w:noWrap w:val="0"/>
            <w:vAlign w:val="top"/>
          </w:tcPr>
          <w:p>
            <w:pPr>
              <w:spacing w:line="320" w:lineRule="exact"/>
              <w:jc w:val="center"/>
              <w:rPr>
                <w:rFonts w:ascii="仿宋" w:hAnsi="仿宋" w:eastAsia="仿宋"/>
                <w:bCs/>
                <w:szCs w:val="21"/>
              </w:rPr>
            </w:pPr>
          </w:p>
          <w:p>
            <w:pPr>
              <w:spacing w:line="320" w:lineRule="exact"/>
              <w:rPr>
                <w:rFonts w:ascii="仿宋" w:hAnsi="仿宋" w:eastAsia="仿宋"/>
                <w:bCs/>
                <w:szCs w:val="21"/>
              </w:rPr>
            </w:pPr>
          </w:p>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restart"/>
            <w:noWrap w:val="0"/>
            <w:vAlign w:val="center"/>
          </w:tcPr>
          <w:p>
            <w:pPr>
              <w:pStyle w:val="3"/>
              <w:ind w:firstLine="0"/>
              <w:jc w:val="center"/>
              <w:rPr>
                <w:rFonts w:ascii="仿宋" w:hAnsi="仿宋" w:eastAsia="仿宋"/>
                <w:bCs/>
                <w:szCs w:val="21"/>
              </w:rPr>
            </w:pPr>
            <w:r>
              <w:rPr>
                <w:rFonts w:hint="eastAsia" w:ascii="仿宋" w:hAnsi="仿宋" w:eastAsia="仿宋"/>
                <w:bCs/>
                <w:szCs w:val="21"/>
              </w:rPr>
              <w:t>服务展示</w:t>
            </w: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按照服务分类展示服务项目，便于患者查找所需的服务项目。</w:t>
            </w:r>
          </w:p>
        </w:tc>
        <w:tc>
          <w:tcPr>
            <w:tcW w:w="541" w:type="dxa"/>
            <w:noWrap w:val="0"/>
            <w:vAlign w:val="top"/>
          </w:tcPr>
          <w:p>
            <w:pPr>
              <w:spacing w:line="320" w:lineRule="exact"/>
              <w:rPr>
                <w:rFonts w:hint="eastAsia" w:ascii="仿宋" w:hAnsi="仿宋" w:eastAsia="仿宋"/>
                <w:bCs/>
                <w:szCs w:val="21"/>
                <w:lang w:val="en-US" w:eastAsia="zh-CN"/>
              </w:rPr>
            </w:pPr>
          </w:p>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提供全局搜索功能，便于患者查找所需的服务项目或商品。</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rPr>
                <w:rFonts w:ascii="仿宋" w:hAnsi="仿宋" w:eastAsia="仿宋"/>
                <w:bCs/>
                <w:szCs w:val="21"/>
              </w:rPr>
            </w:pPr>
          </w:p>
        </w:tc>
        <w:tc>
          <w:tcPr>
            <w:tcW w:w="795" w:type="dxa"/>
            <w:vMerge w:val="continue"/>
            <w:noWrap w:val="0"/>
            <w:vAlign w:val="center"/>
          </w:tcPr>
          <w:p>
            <w:pPr>
              <w:pStyle w:val="3"/>
              <w:ind w:firstLine="0"/>
              <w:rPr>
                <w:rFonts w:ascii="仿宋" w:hAnsi="仿宋" w:eastAsia="仿宋"/>
                <w:bCs/>
                <w:szCs w:val="21"/>
              </w:rPr>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服务内容显示及查看，服务显示服务价格、服务详情、服务须知、适用人群、注意事项、退约或修改等。</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rPr>
                <w:rFonts w:ascii="仿宋" w:hAnsi="仿宋" w:eastAsia="仿宋"/>
                <w:bCs/>
                <w:szCs w:val="21"/>
              </w:rPr>
            </w:pPr>
          </w:p>
        </w:tc>
        <w:tc>
          <w:tcPr>
            <w:tcW w:w="795" w:type="dxa"/>
            <w:vMerge w:val="continue"/>
            <w:noWrap w:val="0"/>
            <w:vAlign w:val="center"/>
          </w:tcPr>
          <w:p>
            <w:pPr>
              <w:pStyle w:val="3"/>
              <w:ind w:firstLine="0"/>
              <w:rPr>
                <w:rFonts w:ascii="仿宋" w:hAnsi="仿宋" w:eastAsia="仿宋"/>
                <w:bCs/>
                <w:szCs w:val="21"/>
              </w:rPr>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支持服务相关的耗材包及耗材“商城化”展示。</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rPr>
                <w:rFonts w:ascii="仿宋" w:hAnsi="仿宋" w:eastAsia="仿宋"/>
                <w:bCs/>
                <w:szCs w:val="21"/>
              </w:rPr>
            </w:pPr>
          </w:p>
        </w:tc>
        <w:tc>
          <w:tcPr>
            <w:tcW w:w="795" w:type="dxa"/>
            <w:vMerge w:val="continue"/>
            <w:noWrap w:val="0"/>
            <w:vAlign w:val="center"/>
          </w:tcPr>
          <w:p>
            <w:pPr>
              <w:pStyle w:val="3"/>
              <w:ind w:firstLine="0"/>
              <w:rPr>
                <w:rFonts w:ascii="仿宋" w:hAnsi="仿宋" w:eastAsia="仿宋"/>
                <w:bCs/>
                <w:szCs w:val="21"/>
              </w:rPr>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促销活动展示，展示原价和现价、优惠券信息、打折卡信息等。</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rPr>
                <w:rFonts w:ascii="仿宋" w:hAnsi="仿宋" w:eastAsia="仿宋"/>
                <w:bCs/>
                <w:szCs w:val="21"/>
              </w:rPr>
            </w:pPr>
          </w:p>
        </w:tc>
        <w:tc>
          <w:tcPr>
            <w:tcW w:w="795" w:type="dxa"/>
            <w:vMerge w:val="continue"/>
            <w:noWrap w:val="0"/>
            <w:vAlign w:val="center"/>
          </w:tcPr>
          <w:p>
            <w:pPr>
              <w:pStyle w:val="3"/>
              <w:ind w:firstLine="0"/>
              <w:rPr>
                <w:rFonts w:ascii="仿宋" w:hAnsi="仿宋" w:eastAsia="仿宋"/>
                <w:bCs/>
                <w:szCs w:val="21"/>
              </w:rPr>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历史销售数据及评价展示，展示好评率，历史销售份数等。</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restart"/>
            <w:noWrap w:val="0"/>
            <w:vAlign w:val="center"/>
          </w:tcPr>
          <w:p>
            <w:pPr>
              <w:widowControl/>
              <w:jc w:val="center"/>
              <w:rPr>
                <w:rFonts w:hint="eastAsia" w:ascii="仿宋" w:hAnsi="仿宋" w:eastAsia="仿宋"/>
                <w:bCs/>
                <w:szCs w:val="21"/>
              </w:rPr>
            </w:pPr>
          </w:p>
          <w:p>
            <w:pPr>
              <w:widowControl/>
              <w:jc w:val="center"/>
              <w:rPr>
                <w:rFonts w:hint="eastAsia" w:ascii="仿宋" w:hAnsi="仿宋" w:eastAsia="仿宋"/>
                <w:bCs/>
                <w:szCs w:val="21"/>
              </w:rPr>
            </w:pPr>
          </w:p>
          <w:p>
            <w:pPr>
              <w:widowControl/>
              <w:jc w:val="center"/>
              <w:rPr>
                <w:rFonts w:hint="eastAsia" w:ascii="仿宋" w:hAnsi="仿宋" w:eastAsia="仿宋"/>
                <w:bCs/>
                <w:szCs w:val="21"/>
              </w:rPr>
            </w:pPr>
          </w:p>
          <w:p>
            <w:pPr>
              <w:widowControl/>
              <w:jc w:val="center"/>
              <w:rPr>
                <w:rFonts w:hint="eastAsia" w:ascii="仿宋" w:hAnsi="仿宋" w:eastAsia="仿宋"/>
                <w:bCs/>
                <w:szCs w:val="21"/>
              </w:rPr>
            </w:pPr>
          </w:p>
          <w:p>
            <w:pPr>
              <w:widowControl/>
              <w:jc w:val="center"/>
              <w:rPr>
                <w:rFonts w:ascii="仿宋" w:hAnsi="仿宋" w:eastAsia="仿宋"/>
                <w:bCs/>
                <w:szCs w:val="21"/>
              </w:rPr>
            </w:pPr>
            <w:r>
              <w:rPr>
                <w:rFonts w:hint="eastAsia" w:ascii="仿宋" w:hAnsi="仿宋" w:eastAsia="仿宋"/>
                <w:bCs/>
                <w:szCs w:val="21"/>
              </w:rPr>
              <w:t>服务预约</w:t>
            </w: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支持患者本人/患者代理人通过手机APP端或微信公众号端预约护理人员上门服务，支持提前预约服务或者预约当天服务。</w:t>
            </w:r>
          </w:p>
        </w:tc>
        <w:tc>
          <w:tcPr>
            <w:tcW w:w="541" w:type="dxa"/>
            <w:noWrap w:val="0"/>
            <w:vAlign w:val="top"/>
          </w:tcPr>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pPr>
          </w:p>
        </w:tc>
        <w:tc>
          <w:tcPr>
            <w:tcW w:w="795" w:type="dxa"/>
            <w:vMerge w:val="continue"/>
            <w:noWrap w:val="0"/>
            <w:vAlign w:val="center"/>
          </w:tcPr>
          <w:p>
            <w:pPr>
              <w:pStyle w:val="3"/>
              <w:ind w:firstLine="0"/>
              <w:jc w:val="left"/>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预约时患者本人/患者代理人需提供被服务人基本信息、被服务人关系及相关证明材料，例如被服务对象的身份证正、反面，手持身份证人像等信息，提升安全保障。</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预约时需提供被服务人病情信息，例如疾病名称、历史诊断证明、病情资料等信息，提升出诊医疗安全保障。</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预约时需明确本次服务需求，例如服务时间、服务地址等提升出诊安全保障。</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支持快速选择耗材和耗材包，便于患者本人/患者代理人快速下单。</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val="en-US" w:eastAsia="zh-CN"/>
              </w:rPr>
              <w:t>自动定位地址，预约过程中提供自动定位，便于患者快速定位服务地址。</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自主定位地址，预约过程中提供自主定位功能，便于患者代理人远程为患者下单。</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支持多位代理人代替患者下单。</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需签署《知情同意书》方可预约下单。</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restart"/>
            <w:noWrap w:val="0"/>
            <w:vAlign w:val="center"/>
          </w:tcPr>
          <w:p>
            <w:pPr>
              <w:widowControl/>
              <w:jc w:val="center"/>
              <w:rPr>
                <w:rFonts w:ascii="仿宋" w:hAnsi="仿宋" w:eastAsia="仿宋"/>
                <w:bCs/>
                <w:szCs w:val="21"/>
              </w:rPr>
            </w:pPr>
            <w:r>
              <w:rPr>
                <w:rFonts w:hint="eastAsia" w:ascii="仿宋" w:hAnsi="仿宋" w:eastAsia="仿宋"/>
                <w:bCs/>
                <w:szCs w:val="21"/>
              </w:rPr>
              <w:t>自动计费</w:t>
            </w:r>
          </w:p>
        </w:tc>
        <w:tc>
          <w:tcPr>
            <w:tcW w:w="4523" w:type="dxa"/>
            <w:noWrap w:val="0"/>
            <w:vAlign w:val="center"/>
          </w:tcPr>
          <w:p>
            <w:pPr>
              <w:pStyle w:val="3"/>
              <w:ind w:firstLine="0"/>
              <w:rPr>
                <w:rFonts w:hint="eastAsia" w:ascii="仿宋" w:hAnsi="仿宋" w:eastAsia="仿宋" w:cs="Times New Roman"/>
                <w:lang w:eastAsia="zh-CN"/>
              </w:rPr>
            </w:pPr>
            <w:r>
              <w:rPr>
                <w:rFonts w:hint="eastAsia" w:ascii="仿宋" w:hAnsi="仿宋" w:eastAsia="仿宋" w:cs="Times New Roman"/>
                <w:lang w:eastAsia="zh-CN"/>
              </w:rPr>
              <w:t>支持自动计算服务费用、耗材费用、通过地图导航自动计算交通费用，并进行汇总计价。</w:t>
            </w:r>
          </w:p>
        </w:tc>
        <w:tc>
          <w:tcPr>
            <w:tcW w:w="541" w:type="dxa"/>
            <w:noWrap w:val="0"/>
            <w:vAlign w:val="top"/>
          </w:tcPr>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hint="eastAsia" w:ascii="仿宋" w:hAnsi="仿宋" w:eastAsia="仿宋" w:cs="Times New Roman"/>
                <w:lang w:eastAsia="zh-CN"/>
              </w:rPr>
            </w:pPr>
            <w:r>
              <w:rPr>
                <w:rFonts w:hint="eastAsia" w:ascii="仿宋" w:hAnsi="仿宋" w:eastAsia="仿宋" w:cs="Times New Roman"/>
                <w:lang w:eastAsia="zh-CN"/>
              </w:rPr>
              <w:t>预约服务时可通过手机端进行微信支付、支付宝支付直接缴费。</w:t>
            </w:r>
          </w:p>
        </w:tc>
        <w:tc>
          <w:tcPr>
            <w:tcW w:w="541" w:type="dxa"/>
            <w:noWrap w:val="0"/>
            <w:vAlign w:val="top"/>
          </w:tcPr>
          <w:p>
            <w:pPr>
              <w:pStyle w:val="3"/>
              <w:ind w:firstLine="0"/>
              <w:rPr>
                <w:rFonts w:hint="eastAsia" w:ascii="仿宋" w:hAnsi="仿宋" w:eastAsia="仿宋" w:cs="Times New Roman"/>
                <w:lang w:eastAsia="zh-CN"/>
              </w:rPr>
            </w:pPr>
          </w:p>
        </w:tc>
        <w:tc>
          <w:tcPr>
            <w:tcW w:w="769" w:type="dxa"/>
            <w:noWrap w:val="0"/>
            <w:vAlign w:val="top"/>
          </w:tcPr>
          <w:p>
            <w:pPr>
              <w:pStyle w:val="3"/>
              <w:ind w:firstLine="0"/>
              <w:rPr>
                <w:rFonts w:hint="eastAsia" w:ascii="仿宋" w:hAnsi="仿宋" w:eastAsia="仿宋" w:cs="Times New Roman"/>
                <w:lang w:eastAsia="zh-CN"/>
              </w:rPr>
            </w:pPr>
          </w:p>
        </w:tc>
        <w:tc>
          <w:tcPr>
            <w:tcW w:w="426" w:type="dxa"/>
            <w:noWrap w:val="0"/>
            <w:vAlign w:val="top"/>
          </w:tcPr>
          <w:p>
            <w:pPr>
              <w:pStyle w:val="3"/>
              <w:ind w:firstLine="0"/>
              <w:rPr>
                <w:rFonts w:hint="eastAsia" w:ascii="仿宋" w:hAnsi="仿宋" w:eastAsia="仿宋" w:cs="Times New Roman"/>
                <w:lang w:eastAsia="zh-CN"/>
              </w:rPr>
            </w:pPr>
          </w:p>
        </w:tc>
        <w:tc>
          <w:tcPr>
            <w:tcW w:w="956" w:type="dxa"/>
            <w:noWrap w:val="0"/>
            <w:vAlign w:val="top"/>
          </w:tcPr>
          <w:p>
            <w:pPr>
              <w:pStyle w:val="3"/>
              <w:ind w:firstLine="0"/>
              <w:rPr>
                <w:rFonts w:hint="eastAsia" w:ascii="仿宋" w:hAnsi="仿宋" w:eastAsia="仿宋" w:cs="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restart"/>
            <w:noWrap w:val="0"/>
            <w:vAlign w:val="center"/>
          </w:tcPr>
          <w:p>
            <w:pPr>
              <w:pStyle w:val="3"/>
              <w:ind w:firstLine="0"/>
              <w:jc w:val="center"/>
              <w:rPr>
                <w:rFonts w:ascii="仿宋" w:hAnsi="仿宋" w:eastAsia="仿宋"/>
                <w:bCs/>
                <w:szCs w:val="21"/>
              </w:rPr>
            </w:pPr>
            <w:r>
              <w:rPr>
                <w:rFonts w:hint="eastAsia" w:ascii="仿宋" w:hAnsi="仿宋" w:eastAsia="仿宋"/>
                <w:bCs/>
                <w:szCs w:val="21"/>
              </w:rPr>
              <w:t>服务评价</w:t>
            </w:r>
          </w:p>
        </w:tc>
        <w:tc>
          <w:tcPr>
            <w:tcW w:w="4523" w:type="dxa"/>
            <w:noWrap w:val="0"/>
            <w:vAlign w:val="center"/>
          </w:tcPr>
          <w:p>
            <w:pPr>
              <w:pStyle w:val="3"/>
              <w:ind w:firstLine="0"/>
              <w:rPr>
                <w:rFonts w:ascii="仿宋" w:hAnsi="仿宋" w:eastAsia="仿宋"/>
              </w:rPr>
            </w:pPr>
            <w:r>
              <w:rPr>
                <w:rFonts w:hint="eastAsia" w:ascii="仿宋" w:hAnsi="仿宋" w:eastAsia="仿宋"/>
              </w:rPr>
              <w:t>患者本人/患者代理人在服务完成后可以通过手机APP端或微信公众号端进行评价。</w:t>
            </w:r>
          </w:p>
        </w:tc>
        <w:tc>
          <w:tcPr>
            <w:tcW w:w="541" w:type="dxa"/>
            <w:noWrap w:val="0"/>
            <w:vAlign w:val="top"/>
          </w:tcPr>
          <w:p>
            <w:pPr>
              <w:pStyle w:val="6"/>
              <w:ind w:firstLine="0" w:firstLineChars="0"/>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ascii="仿宋" w:hAnsi="仿宋" w:eastAsia="仿宋"/>
              </w:rPr>
            </w:pPr>
            <w:r>
              <w:rPr>
                <w:rFonts w:hint="eastAsia" w:ascii="仿宋" w:hAnsi="仿宋" w:eastAsia="仿宋"/>
              </w:rPr>
              <w:t>支持多种评价方式，星级评定或者文字评价。</w:t>
            </w:r>
          </w:p>
        </w:tc>
        <w:tc>
          <w:tcPr>
            <w:tcW w:w="541" w:type="dxa"/>
            <w:noWrap w:val="0"/>
            <w:vAlign w:val="top"/>
          </w:tcPr>
          <w:p>
            <w:pPr>
              <w:pStyle w:val="3"/>
              <w:ind w:firstLine="0"/>
              <w:rPr>
                <w:rFonts w:ascii="仿宋" w:hAnsi="仿宋" w:eastAsia="仿宋"/>
              </w:rPr>
            </w:pPr>
          </w:p>
        </w:tc>
        <w:tc>
          <w:tcPr>
            <w:tcW w:w="769" w:type="dxa"/>
            <w:noWrap w:val="0"/>
            <w:vAlign w:val="top"/>
          </w:tcPr>
          <w:p>
            <w:pPr>
              <w:pStyle w:val="3"/>
              <w:ind w:firstLine="0"/>
              <w:rPr>
                <w:rFonts w:ascii="仿宋" w:hAnsi="仿宋" w:eastAsia="仿宋"/>
              </w:rPr>
            </w:pPr>
          </w:p>
        </w:tc>
        <w:tc>
          <w:tcPr>
            <w:tcW w:w="426" w:type="dxa"/>
            <w:noWrap w:val="0"/>
            <w:vAlign w:val="top"/>
          </w:tcPr>
          <w:p>
            <w:pPr>
              <w:pStyle w:val="3"/>
              <w:ind w:firstLine="0"/>
              <w:rPr>
                <w:rFonts w:ascii="仿宋" w:hAnsi="仿宋" w:eastAsia="仿宋"/>
              </w:rPr>
            </w:pPr>
          </w:p>
        </w:tc>
        <w:tc>
          <w:tcPr>
            <w:tcW w:w="956" w:type="dxa"/>
            <w:noWrap w:val="0"/>
            <w:vAlign w:val="top"/>
          </w:tcPr>
          <w:p>
            <w:pPr>
              <w:pStyle w:val="3"/>
              <w:ind w:firstLine="0"/>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ascii="仿宋" w:hAnsi="仿宋" w:eastAsia="仿宋"/>
              </w:rPr>
            </w:pPr>
            <w:r>
              <w:rPr>
                <w:rFonts w:hint="eastAsia" w:ascii="仿宋" w:hAnsi="仿宋" w:eastAsia="仿宋"/>
              </w:rPr>
              <w:t>评价可以展示。</w:t>
            </w:r>
          </w:p>
        </w:tc>
        <w:tc>
          <w:tcPr>
            <w:tcW w:w="541" w:type="dxa"/>
            <w:noWrap w:val="0"/>
            <w:vAlign w:val="top"/>
          </w:tcPr>
          <w:p>
            <w:pPr>
              <w:pStyle w:val="3"/>
              <w:ind w:firstLine="0"/>
              <w:rPr>
                <w:rFonts w:ascii="仿宋" w:hAnsi="仿宋" w:eastAsia="仿宋"/>
              </w:rPr>
            </w:pPr>
          </w:p>
        </w:tc>
        <w:tc>
          <w:tcPr>
            <w:tcW w:w="769" w:type="dxa"/>
            <w:noWrap w:val="0"/>
            <w:vAlign w:val="top"/>
          </w:tcPr>
          <w:p>
            <w:pPr>
              <w:pStyle w:val="3"/>
              <w:ind w:firstLine="0"/>
              <w:rPr>
                <w:rFonts w:ascii="仿宋" w:hAnsi="仿宋" w:eastAsia="仿宋"/>
              </w:rPr>
            </w:pPr>
          </w:p>
        </w:tc>
        <w:tc>
          <w:tcPr>
            <w:tcW w:w="426" w:type="dxa"/>
            <w:noWrap w:val="0"/>
            <w:vAlign w:val="top"/>
          </w:tcPr>
          <w:p>
            <w:pPr>
              <w:pStyle w:val="3"/>
              <w:ind w:firstLine="0"/>
              <w:rPr>
                <w:rFonts w:ascii="仿宋" w:hAnsi="仿宋" w:eastAsia="仿宋"/>
              </w:rPr>
            </w:pPr>
          </w:p>
        </w:tc>
        <w:tc>
          <w:tcPr>
            <w:tcW w:w="956" w:type="dxa"/>
            <w:noWrap w:val="0"/>
            <w:vAlign w:val="top"/>
          </w:tcPr>
          <w:p>
            <w:pPr>
              <w:pStyle w:val="3"/>
              <w:ind w:firstLine="0"/>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846" w:type="dxa"/>
            <w:vMerge w:val="continue"/>
            <w:noWrap w:val="0"/>
            <w:vAlign w:val="center"/>
          </w:tcPr>
          <w:p>
            <w:pPr>
              <w:pStyle w:val="2"/>
            </w:pPr>
          </w:p>
        </w:tc>
        <w:tc>
          <w:tcPr>
            <w:tcW w:w="795" w:type="dxa"/>
            <w:vMerge w:val="restart"/>
            <w:noWrap w:val="0"/>
            <w:vAlign w:val="center"/>
          </w:tcPr>
          <w:p>
            <w:pPr>
              <w:pStyle w:val="3"/>
              <w:ind w:firstLine="0"/>
              <w:rPr>
                <w:rFonts w:eastAsia="宋体"/>
              </w:rPr>
            </w:pPr>
            <w:r>
              <w:rPr>
                <w:rFonts w:hint="eastAsia" w:ascii="仿宋" w:hAnsi="仿宋" w:eastAsia="仿宋"/>
                <w:bCs/>
                <w:szCs w:val="21"/>
              </w:rPr>
              <w:t>商品展示</w:t>
            </w:r>
          </w:p>
        </w:tc>
        <w:tc>
          <w:tcPr>
            <w:tcW w:w="4523" w:type="dxa"/>
            <w:noWrap w:val="0"/>
            <w:vAlign w:val="center"/>
          </w:tcPr>
          <w:p>
            <w:pPr>
              <w:pStyle w:val="3"/>
              <w:ind w:firstLine="0"/>
              <w:rPr>
                <w:rFonts w:hint="eastAsia" w:eastAsia="宋体"/>
                <w:lang w:val="en-US" w:eastAsia="zh-CN"/>
              </w:rPr>
            </w:pPr>
            <w:r>
              <w:rPr>
                <w:rFonts w:hint="eastAsia" w:ascii="仿宋" w:hAnsi="仿宋" w:eastAsia="仿宋"/>
                <w:lang w:val="en-US" w:eastAsia="zh-CN"/>
              </w:rPr>
              <w:t>可以展示耗材等商品，展示商品图片、商品价格、购买须知等内容。</w:t>
            </w:r>
          </w:p>
        </w:tc>
        <w:tc>
          <w:tcPr>
            <w:tcW w:w="541" w:type="dxa"/>
            <w:noWrap w:val="0"/>
            <w:vAlign w:val="top"/>
          </w:tcPr>
          <w:p>
            <w:pPr>
              <w:pStyle w:val="2"/>
              <w:rPr>
                <w:rFonts w:hint="eastAsia" w:ascii="仿宋" w:hAnsi="仿宋" w:eastAsia="仿宋" w:cs="宋体"/>
                <w:kern w:val="0"/>
                <w:szCs w:val="21"/>
                <w:lang w:val="en-US" w:eastAsia="zh-CN"/>
              </w:rPr>
            </w:pPr>
          </w:p>
        </w:tc>
        <w:tc>
          <w:tcPr>
            <w:tcW w:w="769" w:type="dxa"/>
            <w:noWrap w:val="0"/>
            <w:vAlign w:val="top"/>
          </w:tcPr>
          <w:p>
            <w:pPr>
              <w:pStyle w:val="2"/>
              <w:rPr>
                <w:rFonts w:hint="eastAsia" w:ascii="仿宋" w:hAnsi="仿宋" w:eastAsia="仿宋" w:cs="宋体"/>
                <w:kern w:val="0"/>
                <w:szCs w:val="21"/>
                <w:lang w:val="en-US" w:eastAsia="zh-CN"/>
              </w:rPr>
            </w:pPr>
          </w:p>
        </w:tc>
        <w:tc>
          <w:tcPr>
            <w:tcW w:w="426" w:type="dxa"/>
            <w:noWrap w:val="0"/>
            <w:vAlign w:val="top"/>
          </w:tcPr>
          <w:p>
            <w:pPr>
              <w:pStyle w:val="2"/>
              <w:rPr>
                <w:rFonts w:hint="eastAsia" w:ascii="仿宋" w:hAnsi="仿宋" w:eastAsia="仿宋" w:cs="宋体"/>
                <w:kern w:val="0"/>
                <w:szCs w:val="21"/>
                <w:lang w:val="en-US" w:eastAsia="zh-CN"/>
              </w:rPr>
            </w:pPr>
          </w:p>
        </w:tc>
        <w:tc>
          <w:tcPr>
            <w:tcW w:w="956" w:type="dxa"/>
            <w:noWrap w:val="0"/>
            <w:vAlign w:val="top"/>
          </w:tcPr>
          <w:p>
            <w:pPr>
              <w:pStyle w:val="2"/>
              <w:rPr>
                <w:rFonts w:hint="eastAsia" w:ascii="仿宋" w:hAnsi="仿宋" w:eastAsia="仿宋" w:cs="宋体"/>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患者本人/患者代理人在选购服务项目时可以同时选购需要自主购买的耗材等。</w:t>
            </w:r>
          </w:p>
        </w:tc>
        <w:tc>
          <w:tcPr>
            <w:tcW w:w="541" w:type="dxa"/>
            <w:noWrap w:val="0"/>
            <w:vAlign w:val="top"/>
          </w:tcPr>
          <w:p>
            <w:pPr>
              <w:pStyle w:val="3"/>
              <w:ind w:firstLine="0"/>
              <w:rPr>
                <w:rFonts w:hint="eastAsia" w:ascii="仿宋" w:hAnsi="仿宋" w:eastAsia="仿宋"/>
                <w:lang w:val="en-US" w:eastAsia="zh-CN"/>
              </w:rPr>
            </w:pPr>
          </w:p>
        </w:tc>
        <w:tc>
          <w:tcPr>
            <w:tcW w:w="769" w:type="dxa"/>
            <w:noWrap w:val="0"/>
            <w:vAlign w:val="top"/>
          </w:tcPr>
          <w:p>
            <w:pPr>
              <w:pStyle w:val="3"/>
              <w:ind w:firstLine="0"/>
              <w:rPr>
                <w:rFonts w:hint="eastAsia" w:ascii="仿宋" w:hAnsi="仿宋" w:eastAsia="仿宋"/>
                <w:lang w:val="en-US" w:eastAsia="zh-CN"/>
              </w:rPr>
            </w:pPr>
          </w:p>
        </w:tc>
        <w:tc>
          <w:tcPr>
            <w:tcW w:w="426" w:type="dxa"/>
            <w:noWrap w:val="0"/>
            <w:vAlign w:val="top"/>
          </w:tcPr>
          <w:p>
            <w:pPr>
              <w:pStyle w:val="3"/>
              <w:ind w:firstLine="0"/>
              <w:rPr>
                <w:rFonts w:hint="eastAsia" w:ascii="仿宋" w:hAnsi="仿宋" w:eastAsia="仿宋"/>
                <w:lang w:val="en-US" w:eastAsia="zh-CN"/>
              </w:rPr>
            </w:pPr>
          </w:p>
        </w:tc>
        <w:tc>
          <w:tcPr>
            <w:tcW w:w="956" w:type="dxa"/>
            <w:noWrap w:val="0"/>
            <w:vAlign w:val="top"/>
          </w:tcPr>
          <w:p>
            <w:pPr>
              <w:pStyle w:val="3"/>
              <w:ind w:firstLine="0"/>
              <w:rPr>
                <w:rFonts w:hint="eastAsia" w:ascii="仿宋" w:hAnsi="仿宋" w:eastAsia="仿宋"/>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2"/>
              <w:rPr>
                <w:rFonts w:hint="eastAsia" w:ascii="仿宋" w:hAnsi="仿宋" w:eastAsia="仿宋" w:cs="宋体"/>
                <w:kern w:val="0"/>
                <w:szCs w:val="21"/>
                <w:lang w:val="en-US" w:eastAsia="zh-CN"/>
              </w:rPr>
            </w:pPr>
          </w:p>
        </w:tc>
        <w:tc>
          <w:tcPr>
            <w:tcW w:w="795" w:type="dxa"/>
            <w:vMerge w:val="restart"/>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购物车或追加订单</w:t>
            </w: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患者本人/患者代理人可以通过购物车一次性进行多种服务预约和支付。</w:t>
            </w:r>
          </w:p>
        </w:tc>
        <w:tc>
          <w:tcPr>
            <w:tcW w:w="541" w:type="dxa"/>
            <w:noWrap w:val="0"/>
            <w:vAlign w:val="top"/>
          </w:tcPr>
          <w:p>
            <w:pPr>
              <w:pStyle w:val="2"/>
              <w:rPr>
                <w:rFonts w:hint="eastAsia" w:ascii="仿宋" w:hAnsi="仿宋" w:eastAsia="仿宋" w:cs="宋体"/>
                <w:kern w:val="0"/>
                <w:szCs w:val="21"/>
                <w:lang w:val="en-US" w:eastAsia="zh-CN"/>
              </w:rPr>
            </w:pPr>
          </w:p>
        </w:tc>
        <w:tc>
          <w:tcPr>
            <w:tcW w:w="769" w:type="dxa"/>
            <w:noWrap w:val="0"/>
            <w:vAlign w:val="top"/>
          </w:tcPr>
          <w:p>
            <w:pPr>
              <w:pStyle w:val="2"/>
              <w:rPr>
                <w:rFonts w:hint="eastAsia" w:ascii="仿宋" w:hAnsi="仿宋" w:eastAsia="仿宋" w:cs="宋体"/>
                <w:kern w:val="0"/>
                <w:szCs w:val="21"/>
                <w:lang w:val="en-US" w:eastAsia="zh-CN"/>
              </w:rPr>
            </w:pPr>
          </w:p>
        </w:tc>
        <w:tc>
          <w:tcPr>
            <w:tcW w:w="426" w:type="dxa"/>
            <w:noWrap w:val="0"/>
            <w:vAlign w:val="top"/>
          </w:tcPr>
          <w:p>
            <w:pPr>
              <w:pStyle w:val="2"/>
              <w:rPr>
                <w:rFonts w:hint="eastAsia" w:ascii="仿宋" w:hAnsi="仿宋" w:eastAsia="仿宋" w:cs="宋体"/>
                <w:kern w:val="0"/>
                <w:szCs w:val="21"/>
                <w:lang w:val="en-US" w:eastAsia="zh-CN"/>
              </w:rPr>
            </w:pPr>
          </w:p>
        </w:tc>
        <w:tc>
          <w:tcPr>
            <w:tcW w:w="956" w:type="dxa"/>
            <w:noWrap w:val="0"/>
            <w:vAlign w:val="top"/>
          </w:tcPr>
          <w:p>
            <w:pPr>
              <w:pStyle w:val="2"/>
              <w:rPr>
                <w:rFonts w:hint="eastAsia" w:ascii="仿宋" w:hAnsi="仿宋" w:eastAsia="仿宋" w:cs="宋体"/>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rPr>
                <w:rFonts w:hint="eastAsia" w:ascii="仿宋" w:hAnsi="仿宋" w:eastAsia="仿宋"/>
                <w:lang w:val="en-US" w:eastAsia="zh-CN"/>
              </w:rPr>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在服务过程中，患者本人/患者代理人可以根据需要方便的进行服务、耗材等的追加购买和支付。可以展示耗材等商品，展示商品图片、商品价格、购买须知等内容。</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rPr>
                <w:rFonts w:hint="eastAsia" w:eastAsia="宋体"/>
                <w:lang w:val="en-US" w:eastAsia="zh-CN"/>
              </w:rPr>
            </w:pPr>
          </w:p>
        </w:tc>
        <w:tc>
          <w:tcPr>
            <w:tcW w:w="795" w:type="dxa"/>
            <w:vMerge w:val="continue"/>
            <w:noWrap w:val="0"/>
            <w:vAlign w:val="center"/>
          </w:tcPr>
          <w:p>
            <w:pPr>
              <w:pStyle w:val="3"/>
              <w:ind w:firstLine="0"/>
              <w:rPr>
                <w:rFonts w:hint="eastAsia" w:ascii="仿宋" w:hAnsi="仿宋" w:eastAsia="仿宋"/>
                <w:lang w:val="en-US" w:eastAsia="zh-CN"/>
              </w:rPr>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 xml:space="preserve"> 患者本人/患者代理人在选购服务项目时可以同时选购需要自主购买的耗材等。</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pPr>
          </w:p>
        </w:tc>
        <w:tc>
          <w:tcPr>
            <w:tcW w:w="795"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推荐人信息</w:t>
            </w: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如患者在院期间，护士指导其进行服务预约，患者可以通过推荐人手机号与相关护士进行关联，便于院内进行工作管理。</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rPr>
                <w:rFonts w:hint="eastAsia" w:eastAsia="宋体"/>
                <w:lang w:val="en-US" w:eastAsia="zh-CN"/>
              </w:rPr>
            </w:pPr>
          </w:p>
        </w:tc>
        <w:tc>
          <w:tcPr>
            <w:tcW w:w="795" w:type="dxa"/>
            <w:vMerge w:val="restart"/>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账户管理</w:t>
            </w: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患者本人/代理人需注册方可使用服务。</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rPr>
                <w:rFonts w:hint="eastAsia" w:ascii="仿宋" w:hAnsi="仿宋" w:eastAsia="仿宋"/>
                <w:lang w:val="en-US" w:eastAsia="zh-CN"/>
              </w:rPr>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患者本人/代理人需同意用户注册协议方可注册本应用。</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rPr>
                <w:rFonts w:hint="eastAsia" w:eastAsia="宋体"/>
                <w:lang w:val="en-US" w:eastAsia="zh-CN"/>
              </w:rPr>
            </w:pPr>
          </w:p>
        </w:tc>
        <w:tc>
          <w:tcPr>
            <w:tcW w:w="795" w:type="dxa"/>
            <w:vMerge w:val="continue"/>
            <w:noWrap w:val="0"/>
            <w:vAlign w:val="center"/>
          </w:tcPr>
          <w:p>
            <w:pPr>
              <w:pStyle w:val="3"/>
              <w:ind w:firstLine="0"/>
              <w:rPr>
                <w:rFonts w:hint="eastAsia" w:ascii="仿宋" w:hAnsi="仿宋" w:eastAsia="仿宋"/>
                <w:lang w:val="en-US" w:eastAsia="zh-CN"/>
              </w:rPr>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可以查看自己的账户信息，进行头像、密码等修改。</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846" w:type="dxa"/>
            <w:vMerge w:val="restart"/>
            <w:noWrap w:val="0"/>
            <w:vAlign w:val="center"/>
          </w:tcPr>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hint="default" w:ascii="仿宋" w:hAnsi="仿宋" w:eastAsia="仿宋" w:cs="宋体"/>
                <w:color w:val="000000"/>
                <w:kern w:val="0"/>
                <w:sz w:val="21"/>
                <w:szCs w:val="21"/>
                <w:lang w:val="en-US" w:eastAsia="zh-CN" w:bidi="ar"/>
              </w:rPr>
            </w:pPr>
            <w:r>
              <w:rPr>
                <w:rFonts w:ascii="仿宋" w:hAnsi="仿宋" w:eastAsia="仿宋" w:cs="仿宋"/>
                <w:color w:val="auto"/>
                <w:kern w:val="0"/>
                <w:sz w:val="24"/>
                <w:szCs w:val="20"/>
                <w:lang w:val="en-US" w:eastAsia="zh-CN" w:bidi="hi-IN"/>
              </w:rPr>
              <w:t>护士端</w:t>
            </w:r>
          </w:p>
        </w:tc>
        <w:tc>
          <w:tcPr>
            <w:tcW w:w="795" w:type="dxa"/>
            <w:vMerge w:val="restart"/>
            <w:noWrap w:val="0"/>
            <w:vAlign w:val="center"/>
          </w:tcPr>
          <w:p>
            <w:pPr>
              <w:pStyle w:val="3"/>
              <w:ind w:firstLine="0"/>
              <w:rPr>
                <w:rFonts w:hint="eastAsia" w:ascii="仿宋" w:hAnsi="仿宋" w:eastAsia="仿宋" w:cs="Times New Roman"/>
                <w:lang w:val="en-US" w:eastAsia="zh-Hans"/>
              </w:rPr>
            </w:pPr>
            <w:r>
              <w:rPr>
                <w:rFonts w:hint="eastAsia" w:ascii="仿宋" w:hAnsi="仿宋" w:eastAsia="仿宋" w:cs="Times New Roman"/>
                <w:lang w:val="en-US" w:eastAsia="zh-CN"/>
              </w:rPr>
              <w:t>护士注册及认证</w:t>
            </w:r>
          </w:p>
        </w:tc>
        <w:tc>
          <w:tcPr>
            <w:tcW w:w="4523" w:type="dxa"/>
            <w:noWrap w:val="0"/>
            <w:vAlign w:val="center"/>
          </w:tcPr>
          <w:p>
            <w:pPr>
              <w:pStyle w:val="3"/>
              <w:ind w:firstLine="0"/>
              <w:rPr>
                <w:rFonts w:hint="eastAsia" w:ascii="仿宋" w:hAnsi="仿宋" w:eastAsia="仿宋" w:cs="Times New Roman"/>
                <w:lang w:val="en-US" w:eastAsia="zh-CN"/>
              </w:rPr>
            </w:pPr>
            <w:r>
              <w:rPr>
                <w:rFonts w:hint="eastAsia" w:ascii="仿宋" w:hAnsi="仿宋" w:eastAsia="仿宋" w:cs="Times New Roman"/>
                <w:lang w:val="en-US" w:eastAsia="zh-CN"/>
              </w:rPr>
              <w:t>护士实名制注册及认证，实现人、脸、证三合一验证。</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846" w:type="dxa"/>
            <w:vMerge w:val="continue"/>
            <w:noWrap w:val="0"/>
            <w:vAlign w:val="center"/>
          </w:tcPr>
          <w:p>
            <w:pPr>
              <w:spacing w:line="320" w:lineRule="exact"/>
            </w:pPr>
          </w:p>
        </w:tc>
        <w:tc>
          <w:tcPr>
            <w:tcW w:w="795" w:type="dxa"/>
            <w:vMerge w:val="continue"/>
            <w:noWrap w:val="0"/>
            <w:vAlign w:val="center"/>
          </w:tcPr>
          <w:p>
            <w:pPr>
              <w:spacing w:line="320" w:lineRule="exact"/>
              <w:rPr>
                <w:rFonts w:hint="eastAsia" w:ascii="仿宋" w:hAnsi="仿宋" w:eastAsia="仿宋" w:cs="Times New Roman"/>
                <w:kern w:val="2"/>
                <w:sz w:val="21"/>
                <w:szCs w:val="24"/>
                <w:lang w:val="en-US" w:eastAsia="zh-CN" w:bidi="ar-SA"/>
              </w:rPr>
            </w:pPr>
          </w:p>
        </w:tc>
        <w:tc>
          <w:tcPr>
            <w:tcW w:w="4523" w:type="dxa"/>
            <w:noWrap w:val="0"/>
            <w:vAlign w:val="center"/>
          </w:tcPr>
          <w:p>
            <w:pPr>
              <w:spacing w:line="320" w:lineRule="exact"/>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护士资质认证，具备相应工作经验以及职称的护士方可上岗服务，支持护士资质的在线提报及审核。</w:t>
            </w:r>
          </w:p>
        </w:tc>
        <w:tc>
          <w:tcPr>
            <w:tcW w:w="541" w:type="dxa"/>
            <w:noWrap w:val="0"/>
            <w:vAlign w:val="top"/>
          </w:tcPr>
          <w:p>
            <w:pPr>
              <w:spacing w:line="320" w:lineRule="exact"/>
              <w:rPr>
                <w:rFonts w:hint="eastAsia"/>
                <w:lang w:val="en-US" w:eastAsia="zh-CN"/>
              </w:rPr>
            </w:pPr>
          </w:p>
        </w:tc>
        <w:tc>
          <w:tcPr>
            <w:tcW w:w="769" w:type="dxa"/>
            <w:noWrap w:val="0"/>
            <w:vAlign w:val="top"/>
          </w:tcPr>
          <w:p>
            <w:pPr>
              <w:spacing w:line="320" w:lineRule="exact"/>
              <w:rPr>
                <w:rFonts w:hint="eastAsia"/>
                <w:lang w:val="en-US" w:eastAsia="zh-CN"/>
              </w:rPr>
            </w:pPr>
          </w:p>
        </w:tc>
        <w:tc>
          <w:tcPr>
            <w:tcW w:w="426" w:type="dxa"/>
            <w:noWrap w:val="0"/>
            <w:vAlign w:val="top"/>
          </w:tcPr>
          <w:p>
            <w:pPr>
              <w:spacing w:line="320" w:lineRule="exact"/>
              <w:rPr>
                <w:rFonts w:hint="eastAsia"/>
                <w:lang w:val="en-US" w:eastAsia="zh-CN"/>
              </w:rPr>
            </w:pPr>
          </w:p>
        </w:tc>
        <w:tc>
          <w:tcPr>
            <w:tcW w:w="956" w:type="dxa"/>
            <w:noWrap w:val="0"/>
            <w:vAlign w:val="top"/>
          </w:tcPr>
          <w:p>
            <w:pPr>
              <w:spacing w:line="320" w:lineRule="exact"/>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846" w:type="dxa"/>
            <w:vMerge w:val="continue"/>
            <w:noWrap w:val="0"/>
            <w:vAlign w:val="center"/>
          </w:tcPr>
          <w:p>
            <w:pPr>
              <w:spacing w:line="320" w:lineRule="exact"/>
              <w:rPr>
                <w:rFonts w:hint="eastAsia"/>
                <w:lang w:val="en-US" w:eastAsia="zh-CN"/>
              </w:rPr>
            </w:pPr>
          </w:p>
        </w:tc>
        <w:tc>
          <w:tcPr>
            <w:tcW w:w="795" w:type="dxa"/>
            <w:vMerge w:val="continue"/>
            <w:noWrap w:val="0"/>
            <w:vAlign w:val="center"/>
          </w:tcPr>
          <w:p>
            <w:pPr>
              <w:spacing w:line="320" w:lineRule="exact"/>
              <w:rPr>
                <w:rFonts w:hint="eastAsia" w:ascii="仿宋" w:hAnsi="仿宋" w:eastAsia="仿宋" w:cs="Times New Roman"/>
                <w:kern w:val="2"/>
                <w:sz w:val="21"/>
                <w:szCs w:val="24"/>
                <w:lang w:val="en-US" w:eastAsia="zh-CN" w:bidi="ar-SA"/>
              </w:rPr>
            </w:pPr>
          </w:p>
        </w:tc>
        <w:tc>
          <w:tcPr>
            <w:tcW w:w="4523" w:type="dxa"/>
            <w:noWrap w:val="0"/>
            <w:vAlign w:val="center"/>
          </w:tcPr>
          <w:p>
            <w:pPr>
              <w:spacing w:line="320" w:lineRule="exact"/>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护士自我介绍及擅长项目及服务的选定。</w:t>
            </w:r>
          </w:p>
        </w:tc>
        <w:tc>
          <w:tcPr>
            <w:tcW w:w="541" w:type="dxa"/>
            <w:noWrap w:val="0"/>
            <w:vAlign w:val="top"/>
          </w:tcPr>
          <w:p>
            <w:pPr>
              <w:spacing w:line="320" w:lineRule="exact"/>
              <w:rPr>
                <w:rFonts w:hint="eastAsia"/>
                <w:lang w:val="en-US" w:eastAsia="zh-CN"/>
              </w:rPr>
            </w:pPr>
          </w:p>
        </w:tc>
        <w:tc>
          <w:tcPr>
            <w:tcW w:w="769" w:type="dxa"/>
            <w:noWrap w:val="0"/>
            <w:vAlign w:val="top"/>
          </w:tcPr>
          <w:p>
            <w:pPr>
              <w:spacing w:line="320" w:lineRule="exact"/>
              <w:rPr>
                <w:rFonts w:hint="eastAsia"/>
                <w:lang w:val="en-US" w:eastAsia="zh-CN"/>
              </w:rPr>
            </w:pPr>
          </w:p>
        </w:tc>
        <w:tc>
          <w:tcPr>
            <w:tcW w:w="426" w:type="dxa"/>
            <w:noWrap w:val="0"/>
            <w:vAlign w:val="top"/>
          </w:tcPr>
          <w:p>
            <w:pPr>
              <w:spacing w:line="320" w:lineRule="exact"/>
              <w:rPr>
                <w:rFonts w:hint="eastAsia"/>
                <w:lang w:val="en-US" w:eastAsia="zh-CN"/>
              </w:rPr>
            </w:pPr>
          </w:p>
        </w:tc>
        <w:tc>
          <w:tcPr>
            <w:tcW w:w="956" w:type="dxa"/>
            <w:noWrap w:val="0"/>
            <w:vAlign w:val="top"/>
          </w:tcPr>
          <w:p>
            <w:pPr>
              <w:spacing w:line="320" w:lineRule="exact"/>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846" w:type="dxa"/>
            <w:vMerge w:val="continue"/>
            <w:noWrap w:val="0"/>
            <w:vAlign w:val="center"/>
          </w:tcPr>
          <w:p>
            <w:pPr>
              <w:pStyle w:val="2"/>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接单及抢单</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对于指派给本人的订单，护士可以通过APP或小程序等方式进行在线接单。</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订单实时短信提醒。</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具备相同擅长项目及资质的护士可以多人同时在线抢单。</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可以查看已接订单及历史完成订单。</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订单执行</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接单护士查看患者信息及病情，进行服务评估，根据评估情况进行服务准备。</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接单护士查看患者电话进行沟通联络。</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服务过程中可以进行患者地址导航。</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可以和患者协商修改具体服务时间。</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接单护士通过APP或小程序进行服务订单的执行过程记录</w:t>
            </w:r>
            <w:r>
              <w:rPr>
                <w:rFonts w:hint="eastAsia" w:ascii="仿宋" w:hAnsi="仿宋" w:eastAsia="仿宋" w:cs="Times New Roman"/>
                <w:kern w:val="2"/>
                <w:sz w:val="21"/>
                <w:szCs w:val="24"/>
                <w:highlight w:val="none"/>
                <w:lang w:val="en-US" w:eastAsia="zh-CN" w:bidi="ar-SA"/>
              </w:rPr>
              <w:t>并可拍照上传相关图片</w:t>
            </w:r>
            <w:r>
              <w:rPr>
                <w:rFonts w:hint="eastAsia" w:ascii="仿宋" w:hAnsi="仿宋" w:eastAsia="仿宋" w:cs="Times New Roman"/>
                <w:kern w:val="2"/>
                <w:sz w:val="21"/>
                <w:szCs w:val="24"/>
                <w:lang w:val="en-US" w:eastAsia="zh-CN" w:bidi="ar-SA"/>
              </w:rPr>
              <w:t>，出发、到达、服务中、已完成、已评价等。</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安全措施</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护士服务过程中，可以通过GPS定位追踪实时回传护士位置等信息，方便管理人员监控服务状态，保障护士人身安全。（配备服务记录仪≥4）</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一键报警：护士遇到意外状况，可以一键报警；提供多种保险安全保障方案。</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服务评价</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服务完成的订单，护士可以对患者进行评价，支持快速评价及图文评价；建立黑名单制，提高安全辨识，提升安全保障。</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护士可以查看患者的评价。</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收入结算</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护士可以查看自己的收入情况。</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可以按时段、状态进行检索。</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上传报告</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对服务的检查检验项目可以进行检验报告的回传。</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账户管理</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可以查看自己的账户信息，进行头像、密码等修改。</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846" w:type="dxa"/>
            <w:vMerge w:val="restart"/>
            <w:noWrap w:val="0"/>
            <w:vAlign w:val="center"/>
          </w:tcPr>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运营管理端</w:t>
            </w: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全景地图监控服务护士状态</w:t>
            </w:r>
          </w:p>
        </w:tc>
        <w:tc>
          <w:tcPr>
            <w:tcW w:w="4523" w:type="dxa"/>
            <w:noWrap w:val="0"/>
            <w:vAlign w:val="center"/>
          </w:tcPr>
          <w:p>
            <w:pPr>
              <w:pStyle w:val="2"/>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医院管理部门可以通过地图查看在服务状态护士数量、护士位置等信息提升安全保障。</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可以查看当前服务任务的详细信息，包括患者地址、手机号码、服务名称、护士手机号、服务时间等。</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ascii="仿宋" w:hAnsi="仿宋" w:eastAsia="仿宋" w:cs="仿宋"/>
                <w:color w:val="auto"/>
                <w:kern w:val="0"/>
                <w:sz w:val="24"/>
                <w:szCs w:val="20"/>
                <w:lang w:val="en-US" w:eastAsia="zh-CN" w:bidi="hi-I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服务项目管理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服务项目类别定义。</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单个服务新项目信息维护及管理。项目包含服务标准名称、服务描述、服务须知、服务图片、服务价格、退款说明、操作流程等需要告知客户的信息。</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服务项目需要使用的耗材打包及展示，耗材包绑定服务项目。</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商品管理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商品项目类别定义。</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单个商品信息维护及管理。包含名称、价格、图片、退款说明、操作流程等需要告知客户的信息。</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知情同意书管理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支持自定义《知情同意书》。</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患者注册协议管理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支持自定义《患者注册协议》。</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人员管理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支持护士资质审核及状态管理。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订单管理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接收患者订单，并能查看订单信息、患者信息、患者病情信息。</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CellMar>
            <w:top w:w="0" w:type="dxa"/>
            <w:left w:w="108" w:type="dxa"/>
            <w:bottom w:w="0" w:type="dxa"/>
            <w:right w:w="108" w:type="dxa"/>
          </w:tblCellMar>
        </w:tblPrEx>
        <w:trPr>
          <w:trHeight w:val="15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对订单进行审核后进行派单。</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订单按照状态进行展示，方便查看各个状态的订单，便于进行管理。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对完成的订单进行随访、回访。</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服务配置</w:t>
            </w:r>
          </w:p>
        </w:tc>
        <w:tc>
          <w:tcPr>
            <w:tcW w:w="4523" w:type="dxa"/>
            <w:noWrap w:val="0"/>
            <w:vAlign w:val="center"/>
          </w:tcPr>
          <w:p>
            <w:pPr>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自主定义服务范围、时间、交通收费规则、退费规则。</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黑名单管理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对于部分违规患者进行黑名单管理，进入黑名单的患者不能继续下达订单。</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CellMar>
            <w:top w:w="0" w:type="dxa"/>
            <w:left w:w="108" w:type="dxa"/>
            <w:bottom w:w="0" w:type="dxa"/>
            <w:right w:w="108" w:type="dxa"/>
          </w:tblCellMar>
        </w:tblPrEx>
        <w:trPr>
          <w:trHeight w:val="46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支持集团医院、医共体模式</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针对集团医院、医共体模式进行支持，实现统一财务账户收款、统一人员认证审核等统一管理。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总医院可以对子医院进行订单管理、活动管理等等。</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绩效管理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不同的服务项目或服务内容，按照费用归属进行计费分类，例如耗材费用、检查检验费用进行科室归属。</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CellMar>
            <w:top w:w="0" w:type="dxa"/>
            <w:left w:w="108" w:type="dxa"/>
            <w:bottom w:w="0" w:type="dxa"/>
            <w:right w:w="108" w:type="dxa"/>
          </w:tblCellMar>
        </w:tblPrEx>
        <w:trPr>
          <w:trHeight w:val="30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按照绩效管理方案进行费用比例自定义配置和计算，例如医院收入和护士收入自定义配置和计算。</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财务及统计分析</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服务订单、商品订单按照流水、科室、状态等维度进行统计分析。</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对历史订单按照财务需求进行阶段性结算，支持自动结算或自定义结算时间。</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CellMar>
            <w:top w:w="0" w:type="dxa"/>
            <w:left w:w="108" w:type="dxa"/>
            <w:bottom w:w="0" w:type="dxa"/>
            <w:right w:w="108" w:type="dxa"/>
          </w:tblCellMar>
        </w:tblPrEx>
        <w:trPr>
          <w:trHeight w:val="309"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对历史订单的结算可以按照完整自然月结算或自定义时间段的结算。</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生成结算报表并可以导出。</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系统管理</w:t>
            </w:r>
          </w:p>
        </w:tc>
        <w:tc>
          <w:tcPr>
            <w:tcW w:w="4523" w:type="dxa"/>
            <w:noWrap w:val="0"/>
            <w:vAlign w:val="center"/>
          </w:tcPr>
          <w:p>
            <w:pPr>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支持创建、删除用户及用户角色和权限管理。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846" w:type="dxa"/>
            <w:vMerge w:val="restart"/>
            <w:noWrap w:val="0"/>
            <w:vAlign w:val="center"/>
          </w:tcPr>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其他要求</w:t>
            </w:r>
          </w:p>
        </w:tc>
        <w:tc>
          <w:tcPr>
            <w:tcW w:w="795" w:type="dxa"/>
            <w:noWrap w:val="0"/>
            <w:vAlign w:val="center"/>
          </w:tcPr>
          <w:p>
            <w:pPr>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运维服务</w:t>
            </w:r>
          </w:p>
        </w:tc>
        <w:tc>
          <w:tcPr>
            <w:tcW w:w="4523" w:type="dxa"/>
            <w:noWrap w:val="0"/>
            <w:vAlign w:val="center"/>
          </w:tcPr>
          <w:p>
            <w:pPr>
              <w:pStyle w:val="2"/>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提供7×24小时技术支持，响应时间1小时，现场服务要求在4小时内，软件维修完成在24小时内。（技术支持与售后服务，不额外收取费用）</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端口对接</w:t>
            </w:r>
          </w:p>
        </w:tc>
        <w:tc>
          <w:tcPr>
            <w:tcW w:w="452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实现与医院互联网医院平台对接，包括微信公众号、微信小程序等途径，现实现患者访问服务。</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5"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bidi="ar-SA"/>
              </w:rPr>
              <w:t>保险购买</w:t>
            </w:r>
          </w:p>
        </w:tc>
        <w:tc>
          <w:tcPr>
            <w:tcW w:w="4523" w:type="dxa"/>
            <w:noWrap w:val="0"/>
            <w:vAlign w:val="top"/>
          </w:tcPr>
          <w:p>
            <w:pPr>
              <w:pStyle w:val="2"/>
              <w:rPr>
                <w:rFonts w:hint="eastAsia"/>
                <w:lang w:val="en-US" w:eastAsia="zh-CN"/>
              </w:rPr>
            </w:pPr>
            <w:r>
              <w:rPr>
                <w:rFonts w:ascii="仿宋" w:hAnsi="仿宋" w:eastAsia="仿宋" w:cs="Times New Roman"/>
                <w:color w:val="auto"/>
                <w:kern w:val="2"/>
                <w:sz w:val="21"/>
                <w:szCs w:val="24"/>
                <w:lang w:val="en-US" w:eastAsia="zh-CN" w:bidi="ar-SA"/>
              </w:rPr>
              <w:t>提供的保险方案自上门</w:t>
            </w:r>
            <w:r>
              <w:rPr>
                <w:rFonts w:ascii="仿宋" w:hAnsi="仿宋" w:eastAsia="仿宋" w:cs="Times New Roman"/>
                <w:kern w:val="2"/>
                <w:sz w:val="21"/>
                <w:szCs w:val="24"/>
                <w:lang w:val="en-US" w:eastAsia="zh-CN" w:bidi="ar-SA"/>
              </w:rPr>
              <w:t>服务当天零时起，至咨询服务订单结束或上门服务当天二十四时，以先到者为准，保额不少于30万的护士、患者、医院三方“互联网+护理服务”保险，能够在护士</w:t>
            </w:r>
            <w:r>
              <w:rPr>
                <w:rFonts w:ascii="仿宋" w:hAnsi="仿宋" w:eastAsia="仿宋" w:cs="Times New Roman"/>
                <w:color w:val="auto"/>
                <w:kern w:val="2"/>
                <w:sz w:val="21"/>
                <w:szCs w:val="24"/>
                <w:lang w:val="en-US" w:eastAsia="zh-CN" w:bidi="ar-SA"/>
              </w:rPr>
              <w:t>出发时，生效保险单。如出现纠纷和投诉，软件公司协助医院与保险公司</w:t>
            </w:r>
            <w:r>
              <w:rPr>
                <w:rFonts w:ascii="仿宋" w:hAnsi="仿宋" w:eastAsia="仿宋" w:cs="Times New Roman"/>
                <w:kern w:val="2"/>
                <w:sz w:val="21"/>
                <w:szCs w:val="24"/>
                <w:lang w:val="en-US" w:eastAsia="zh-CN" w:bidi="ar-SA"/>
              </w:rPr>
              <w:t>和患者之间的协调处理。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bidi="ar-SA"/>
              </w:rPr>
              <w:t>软件框架</w:t>
            </w:r>
          </w:p>
        </w:tc>
        <w:tc>
          <w:tcPr>
            <w:tcW w:w="452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已有成熟、完善的系统框架，且在多家医院有良好运行经验。同时在前期框架搭过程中，可支持医院在现有基础上做运行流程、收费流程、耗材管理、服务项目、展现形式和具体内容等个性化定制。</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r>
              <w:rPr>
                <w:rFonts w:hint="eastAsia" w:ascii="仿宋" w:hAnsi="仿宋" w:eastAsia="仿宋" w:cs="Times New Roman"/>
                <w:kern w:val="2"/>
                <w:sz w:val="21"/>
                <w:szCs w:val="24"/>
                <w:lang w:bidi="ar-SA"/>
              </w:rPr>
              <w:t>信息安全</w:t>
            </w:r>
          </w:p>
        </w:tc>
        <w:tc>
          <w:tcPr>
            <w:tcW w:w="4523" w:type="dxa"/>
            <w:noWrap w:val="0"/>
            <w:vAlign w:val="center"/>
          </w:tcPr>
          <w:p>
            <w:pPr>
              <w:pStyle w:val="2"/>
              <w:rPr>
                <w:rFonts w:hint="default"/>
                <w:lang w:val="en-US"/>
              </w:rPr>
            </w:pPr>
            <w:r>
              <w:rPr>
                <w:rFonts w:ascii="仿宋" w:hAnsi="仿宋" w:eastAsia="仿宋" w:cs="Times New Roman"/>
                <w:kern w:val="2"/>
                <w:sz w:val="21"/>
                <w:szCs w:val="24"/>
                <w:lang w:val="en-US" w:eastAsia="zh-CN" w:bidi="ar-SA"/>
              </w:rPr>
              <w:t>系统具有完善的个人隐私和信息安全保护功能，符合国家信安全等级保护要求，软件入驻的云平台必须满足国家信息安全三级或以上等级保护评测，不得买卖和泄露患者个人信息。数据存储时间符合互联网医院相关要求，并可供院方调阅查询。</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ascii="宋体" w:hAnsi="宋体" w:eastAsia="宋体" w:cs="宋体"/>
                <w:b/>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p>
        </w:tc>
        <w:tc>
          <w:tcPr>
            <w:tcW w:w="79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运营服务</w:t>
            </w:r>
          </w:p>
        </w:tc>
        <w:tc>
          <w:tcPr>
            <w:tcW w:w="4523" w:type="dxa"/>
            <w:noWrap w:val="0"/>
            <w:vAlign w:val="center"/>
          </w:tcPr>
          <w:p>
            <w:pPr>
              <w:pStyle w:val="2"/>
              <w:rPr>
                <w:rFonts w:hint="eastAsia"/>
              </w:rPr>
            </w:pPr>
            <w:r>
              <w:rPr>
                <w:rFonts w:ascii="仿宋" w:hAnsi="仿宋" w:eastAsia="仿宋" w:cs="Times New Roman"/>
                <w:kern w:val="2"/>
                <w:sz w:val="21"/>
                <w:szCs w:val="24"/>
                <w:lang w:val="en-US" w:eastAsia="zh-CN" w:bidi="ar-SA"/>
              </w:rPr>
              <w:t>运营服务：有成熟的运营经验、完善的运营流程和服务体系，已合作医院有三家以上中医类医院。有专业团队帮助医院进行日常运营、宣传、回访流程等管理。协助医院进行前期互联网+护理服务框架搭建，并保证在签约后</w:t>
            </w:r>
            <w:r>
              <w:rPr>
                <w:rFonts w:hint="eastAsia" w:ascii="仿宋" w:hAnsi="仿宋" w:eastAsia="仿宋" w:cs="Times New Roman"/>
                <w:kern w:val="2"/>
                <w:sz w:val="21"/>
                <w:szCs w:val="24"/>
                <w:lang w:val="en-US" w:eastAsia="zh-CN" w:bidi="ar-SA"/>
              </w:rPr>
              <w:t>≤20</w:t>
            </w:r>
            <w:bookmarkStart w:id="0" w:name="_GoBack"/>
            <w:bookmarkEnd w:id="0"/>
            <w:r>
              <w:rPr>
                <w:rFonts w:ascii="仿宋" w:hAnsi="仿宋" w:eastAsia="仿宋" w:cs="Times New Roman"/>
                <w:kern w:val="2"/>
                <w:sz w:val="21"/>
                <w:szCs w:val="24"/>
                <w:lang w:val="en-US" w:eastAsia="zh-CN" w:bidi="ar-SA"/>
              </w:rPr>
              <w:t>个工作日内完成上线。</w:t>
            </w:r>
          </w:p>
        </w:tc>
        <w:tc>
          <w:tcPr>
            <w:tcW w:w="541"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769"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42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95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bCs/>
                <w:kern w:val="2"/>
                <w:sz w:val="21"/>
                <w:szCs w:val="21"/>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p>
        </w:tc>
        <w:tc>
          <w:tcPr>
            <w:tcW w:w="4523" w:type="dxa"/>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r>
              <w:rPr>
                <w:rFonts w:hint="eastAsia" w:ascii="仿宋" w:hAnsi="仿宋" w:eastAsia="仿宋" w:cs="Times New Roman"/>
                <w:kern w:val="2"/>
                <w:sz w:val="21"/>
                <w:szCs w:val="24"/>
                <w:lang w:val="en-US" w:eastAsia="zh-CN" w:bidi="ar-SA"/>
              </w:rPr>
              <w:t>护士培训：开展前对护士进行“互联网+护理服务”培训，包括上门基本流程和法律法规、沟通技巧等全方位培训。</w:t>
            </w:r>
          </w:p>
        </w:tc>
        <w:tc>
          <w:tcPr>
            <w:tcW w:w="541"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769"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42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95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bCs/>
                <w:kern w:val="2"/>
                <w:sz w:val="21"/>
                <w:szCs w:val="21"/>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3"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4523" w:type="dxa"/>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r>
              <w:rPr>
                <w:rFonts w:hint="eastAsia" w:ascii="仿宋" w:hAnsi="仿宋" w:eastAsia="仿宋" w:cs="Times New Roman"/>
                <w:kern w:val="2"/>
                <w:sz w:val="21"/>
                <w:szCs w:val="24"/>
                <w:lang w:val="en-US" w:eastAsia="zh-CN" w:bidi="ar-SA"/>
              </w:rPr>
              <w:t>相关制度：提供互联网+护理服务要求的护理管理制度、医疗质量安全管理制度、医疗风险防范制度、医学文书书写管理规定、个人隐私保护和信息安全管理制度、医疗废物处置流程、居家护理服务流程、纠纷投诉处理程序、不良事件防范和处置流程、风险防控预案，相关服务规范和技术指南等。</w:t>
            </w:r>
          </w:p>
        </w:tc>
        <w:tc>
          <w:tcPr>
            <w:tcW w:w="541"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769"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42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95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bCs/>
                <w:kern w:val="2"/>
                <w:sz w:val="21"/>
                <w:szCs w:val="21"/>
                <w:lang w:bidi="ar-SA"/>
              </w:rPr>
            </w:pPr>
          </w:p>
        </w:tc>
      </w:tr>
    </w:tbl>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7016F4"/>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autoRedefine/>
    <w:semiHidden/>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1136</Words>
  <Characters>1168</Characters>
  <Lines>6</Lines>
  <Paragraphs>1</Paragraphs>
  <TotalTime>1</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2024-05-16T00:41:44Z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