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hint="eastAsia" w:ascii="仿宋" w:hAnsi="仿宋" w:eastAsiaTheme="majorEastAsia"/>
          <w:sz w:val="32"/>
          <w:szCs w:val="32"/>
          <w:lang w:val="en-US" w:eastAsia="zh-CN"/>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西门子数字胃肠机维保服务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w:t>
      </w:r>
      <w:r>
        <w:rPr>
          <w:rFonts w:hint="eastAsia" w:ascii="仿宋" w:hAnsi="仿宋" w:eastAsia="仿宋"/>
          <w:szCs w:val="21"/>
          <w:u w:val="single"/>
          <w:lang w:val="en-US" w:eastAsia="zh-CN"/>
        </w:rPr>
        <w:t>laszyysbgcb@163.com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1年，保修范围不包含须定期更换零部件，须定期更换零部件报价清单如下...；二是将须定期更换零部件变为耗材，恶意降低货物价格，提高耗材价（或直接提高耗材报价）。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8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566"/>
        <w:gridCol w:w="3367"/>
        <w:gridCol w:w="1155"/>
        <w:gridCol w:w="750"/>
        <w:gridCol w:w="735"/>
        <w:gridCol w:w="1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24"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50" w:type="dxa"/>
            <w:vMerge w:val="restart"/>
          </w:tcPr>
          <w:p>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735"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12"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56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6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50" w:type="dxa"/>
            <w:vMerge w:val="continue"/>
            <w:vAlign w:val="top"/>
          </w:tcPr>
          <w:p>
            <w:pPr>
              <w:spacing w:line="320" w:lineRule="exact"/>
              <w:jc w:val="center"/>
              <w:rPr>
                <w:rFonts w:hint="eastAsia" w:ascii="仿宋" w:hAnsi="仿宋" w:eastAsia="宋体" w:cs="宋体"/>
                <w:b w:val="0"/>
                <w:bCs/>
                <w:kern w:val="2"/>
                <w:sz w:val="21"/>
                <w:szCs w:val="21"/>
                <w:lang w:val="en-US" w:eastAsia="zh-CN" w:bidi="ar-SA"/>
              </w:rPr>
            </w:pPr>
          </w:p>
        </w:tc>
        <w:tc>
          <w:tcPr>
            <w:tcW w:w="735"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c>
          <w:tcPr>
            <w:tcW w:w="1312"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566" w:type="dxa"/>
          </w:tcPr>
          <w:p>
            <w:pPr>
              <w:spacing w:line="320" w:lineRule="exact"/>
              <w:rPr>
                <w:rFonts w:ascii="仿宋" w:hAnsi="仿宋" w:eastAsia="仿宋"/>
                <w:b w:val="0"/>
                <w:bCs/>
                <w:szCs w:val="21"/>
              </w:rPr>
            </w:pPr>
          </w:p>
        </w:tc>
        <w:tc>
          <w:tcPr>
            <w:tcW w:w="3367" w:type="dxa"/>
            <w:vAlign w:val="top"/>
          </w:tcPr>
          <w:p>
            <w:pPr>
              <w:widowControl/>
              <w:spacing w:line="440" w:lineRule="exact"/>
              <w:jc w:val="left"/>
              <w:rPr>
                <w:rFonts w:hint="eastAsia" w:ascii="宋体" w:hAnsi="宋体" w:eastAsia="宋体" w:cs="宋体"/>
                <w:kern w:val="2"/>
                <w:sz w:val="28"/>
                <w:szCs w:val="28"/>
                <w:lang w:val="en-US" w:eastAsia="zh-CN" w:bidi="ar-SA"/>
              </w:rPr>
            </w:pPr>
            <w:r>
              <w:rPr>
                <w:rFonts w:hint="eastAsia" w:ascii="宋体" w:hAnsi="宋体" w:eastAsia="宋体" w:cs="宋体"/>
                <w:color w:val="000000" w:themeColor="text1"/>
                <w:sz w:val="28"/>
                <w:szCs w:val="28"/>
              </w:rPr>
              <w:t>设备品牌型号：</w:t>
            </w:r>
            <w:r>
              <w:rPr>
                <w:rFonts w:hint="eastAsia" w:ascii="宋体" w:hAnsi="宋体" w:eastAsia="宋体" w:cs="宋体"/>
                <w:color w:val="000000" w:themeColor="text1"/>
                <w:sz w:val="28"/>
                <w:szCs w:val="28"/>
                <w:lang w:val="en-US" w:eastAsia="zh-CN"/>
              </w:rPr>
              <w:t>AXIOM</w:t>
            </w:r>
            <w:r>
              <w:rPr>
                <w:rFonts w:hint="eastAsia" w:ascii="宋体" w:hAnsi="宋体" w:eastAsia="宋体" w:cs="宋体"/>
                <w:color w:val="000000" w:themeColor="text1"/>
                <w:kern w:val="0"/>
                <w:sz w:val="28"/>
                <w:szCs w:val="28"/>
              </w:rPr>
              <w:t>Luminos DRF</w:t>
            </w:r>
            <w:r>
              <w:rPr>
                <w:rFonts w:hint="eastAsia" w:ascii="宋体" w:hAnsi="宋体" w:eastAsia="宋体" w:cs="宋体"/>
                <w:color w:val="000000" w:themeColor="text1"/>
                <w:kern w:val="0"/>
                <w:sz w:val="28"/>
                <w:szCs w:val="28"/>
                <w:lang w:eastAsia="zh-CN"/>
              </w:rPr>
              <w:t>西门子数字胃肠机</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hint="eastAsia" w:ascii="仿宋" w:hAnsi="仿宋" w:eastAsia="仿宋"/>
                <w:b w:val="0"/>
                <w:bCs/>
                <w:szCs w:val="21"/>
                <w:lang w:eastAsia="zh-CN"/>
              </w:rPr>
            </w:pPr>
          </w:p>
        </w:tc>
        <w:tc>
          <w:tcPr>
            <w:tcW w:w="735" w:type="dxa"/>
          </w:tcPr>
          <w:p>
            <w:pPr>
              <w:spacing w:line="320" w:lineRule="exact"/>
              <w:rPr>
                <w:rFonts w:hint="eastAsia" w:ascii="仿宋" w:hAnsi="仿宋" w:eastAsia="仿宋"/>
                <w:b w:val="0"/>
                <w:bCs/>
                <w:szCs w:val="21"/>
                <w:lang w:eastAsia="zh-CN"/>
              </w:rPr>
            </w:pPr>
          </w:p>
        </w:tc>
        <w:tc>
          <w:tcPr>
            <w:tcW w:w="1312" w:type="dxa"/>
          </w:tcPr>
          <w:p>
            <w:pPr>
              <w:spacing w:line="320" w:lineRule="exact"/>
              <w:rPr>
                <w:rFonts w:hint="eastAsia" w:ascii="仿宋" w:hAnsi="仿宋" w:eastAsia="仿宋"/>
                <w:b w:val="0"/>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566" w:type="dxa"/>
          </w:tcPr>
          <w:p>
            <w:pPr>
              <w:spacing w:line="320" w:lineRule="exact"/>
              <w:rPr>
                <w:rFonts w:ascii="仿宋" w:hAnsi="仿宋" w:eastAsia="仿宋"/>
                <w:b w:val="0"/>
                <w:bCs/>
                <w:szCs w:val="21"/>
              </w:rPr>
            </w:pPr>
          </w:p>
        </w:tc>
        <w:tc>
          <w:tcPr>
            <w:tcW w:w="3367" w:type="dxa"/>
            <w:vAlign w:val="top"/>
          </w:tcPr>
          <w:p>
            <w:pPr>
              <w:spacing w:line="400" w:lineRule="exact"/>
              <w:jc w:val="left"/>
              <w:rPr>
                <w:rFonts w:hint="eastAsia" w:ascii="宋体" w:hAnsi="宋体" w:eastAsia="宋体" w:cs="宋体"/>
                <w:kern w:val="2"/>
                <w:sz w:val="28"/>
                <w:szCs w:val="28"/>
                <w:lang w:val="en-US" w:eastAsia="zh-CN" w:bidi="ar-SA"/>
              </w:rPr>
            </w:pPr>
            <w:r>
              <w:rPr>
                <w:rFonts w:hint="eastAsia" w:ascii="仿宋" w:hAnsi="仿宋" w:eastAsia="仿宋" w:cs="仿宋"/>
                <w:sz w:val="28"/>
                <w:szCs w:val="28"/>
              </w:rPr>
              <w:t>维保形式：全保，在保修服务期内免费提供所有保修所需配件及需不定期更换的耗品（非人为因素导致的故障，故意恶性损坏的除外）</w:t>
            </w:r>
            <w:r>
              <w:rPr>
                <w:rFonts w:hint="eastAsia" w:ascii="仿宋" w:hAnsi="仿宋" w:eastAsia="仿宋" w:cs="仿宋"/>
                <w:sz w:val="28"/>
                <w:szCs w:val="28"/>
                <w:lang w:eastAsia="zh-CN"/>
              </w:rPr>
              <w:t>。</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566" w:type="dxa"/>
          </w:tcPr>
          <w:p>
            <w:pPr>
              <w:spacing w:line="320" w:lineRule="exact"/>
              <w:rPr>
                <w:rFonts w:ascii="仿宋" w:hAnsi="仿宋" w:eastAsia="仿宋"/>
                <w:b w:val="0"/>
                <w:bCs/>
                <w:szCs w:val="21"/>
              </w:rPr>
            </w:pPr>
          </w:p>
        </w:tc>
        <w:tc>
          <w:tcPr>
            <w:tcW w:w="3367" w:type="dxa"/>
            <w:vAlign w:val="top"/>
          </w:tcPr>
          <w:p>
            <w:pPr>
              <w:spacing w:line="400" w:lineRule="exact"/>
              <w:jc w:val="left"/>
              <w:rPr>
                <w:rFonts w:hint="eastAsia" w:ascii="宋体" w:hAnsi="宋体" w:eastAsia="宋体" w:cs="宋体"/>
                <w:kern w:val="2"/>
                <w:sz w:val="28"/>
                <w:szCs w:val="28"/>
                <w:lang w:val="en-US" w:eastAsia="zh-CN" w:bidi="ar-SA"/>
              </w:rPr>
            </w:pPr>
            <w:r>
              <w:rPr>
                <w:rFonts w:hint="eastAsia" w:ascii="仿宋" w:hAnsi="仿宋" w:eastAsia="仿宋" w:cs="仿宋"/>
                <w:sz w:val="28"/>
                <w:szCs w:val="28"/>
              </w:rPr>
              <w:t>维保期限：本次谈判服务周期为期一年</w:t>
            </w:r>
            <w:r>
              <w:rPr>
                <w:rFonts w:hint="eastAsia" w:ascii="仿宋" w:hAnsi="仿宋" w:eastAsia="仿宋" w:cs="仿宋"/>
                <w:sz w:val="28"/>
                <w:szCs w:val="28"/>
                <w:lang w:val="en-US" w:eastAsia="zh-CN"/>
              </w:rPr>
              <w:t>,考核合格再续签下一年度合同，原则上续签不超过两年</w:t>
            </w:r>
            <w:r>
              <w:rPr>
                <w:rFonts w:hint="eastAsia" w:ascii="仿宋" w:hAnsi="仿宋" w:eastAsia="仿宋" w:cs="仿宋"/>
                <w:sz w:val="28"/>
                <w:szCs w:val="28"/>
              </w:rPr>
              <w:t>。</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4</w:t>
            </w:r>
          </w:p>
        </w:tc>
        <w:tc>
          <w:tcPr>
            <w:tcW w:w="566" w:type="dxa"/>
          </w:tcPr>
          <w:p>
            <w:pPr>
              <w:spacing w:line="320" w:lineRule="exact"/>
              <w:rPr>
                <w:rFonts w:ascii="仿宋" w:hAnsi="仿宋" w:eastAsia="仿宋"/>
                <w:b w:val="0"/>
                <w:bCs/>
                <w:szCs w:val="21"/>
              </w:rPr>
            </w:pPr>
          </w:p>
        </w:tc>
        <w:tc>
          <w:tcPr>
            <w:tcW w:w="3367" w:type="dxa"/>
            <w:vAlign w:val="top"/>
          </w:tcPr>
          <w:p>
            <w:pPr>
              <w:spacing w:line="400" w:lineRule="exact"/>
              <w:jc w:val="left"/>
              <w:rPr>
                <w:rFonts w:hint="eastAsia" w:ascii="宋体" w:hAnsi="宋体" w:eastAsia="宋体" w:cs="宋体"/>
                <w:kern w:val="2"/>
                <w:sz w:val="28"/>
                <w:szCs w:val="28"/>
                <w:lang w:val="en-US" w:eastAsia="zh-CN" w:bidi="ar-SA"/>
              </w:rPr>
            </w:pPr>
            <w:r>
              <w:rPr>
                <w:rFonts w:hint="eastAsia"/>
                <w:sz w:val="28"/>
                <w:szCs w:val="28"/>
              </w:rPr>
              <w:t>维保范围包含：</w:t>
            </w:r>
            <w:r>
              <w:rPr>
                <w:rFonts w:hint="eastAsia" w:ascii="仿宋" w:hAnsi="仿宋" w:eastAsia="仿宋" w:cs="仿宋"/>
                <w:sz w:val="28"/>
                <w:szCs w:val="28"/>
              </w:rPr>
              <w:t>提供</w:t>
            </w:r>
            <w:r>
              <w:rPr>
                <w:rFonts w:hint="eastAsia" w:ascii="仿宋" w:hAnsi="仿宋" w:eastAsia="仿宋" w:cs="仿宋"/>
                <w:spacing w:val="11"/>
                <w:sz w:val="28"/>
                <w:szCs w:val="28"/>
              </w:rPr>
              <w:t>西门子数字胃肠</w:t>
            </w:r>
            <w:r>
              <w:rPr>
                <w:rFonts w:hint="eastAsia" w:ascii="仿宋" w:hAnsi="仿宋" w:eastAsia="仿宋" w:cs="仿宋"/>
                <w:sz w:val="28"/>
                <w:szCs w:val="28"/>
              </w:rPr>
              <w:t>全保服务，全保范围包括但不限于球管、探测器、诊断床、主</w:t>
            </w:r>
            <w:r>
              <w:rPr>
                <w:rFonts w:hint="eastAsia" w:ascii="仿宋" w:hAnsi="仿宋" w:eastAsia="仿宋" w:cs="仿宋"/>
                <w:sz w:val="28"/>
                <w:szCs w:val="28"/>
                <w:lang w:eastAsia="zh-CN"/>
              </w:rPr>
              <w:t>台</w:t>
            </w:r>
            <w:r>
              <w:rPr>
                <w:rFonts w:hint="eastAsia" w:ascii="仿宋" w:hAnsi="仿宋" w:eastAsia="仿宋" w:cs="仿宋"/>
                <w:sz w:val="28"/>
                <w:szCs w:val="28"/>
              </w:rPr>
              <w:t>及副台、高压发生器、配电柜及网络等所有的维修配件、人工、税金等涉及到的所有费用，包含不限次数的现场检修，定期维护保养。</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5</w:t>
            </w:r>
          </w:p>
        </w:tc>
        <w:tc>
          <w:tcPr>
            <w:tcW w:w="566" w:type="dxa"/>
          </w:tcPr>
          <w:p>
            <w:pPr>
              <w:spacing w:line="320" w:lineRule="exact"/>
              <w:rPr>
                <w:rFonts w:ascii="仿宋" w:hAnsi="仿宋" w:eastAsia="仿宋"/>
                <w:b w:val="0"/>
                <w:bCs/>
                <w:szCs w:val="21"/>
              </w:rPr>
            </w:pPr>
          </w:p>
        </w:tc>
        <w:tc>
          <w:tcPr>
            <w:tcW w:w="3367" w:type="dxa"/>
            <w:vAlign w:val="top"/>
          </w:tcPr>
          <w:p>
            <w:pPr>
              <w:spacing w:line="400" w:lineRule="exact"/>
              <w:jc w:val="left"/>
              <w:rPr>
                <w:rFonts w:hint="eastAsia" w:ascii="宋体" w:hAnsi="宋体" w:eastAsia="宋体" w:cs="宋体"/>
                <w:kern w:val="2"/>
                <w:sz w:val="28"/>
                <w:szCs w:val="28"/>
                <w:lang w:val="en-US" w:eastAsia="zh-CN" w:bidi="ar-SA"/>
              </w:rPr>
            </w:pPr>
            <w:r>
              <w:rPr>
                <w:rFonts w:hint="eastAsia" w:ascii="仿宋" w:hAnsi="仿宋" w:eastAsia="仿宋" w:cs="仿宋"/>
                <w:sz w:val="28"/>
                <w:szCs w:val="28"/>
              </w:rPr>
              <w:t>人员资质：</w:t>
            </w:r>
            <w:r>
              <w:rPr>
                <w:rFonts w:hint="eastAsia" w:ascii="仿宋" w:hAnsi="仿宋" w:eastAsia="仿宋" w:cs="仿宋"/>
                <w:sz w:val="28"/>
                <w:szCs w:val="28"/>
                <w:lang w:val="zh-CN"/>
              </w:rPr>
              <w:t>供应商</w:t>
            </w:r>
            <w:r>
              <w:rPr>
                <w:rFonts w:hint="eastAsia" w:ascii="仿宋" w:hAnsi="仿宋" w:eastAsia="仿宋" w:cs="仿宋"/>
                <w:sz w:val="28"/>
                <w:szCs w:val="28"/>
              </w:rPr>
              <w:t>有不少于2位有资质的工程师（具有原厂培训考核合格的服务资质证，提供资质证书原件扫描件）</w:t>
            </w:r>
            <w:r>
              <w:rPr>
                <w:rFonts w:hint="eastAsia" w:ascii="仿宋" w:hAnsi="仿宋" w:eastAsia="仿宋" w:cs="仿宋"/>
                <w:sz w:val="28"/>
                <w:szCs w:val="28"/>
                <w:lang w:eastAsia="zh-CN"/>
              </w:rPr>
              <w:t>。</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6</w:t>
            </w:r>
          </w:p>
        </w:tc>
        <w:tc>
          <w:tcPr>
            <w:tcW w:w="566" w:type="dxa"/>
          </w:tcPr>
          <w:p>
            <w:pPr>
              <w:spacing w:line="320" w:lineRule="exact"/>
              <w:rPr>
                <w:rFonts w:ascii="仿宋" w:hAnsi="仿宋" w:eastAsia="仿宋"/>
                <w:b w:val="0"/>
                <w:bCs/>
                <w:szCs w:val="21"/>
              </w:rPr>
            </w:pPr>
          </w:p>
        </w:tc>
        <w:tc>
          <w:tcPr>
            <w:tcW w:w="3367" w:type="dxa"/>
            <w:vAlign w:val="top"/>
          </w:tcPr>
          <w:p>
            <w:pPr>
              <w:pStyle w:val="2"/>
              <w:ind w:left="0" w:leftChars="0" w:firstLine="0" w:firstLineChars="0"/>
              <w:rPr>
                <w:rFonts w:hint="eastAsia" w:ascii="宋体" w:hAnsi="宋体" w:eastAsia="宋体" w:cs="宋体"/>
                <w:sz w:val="28"/>
                <w:szCs w:val="28"/>
                <w:lang w:eastAsia="zh-CN"/>
              </w:rPr>
            </w:pPr>
            <w:r>
              <w:rPr>
                <w:rFonts w:hint="eastAsia"/>
                <w:sz w:val="28"/>
                <w:szCs w:val="28"/>
                <w:lang w:val="en-US" w:eastAsia="zh-CN"/>
              </w:rPr>
              <w:t>配件保障：供应商必须具备充足以及及时的备件供应能力。</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7</w:t>
            </w:r>
          </w:p>
        </w:tc>
        <w:tc>
          <w:tcPr>
            <w:tcW w:w="566" w:type="dxa"/>
          </w:tcPr>
          <w:p>
            <w:pPr>
              <w:spacing w:line="320" w:lineRule="exact"/>
              <w:rPr>
                <w:rFonts w:ascii="仿宋" w:hAnsi="仿宋" w:eastAsia="仿宋"/>
                <w:b w:val="0"/>
                <w:bCs/>
                <w:szCs w:val="21"/>
              </w:rPr>
            </w:pPr>
          </w:p>
        </w:tc>
        <w:tc>
          <w:tcPr>
            <w:tcW w:w="3367" w:type="dxa"/>
            <w:vAlign w:val="top"/>
          </w:tcPr>
          <w:p>
            <w:pPr>
              <w:spacing w:line="400" w:lineRule="exact"/>
              <w:jc w:val="left"/>
              <w:rPr>
                <w:rFonts w:hint="eastAsia" w:ascii="宋体" w:hAnsi="宋体" w:eastAsia="宋体" w:cs="宋体"/>
                <w:kern w:val="2"/>
                <w:sz w:val="28"/>
                <w:szCs w:val="28"/>
                <w:lang w:val="en-US" w:eastAsia="zh-CN" w:bidi="ar-SA"/>
              </w:rPr>
            </w:pPr>
            <w:r>
              <w:rPr>
                <w:rFonts w:hint="eastAsia" w:ascii="仿宋" w:hAnsi="仿宋" w:eastAsia="仿宋" w:cs="仿宋"/>
                <w:sz w:val="28"/>
                <w:szCs w:val="28"/>
              </w:rPr>
              <w:t>具有</w:t>
            </w:r>
            <w:r>
              <w:rPr>
                <w:rFonts w:hint="eastAsia" w:ascii="仿宋" w:hAnsi="仿宋" w:eastAsia="仿宋" w:cs="仿宋"/>
                <w:spacing w:val="11"/>
                <w:sz w:val="28"/>
                <w:szCs w:val="28"/>
              </w:rPr>
              <w:t>西门子数字胃肠</w:t>
            </w:r>
            <w:r>
              <w:rPr>
                <w:rFonts w:hint="eastAsia" w:ascii="仿宋" w:hAnsi="仿宋" w:eastAsia="仿宋" w:cs="仿宋"/>
                <w:sz w:val="28"/>
                <w:szCs w:val="28"/>
              </w:rPr>
              <w:t>系列设备维修及球管、探测器检测、校正相关工具和仪器。球管高压检测工具≥1套，提供X射线剂量监测，符合出厂标准。球管安装校验(焦点中心校正；自动曝光校正；X光剂量校正)需按原厂标准完成（提供证明材料）。</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8</w:t>
            </w:r>
          </w:p>
        </w:tc>
        <w:tc>
          <w:tcPr>
            <w:tcW w:w="566" w:type="dxa"/>
          </w:tcPr>
          <w:p>
            <w:pPr>
              <w:spacing w:line="320" w:lineRule="exact"/>
              <w:rPr>
                <w:rFonts w:ascii="仿宋" w:hAnsi="仿宋" w:eastAsia="仿宋"/>
                <w:b w:val="0"/>
                <w:bCs/>
                <w:szCs w:val="21"/>
              </w:rPr>
            </w:pPr>
          </w:p>
        </w:tc>
        <w:tc>
          <w:tcPr>
            <w:tcW w:w="3367" w:type="dxa"/>
            <w:vAlign w:val="top"/>
          </w:tcPr>
          <w:p>
            <w:pPr>
              <w:spacing w:line="400" w:lineRule="exact"/>
              <w:jc w:val="left"/>
              <w:rPr>
                <w:rFonts w:hint="eastAsia" w:ascii="宋体" w:hAnsi="宋体" w:eastAsia="宋体" w:cs="宋体"/>
                <w:kern w:val="2"/>
                <w:sz w:val="28"/>
                <w:szCs w:val="28"/>
                <w:lang w:val="en-US" w:eastAsia="zh-CN" w:bidi="ar-SA"/>
              </w:rPr>
            </w:pPr>
            <w:r>
              <w:rPr>
                <w:rFonts w:hint="eastAsia" w:ascii="仿宋" w:hAnsi="仿宋" w:eastAsia="仿宋" w:cs="仿宋"/>
                <w:sz w:val="28"/>
                <w:szCs w:val="28"/>
              </w:rPr>
              <w:t>质量保障：定期保养维护，成交供应商应至少每半年进行一次全面维护保养，应包括且不仅限于机器清洁除尘、性能测试及校准、必要的机械或电气的检查，使用指导，以及非紧急性质的补救维修，确保系统能按照制造商的产品规格运行维修，出具</w:t>
            </w:r>
            <w:r>
              <w:rPr>
                <w:rFonts w:hint="eastAsia" w:ascii="仿宋" w:hAnsi="仿宋" w:eastAsia="仿宋" w:cs="仿宋"/>
                <w:sz w:val="28"/>
                <w:szCs w:val="28"/>
                <w:lang w:eastAsia="zh-CN"/>
              </w:rPr>
              <w:t>原厂</w:t>
            </w:r>
            <w:r>
              <w:rPr>
                <w:rFonts w:hint="eastAsia" w:ascii="仿宋" w:hAnsi="仿宋" w:eastAsia="仿宋" w:cs="仿宋"/>
                <w:sz w:val="28"/>
                <w:szCs w:val="28"/>
              </w:rPr>
              <w:t>保养报告。</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9</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vAlign w:val="top"/>
          </w:tcPr>
          <w:p>
            <w:pPr>
              <w:spacing w:line="400" w:lineRule="exact"/>
              <w:jc w:val="left"/>
              <w:rPr>
                <w:rFonts w:hint="eastAsia" w:ascii="宋体" w:hAnsi="宋体" w:eastAsia="宋体" w:cs="宋体"/>
                <w:kern w:val="2"/>
                <w:sz w:val="28"/>
                <w:szCs w:val="28"/>
                <w:lang w:val="en-US" w:eastAsia="zh-CN" w:bidi="ar-SA"/>
              </w:rPr>
            </w:pPr>
            <w:r>
              <w:rPr>
                <w:rFonts w:hint="eastAsia" w:ascii="仿宋" w:hAnsi="仿宋" w:eastAsia="仿宋" w:cs="仿宋"/>
                <w:sz w:val="28"/>
                <w:szCs w:val="28"/>
              </w:rPr>
              <w:t>响应保障：及时响应，接到医院报修电话后工程师</w:t>
            </w:r>
            <w:r>
              <w:rPr>
                <w:rFonts w:hint="eastAsia" w:ascii="仿宋" w:hAnsi="仿宋" w:eastAsia="仿宋" w:cs="仿宋"/>
                <w:sz w:val="28"/>
                <w:szCs w:val="28"/>
                <w:lang w:val="en-US" w:eastAsia="zh-CN"/>
              </w:rPr>
              <w:t>1小时内</w:t>
            </w:r>
            <w:r>
              <w:rPr>
                <w:rFonts w:hint="eastAsia" w:ascii="仿宋" w:hAnsi="仿宋" w:eastAsia="仿宋" w:cs="仿宋"/>
                <w:sz w:val="28"/>
                <w:szCs w:val="28"/>
              </w:rPr>
              <w:t>电话</w:t>
            </w:r>
            <w:r>
              <w:rPr>
                <w:rFonts w:hint="eastAsia" w:ascii="仿宋" w:hAnsi="仿宋" w:eastAsia="仿宋" w:cs="仿宋"/>
                <w:sz w:val="28"/>
                <w:szCs w:val="28"/>
                <w:lang w:eastAsia="zh-CN"/>
              </w:rPr>
              <w:t>响应解决</w:t>
            </w:r>
            <w:r>
              <w:rPr>
                <w:rFonts w:hint="eastAsia" w:ascii="仿宋" w:hAnsi="仿宋" w:eastAsia="仿宋" w:cs="仿宋"/>
                <w:sz w:val="28"/>
                <w:szCs w:val="28"/>
              </w:rPr>
              <w:t>问题。电话支持不能解决甲方故障的情况下，乙方应派遣工程师赴现场维修相关设备，工程师应24小时内到达现场。</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spacing w:line="400" w:lineRule="exact"/>
              <w:jc w:val="left"/>
              <w:rPr>
                <w:rFonts w:hint="eastAsia" w:ascii="宋体" w:hAnsi="宋体" w:eastAsia="宋体" w:cs="宋体"/>
                <w:kern w:val="2"/>
                <w:sz w:val="28"/>
                <w:szCs w:val="28"/>
                <w:lang w:val="en-US" w:eastAsia="zh-CN" w:bidi="ar-SA"/>
              </w:rPr>
            </w:pPr>
            <w:r>
              <w:rPr>
                <w:rFonts w:hint="eastAsia" w:ascii="仿宋" w:hAnsi="仿宋" w:eastAsia="仿宋" w:cs="仿宋"/>
                <w:sz w:val="28"/>
                <w:szCs w:val="28"/>
              </w:rPr>
              <w:t>开机率</w:t>
            </w:r>
            <w:r>
              <w:rPr>
                <w:rFonts w:hint="eastAsia" w:ascii="仿宋" w:hAnsi="仿宋" w:eastAsia="仿宋" w:cs="仿宋"/>
                <w:sz w:val="28"/>
                <w:szCs w:val="28"/>
                <w:lang w:eastAsia="zh-CN"/>
              </w:rPr>
              <w:t>保障</w:t>
            </w:r>
            <w:r>
              <w:rPr>
                <w:rFonts w:hint="eastAsia" w:ascii="仿宋" w:hAnsi="仿宋" w:eastAsia="仿宋" w:cs="仿宋"/>
                <w:sz w:val="28"/>
                <w:szCs w:val="28"/>
              </w:rPr>
              <w:t>：</w:t>
            </w:r>
            <w:r>
              <w:rPr>
                <w:rFonts w:hint="eastAsia" w:ascii="仿宋" w:hAnsi="仿宋" w:eastAsia="仿宋" w:cs="仿宋"/>
                <w:sz w:val="28"/>
                <w:szCs w:val="28"/>
                <w:lang w:eastAsia="zh-CN"/>
              </w:rPr>
              <w:t>保证维保设备</w:t>
            </w:r>
            <w:r>
              <w:rPr>
                <w:rFonts w:hint="eastAsia" w:ascii="仿宋" w:hAnsi="仿宋" w:eastAsia="仿宋" w:cs="仿宋"/>
                <w:sz w:val="28"/>
                <w:szCs w:val="28"/>
              </w:rPr>
              <w:t>开机率</w:t>
            </w:r>
            <w:r>
              <w:rPr>
                <w:rFonts w:hint="eastAsia" w:ascii="仿宋" w:hAnsi="仿宋" w:eastAsia="仿宋" w:cs="仿宋"/>
                <w:sz w:val="28"/>
                <w:szCs w:val="28"/>
                <w:lang w:eastAsia="zh-CN"/>
              </w:rPr>
              <w:t>不低于</w:t>
            </w:r>
            <w:r>
              <w:rPr>
                <w:rFonts w:hint="eastAsia" w:ascii="仿宋" w:hAnsi="仿宋" w:eastAsia="仿宋" w:cs="仿宋"/>
                <w:sz w:val="28"/>
                <w:szCs w:val="28"/>
                <w:highlight w:val="none"/>
              </w:rPr>
              <w:t>9</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rPr>
              <w:t>（一年按照365天核定</w:t>
            </w:r>
            <w:r>
              <w:rPr>
                <w:rFonts w:hint="eastAsia" w:ascii="仿宋" w:hAnsi="仿宋" w:eastAsia="仿宋" w:cs="仿宋"/>
                <w:sz w:val="28"/>
                <w:szCs w:val="28"/>
                <w:lang w:eastAsia="zh-CN"/>
              </w:rPr>
              <w:t>，服务天数不少于</w:t>
            </w:r>
            <w:r>
              <w:rPr>
                <w:rFonts w:hint="eastAsia" w:ascii="仿宋" w:hAnsi="仿宋" w:eastAsia="仿宋" w:cs="仿宋"/>
                <w:sz w:val="28"/>
                <w:szCs w:val="28"/>
                <w:lang w:val="en-US" w:eastAsia="zh-CN"/>
              </w:rPr>
              <w:t>350天</w:t>
            </w:r>
            <w:r>
              <w:rPr>
                <w:rFonts w:hint="eastAsia" w:ascii="仿宋" w:hAnsi="仿宋" w:eastAsia="仿宋" w:cs="仿宋"/>
                <w:sz w:val="28"/>
                <w:szCs w:val="28"/>
              </w:rPr>
              <w:t>），</w:t>
            </w:r>
            <w:r>
              <w:rPr>
                <w:rFonts w:hint="eastAsia" w:ascii="仿宋" w:hAnsi="仿宋" w:eastAsia="仿宋" w:cs="仿宋"/>
                <w:sz w:val="28"/>
                <w:szCs w:val="28"/>
                <w:lang w:eastAsia="zh-CN"/>
              </w:rPr>
              <w:t>保修范围之外的部分出现问题所造成的设备停机，不计算在开机率内，如开机率无法达到</w:t>
            </w:r>
            <w:r>
              <w:rPr>
                <w:rFonts w:hint="eastAsia" w:ascii="仿宋" w:hAnsi="仿宋" w:eastAsia="仿宋" w:cs="仿宋"/>
                <w:sz w:val="28"/>
                <w:szCs w:val="28"/>
                <w:lang w:val="en-US" w:eastAsia="zh-CN"/>
              </w:rPr>
              <w:t>95%，未达到的天数，按三倍比例顺延保修期时间，</w:t>
            </w:r>
            <w:r>
              <w:rPr>
                <w:rFonts w:hint="eastAsia" w:ascii="仿宋" w:hAnsi="仿宋" w:eastAsia="仿宋" w:cs="仿宋"/>
                <w:sz w:val="28"/>
                <w:szCs w:val="28"/>
              </w:rPr>
              <w:t>延迟时间不满一天按一天计算</w:t>
            </w:r>
            <w:r>
              <w:rPr>
                <w:rFonts w:hint="eastAsia" w:ascii="仿宋" w:hAnsi="仿宋" w:eastAsia="仿宋" w:cs="仿宋"/>
                <w:sz w:val="28"/>
                <w:szCs w:val="28"/>
                <w:lang w:eastAsia="zh-CN"/>
              </w:rPr>
              <w:t>。</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spacing w:line="400" w:lineRule="exact"/>
              <w:jc w:val="left"/>
              <w:rPr>
                <w:rFonts w:hint="eastAsia" w:ascii="宋体" w:hAnsi="宋体" w:eastAsia="宋体" w:cs="宋体"/>
                <w:kern w:val="2"/>
                <w:sz w:val="28"/>
                <w:szCs w:val="28"/>
                <w:lang w:val="en-US" w:eastAsia="zh-CN" w:bidi="ar-SA"/>
              </w:rPr>
            </w:pPr>
            <w:r>
              <w:rPr>
                <w:rFonts w:hint="eastAsia" w:ascii="仿宋" w:hAnsi="仿宋" w:eastAsia="仿宋" w:cs="仿宋"/>
                <w:sz w:val="28"/>
                <w:szCs w:val="28"/>
              </w:rPr>
              <w:t>成交供应商在实施过程中必须建立健全的设备保养制度，提供维保工作记录，工单应一式叁份，采购人设备工程部和设备使用科室以及供应商各一份</w:t>
            </w:r>
            <w:r>
              <w:rPr>
                <w:rFonts w:hint="eastAsia" w:ascii="仿宋" w:hAnsi="仿宋" w:eastAsia="仿宋" w:cs="仿宋"/>
                <w:sz w:val="28"/>
                <w:szCs w:val="28"/>
                <w:lang w:eastAsia="zh-CN"/>
              </w:rPr>
              <w:t>。</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spacing w:line="400" w:lineRule="exact"/>
              <w:jc w:val="left"/>
              <w:rPr>
                <w:rFonts w:hint="eastAsia" w:ascii="宋体" w:hAnsi="宋体" w:eastAsia="宋体" w:cs="宋体"/>
                <w:kern w:val="2"/>
                <w:sz w:val="28"/>
                <w:szCs w:val="28"/>
                <w:lang w:val="en-US" w:eastAsia="zh-CN" w:bidi="ar-SA"/>
              </w:rPr>
            </w:pPr>
            <w:r>
              <w:rPr>
                <w:rFonts w:hint="eastAsia" w:ascii="仿宋" w:hAnsi="仿宋" w:eastAsia="仿宋" w:cs="仿宋"/>
                <w:sz w:val="28"/>
                <w:szCs w:val="28"/>
              </w:rPr>
              <w:t>供应商应提供完善的服务响应方案，其中：维保方案包含专项组织机构、现场管理制度、到场工程师标准作业程序、质量保障措施、维修维护计划及应急预案</w:t>
            </w:r>
            <w:r>
              <w:rPr>
                <w:rFonts w:hint="eastAsia" w:ascii="仿宋" w:hAnsi="仿宋" w:eastAsia="仿宋" w:cs="仿宋"/>
                <w:sz w:val="28"/>
                <w:szCs w:val="28"/>
                <w:lang w:eastAsia="zh-CN"/>
              </w:rPr>
              <w:t>。</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spacing w:line="400" w:lineRule="exact"/>
              <w:jc w:val="left"/>
              <w:rPr>
                <w:rFonts w:hint="eastAsia"/>
                <w:color w:val="000000" w:themeColor="text1"/>
                <w:sz w:val="28"/>
                <w:szCs w:val="28"/>
                <w:lang w:eastAsia="zh-CN"/>
              </w:rPr>
            </w:pPr>
            <w:r>
              <w:rPr>
                <w:rFonts w:hint="eastAsia"/>
                <w:color w:val="000000" w:themeColor="text1"/>
                <w:sz w:val="28"/>
                <w:szCs w:val="28"/>
              </w:rPr>
              <w:t>在合同有效期内报废本合同所含设备，甲方在此设备报废前提前六个月以书面的形式告知 乙方，可以提前终止本合同</w:t>
            </w:r>
            <w:r>
              <w:rPr>
                <w:rFonts w:hint="eastAsia"/>
                <w:color w:val="000000" w:themeColor="text1"/>
                <w:sz w:val="28"/>
                <w:szCs w:val="28"/>
                <w:lang w:eastAsia="zh-CN"/>
              </w:rPr>
              <w:t>，合同解除或终止时未结算维保费按月结算（每月维保费</w:t>
            </w:r>
            <w:r>
              <w:rPr>
                <w:rFonts w:hint="eastAsia"/>
                <w:color w:val="000000" w:themeColor="text1"/>
                <w:sz w:val="28"/>
                <w:szCs w:val="28"/>
                <w:lang w:val="en-US" w:eastAsia="zh-CN"/>
              </w:rPr>
              <w:t>=年维保费总额/12个月</w:t>
            </w:r>
            <w:r>
              <w:rPr>
                <w:rFonts w:hint="eastAsia"/>
                <w:color w:val="000000" w:themeColor="text1"/>
                <w:sz w:val="28"/>
                <w:szCs w:val="28"/>
                <w:lang w:eastAsia="zh-CN"/>
              </w:rPr>
              <w:t>）</w:t>
            </w:r>
          </w:p>
          <w:p>
            <w:pPr>
              <w:spacing w:line="400" w:lineRule="exact"/>
              <w:jc w:val="left"/>
              <w:rPr>
                <w:rFonts w:hint="eastAsia" w:ascii="宋体" w:hAnsi="宋体" w:eastAsia="宋体" w:cs="宋体"/>
                <w:kern w:val="2"/>
                <w:sz w:val="28"/>
                <w:szCs w:val="28"/>
                <w:lang w:val="en-US" w:eastAsia="zh-CN" w:bidi="ar-SA"/>
              </w:rPr>
            </w:pP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spacing w:line="400" w:lineRule="exact"/>
              <w:jc w:val="left"/>
              <w:rPr>
                <w:rFonts w:hint="eastAsia" w:ascii="宋体" w:hAnsi="宋体" w:eastAsia="宋体" w:cs="宋体"/>
                <w:kern w:val="2"/>
                <w:sz w:val="28"/>
                <w:szCs w:val="28"/>
                <w:lang w:val="en-US" w:eastAsia="zh-CN" w:bidi="ar-SA"/>
              </w:rPr>
            </w:pPr>
            <w:r>
              <w:rPr>
                <w:rFonts w:hint="eastAsia" w:ascii="仿宋" w:hAnsi="仿宋" w:eastAsia="仿宋" w:cs="仿宋"/>
                <w:sz w:val="28"/>
                <w:szCs w:val="28"/>
              </w:rPr>
              <w:t>协助医院设备工程部按国家主管部门要求对所维保设备进行每年度 1 次的质控检测评估，并出具评估报告</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spacing w:line="400" w:lineRule="exact"/>
              <w:jc w:val="left"/>
              <w:rPr>
                <w:rFonts w:hint="eastAsia" w:ascii="宋体" w:hAnsi="宋体" w:eastAsia="宋体" w:cs="宋体"/>
                <w:sz w:val="28"/>
                <w:szCs w:val="28"/>
              </w:rPr>
            </w:pPr>
            <w:r>
              <w:rPr>
                <w:rFonts w:hint="eastAsia" w:ascii="仿宋" w:hAnsi="仿宋" w:eastAsia="仿宋" w:cs="仿宋"/>
                <w:sz w:val="28"/>
                <w:szCs w:val="28"/>
              </w:rPr>
              <w:t>经第三方鉴定机构鉴定后，</w:t>
            </w:r>
            <w:r>
              <w:rPr>
                <w:rFonts w:hint="eastAsia" w:ascii="仿宋" w:hAnsi="仿宋" w:eastAsia="仿宋" w:cs="仿宋"/>
                <w:sz w:val="28"/>
                <w:szCs w:val="28"/>
                <w:lang w:val="zh-CN"/>
              </w:rPr>
              <w:t>成交供应商</w:t>
            </w:r>
            <w:r>
              <w:rPr>
                <w:rFonts w:hint="eastAsia" w:ascii="仿宋" w:hAnsi="仿宋" w:eastAsia="仿宋" w:cs="仿宋"/>
                <w:sz w:val="28"/>
                <w:szCs w:val="28"/>
              </w:rPr>
              <w:t>在维修过程中，造成医院设备设施损坏、医疗责任事故等，由</w:t>
            </w:r>
            <w:r>
              <w:rPr>
                <w:rFonts w:hint="eastAsia" w:ascii="仿宋" w:hAnsi="仿宋" w:eastAsia="仿宋" w:cs="仿宋"/>
                <w:sz w:val="28"/>
                <w:szCs w:val="28"/>
                <w:lang w:val="zh-CN"/>
              </w:rPr>
              <w:t>成交供应商</w:t>
            </w:r>
            <w:r>
              <w:rPr>
                <w:rFonts w:hint="eastAsia" w:ascii="仿宋" w:hAnsi="仿宋" w:eastAsia="仿宋" w:cs="仿宋"/>
                <w:sz w:val="28"/>
                <w:szCs w:val="28"/>
              </w:rPr>
              <w:t>承担损失及赔偿</w:t>
            </w:r>
            <w:r>
              <w:rPr>
                <w:rFonts w:hint="eastAsia" w:ascii="仿宋" w:hAnsi="仿宋" w:eastAsia="仿宋" w:cs="仿宋"/>
                <w:sz w:val="28"/>
                <w:szCs w:val="28"/>
                <w:lang w:eastAsia="zh-CN"/>
              </w:rPr>
              <w:t>。</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16</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spacing w:line="400" w:lineRule="exact"/>
              <w:jc w:val="left"/>
              <w:rPr>
                <w:rFonts w:hint="eastAsia" w:ascii="宋体" w:hAnsi="宋体" w:eastAsia="宋体" w:cs="宋体"/>
                <w:sz w:val="28"/>
                <w:szCs w:val="28"/>
              </w:rPr>
            </w:pPr>
            <w:r>
              <w:rPr>
                <w:rFonts w:hint="eastAsia" w:ascii="仿宋" w:hAnsi="仿宋" w:eastAsia="仿宋" w:cs="仿宋"/>
                <w:sz w:val="28"/>
                <w:szCs w:val="28"/>
                <w:lang w:val="zh-CN"/>
              </w:rPr>
              <w:t>成交供应商</w:t>
            </w:r>
            <w:r>
              <w:rPr>
                <w:rFonts w:hint="eastAsia" w:ascii="仿宋" w:hAnsi="仿宋" w:eastAsia="仿宋" w:cs="仿宋"/>
                <w:sz w:val="28"/>
                <w:szCs w:val="28"/>
              </w:rPr>
              <w:t>须提交一份合同期内的同品牌数字胃肠设备维保服务的业绩合同原件扫描件（遮盖或不清晰或不全面按无效业绩）</w:t>
            </w:r>
            <w:r>
              <w:rPr>
                <w:rFonts w:hint="eastAsia" w:ascii="仿宋" w:hAnsi="仿宋" w:eastAsia="仿宋" w:cs="仿宋"/>
                <w:sz w:val="28"/>
                <w:szCs w:val="28"/>
                <w:lang w:eastAsia="zh-CN"/>
              </w:rPr>
              <w:t>。</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17</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spacing w:line="400" w:lineRule="exact"/>
              <w:jc w:val="left"/>
              <w:rPr>
                <w:rFonts w:hint="eastAsia" w:ascii="宋体" w:hAnsi="宋体" w:eastAsia="宋体" w:cs="宋体"/>
                <w:sz w:val="28"/>
                <w:szCs w:val="28"/>
              </w:rPr>
            </w:pPr>
            <w:r>
              <w:rPr>
                <w:rFonts w:hint="eastAsia" w:ascii="仿宋" w:hAnsi="仿宋" w:eastAsia="仿宋" w:cs="仿宋"/>
                <w:sz w:val="28"/>
                <w:szCs w:val="28"/>
                <w:lang w:val="zh-CN"/>
              </w:rPr>
              <w:t>成交供应商在维保期间须提供设备的安全性软件免费升级和培训服务，培训效果须满足临床需求，</w:t>
            </w:r>
            <w:r>
              <w:rPr>
                <w:rFonts w:hint="eastAsia" w:ascii="仿宋" w:hAnsi="仿宋" w:eastAsia="仿宋" w:cs="仿宋"/>
                <w:sz w:val="28"/>
                <w:szCs w:val="28"/>
              </w:rPr>
              <w:t>由此造成与软件免费升级和培训服务有关的所有费用由</w:t>
            </w:r>
            <w:r>
              <w:rPr>
                <w:rFonts w:hint="eastAsia" w:ascii="仿宋" w:hAnsi="仿宋" w:eastAsia="仿宋" w:cs="仿宋"/>
                <w:sz w:val="28"/>
                <w:szCs w:val="28"/>
                <w:lang w:val="zh-CN"/>
              </w:rPr>
              <w:t>成交供应商</w:t>
            </w:r>
            <w:r>
              <w:rPr>
                <w:rFonts w:hint="eastAsia" w:ascii="仿宋" w:hAnsi="仿宋" w:eastAsia="仿宋" w:cs="仿宋"/>
                <w:sz w:val="28"/>
                <w:szCs w:val="28"/>
              </w:rPr>
              <w:t>承担，此损失自动在</w:t>
            </w:r>
            <w:r>
              <w:rPr>
                <w:rFonts w:hint="eastAsia" w:ascii="仿宋" w:hAnsi="仿宋" w:eastAsia="仿宋" w:cs="仿宋"/>
                <w:sz w:val="28"/>
                <w:szCs w:val="28"/>
                <w:lang w:val="zh-CN"/>
              </w:rPr>
              <w:t>成交供应商</w:t>
            </w:r>
            <w:r>
              <w:rPr>
                <w:rFonts w:hint="eastAsia" w:ascii="仿宋" w:hAnsi="仿宋" w:eastAsia="仿宋" w:cs="仿宋"/>
                <w:sz w:val="28"/>
                <w:szCs w:val="28"/>
              </w:rPr>
              <w:t>履约保证金中扣除</w:t>
            </w:r>
            <w:r>
              <w:rPr>
                <w:rFonts w:hint="eastAsia" w:ascii="仿宋" w:hAnsi="仿宋" w:eastAsia="仿宋" w:cs="仿宋"/>
                <w:sz w:val="28"/>
                <w:szCs w:val="28"/>
                <w:lang w:eastAsia="zh-CN"/>
              </w:rPr>
              <w:t>。</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r>
              <w:rPr>
                <w:rFonts w:hint="eastAsia" w:ascii="仿宋" w:hAnsi="仿宋" w:eastAsia="仿宋"/>
                <w:b w:val="0"/>
                <w:bCs/>
                <w:szCs w:val="21"/>
                <w:lang w:val="en-US" w:eastAsia="zh-CN"/>
              </w:rPr>
              <w:t>18</w:t>
            </w: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spacing w:line="400" w:lineRule="exact"/>
              <w:jc w:val="left"/>
              <w:rPr>
                <w:rFonts w:hint="eastAsia" w:ascii="宋体" w:hAnsi="宋体" w:eastAsia="宋体" w:cs="宋体"/>
                <w:sz w:val="28"/>
                <w:szCs w:val="28"/>
              </w:rPr>
            </w:pPr>
            <w:r>
              <w:rPr>
                <w:rFonts w:hint="eastAsia" w:ascii="仿宋" w:hAnsi="仿宋" w:eastAsia="仿宋" w:cs="仿宋"/>
                <w:sz w:val="28"/>
                <w:szCs w:val="28"/>
              </w:rPr>
              <w:t>谈判报价含所有费用（即在采购期限【</w:t>
            </w:r>
            <w:r>
              <w:rPr>
                <w:rFonts w:hint="eastAsia" w:ascii="仿宋" w:hAnsi="仿宋" w:eastAsia="仿宋" w:cs="仿宋"/>
                <w:sz w:val="28"/>
                <w:szCs w:val="28"/>
                <w:lang w:eastAsia="zh-CN"/>
              </w:rPr>
              <w:t>一</w:t>
            </w:r>
            <w:r>
              <w:rPr>
                <w:rFonts w:hint="eastAsia" w:ascii="仿宋" w:hAnsi="仿宋" w:eastAsia="仿宋" w:cs="仿宋"/>
                <w:sz w:val="28"/>
                <w:szCs w:val="28"/>
              </w:rPr>
              <w:t>年】，</w:t>
            </w:r>
            <w:r>
              <w:rPr>
                <w:rFonts w:hint="eastAsia" w:ascii="仿宋" w:hAnsi="仿宋" w:eastAsia="仿宋" w:cs="仿宋"/>
                <w:color w:val="auto"/>
                <w:sz w:val="28"/>
                <w:szCs w:val="28"/>
              </w:rPr>
              <w:t>报价须包含设备</w:t>
            </w:r>
            <w:r>
              <w:rPr>
                <w:rFonts w:hint="eastAsia" w:ascii="仿宋" w:hAnsi="仿宋" w:eastAsia="仿宋" w:cs="仿宋"/>
                <w:color w:val="auto"/>
                <w:sz w:val="28"/>
                <w:szCs w:val="28"/>
                <w:lang w:eastAsia="zh-CN"/>
              </w:rPr>
              <w:t>正常运转</w:t>
            </w:r>
            <w:bookmarkStart w:id="0" w:name="_GoBack"/>
            <w:bookmarkEnd w:id="0"/>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一切费用</w:t>
            </w:r>
            <w:r>
              <w:rPr>
                <w:rFonts w:hint="eastAsia" w:ascii="仿宋" w:hAnsi="仿宋" w:eastAsia="仿宋" w:cs="仿宋"/>
                <w:sz w:val="28"/>
                <w:szCs w:val="28"/>
              </w:rPr>
              <w:t>，采购人不支付</w:t>
            </w:r>
            <w:r>
              <w:rPr>
                <w:rFonts w:hint="eastAsia" w:ascii="仿宋" w:hAnsi="仿宋" w:eastAsia="仿宋" w:cs="仿宋"/>
                <w:sz w:val="28"/>
                <w:szCs w:val="28"/>
                <w:lang w:eastAsia="zh-CN"/>
              </w:rPr>
              <w:t>其它</w:t>
            </w:r>
            <w:r>
              <w:rPr>
                <w:rFonts w:hint="eastAsia" w:ascii="仿宋" w:hAnsi="仿宋" w:eastAsia="仿宋" w:cs="仿宋"/>
                <w:sz w:val="28"/>
                <w:szCs w:val="28"/>
              </w:rPr>
              <w:t>任何费用。</w:t>
            </w:r>
            <w:r>
              <w:rPr>
                <w:rFonts w:hint="eastAsia" w:ascii="仿宋" w:hAnsi="仿宋" w:eastAsia="仿宋" w:cs="仿宋"/>
                <w:sz w:val="28"/>
                <w:szCs w:val="28"/>
              </w:rPr>
              <w:tab/>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pPr>
        <w:pStyle w:val="2"/>
        <w:jc w:val="both"/>
        <w:rPr>
          <w:rFonts w:hint="eastAsia" w:asciiTheme="majorEastAsia" w:hAnsiTheme="majorEastAsia" w:eastAsiaTheme="majorEastAsia"/>
          <w:b/>
          <w:sz w:val="32"/>
          <w:szCs w:val="32"/>
          <w:lang w:eastAsia="zh-CN"/>
        </w:rPr>
      </w:pPr>
    </w:p>
    <w:sectPr>
      <w:footerReference r:id="rId3" w:type="default"/>
      <w:pgSz w:w="11906" w:h="16838"/>
      <w:pgMar w:top="1134" w:right="1112"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CB54385"/>
    <w:multiLevelType w:val="singleLevel"/>
    <w:tmpl w:val="7CB543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FjZTRmNTFkY2E2ZGZlNjQ3MmNlYjFjNzUxMzUzYWE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0B405F"/>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9325A"/>
    <w:rsid w:val="056B1321"/>
    <w:rsid w:val="058F7ED5"/>
    <w:rsid w:val="05A625A8"/>
    <w:rsid w:val="05B61689"/>
    <w:rsid w:val="064A2CE4"/>
    <w:rsid w:val="06A72333"/>
    <w:rsid w:val="06F66A9B"/>
    <w:rsid w:val="079C369B"/>
    <w:rsid w:val="07AF1FB4"/>
    <w:rsid w:val="07D72EEC"/>
    <w:rsid w:val="080C3738"/>
    <w:rsid w:val="081F2DB2"/>
    <w:rsid w:val="086253B7"/>
    <w:rsid w:val="086504F8"/>
    <w:rsid w:val="08995B4A"/>
    <w:rsid w:val="091329AD"/>
    <w:rsid w:val="09135C29"/>
    <w:rsid w:val="09C33728"/>
    <w:rsid w:val="0A1730E8"/>
    <w:rsid w:val="0A203C23"/>
    <w:rsid w:val="0AB32F3C"/>
    <w:rsid w:val="0AC56166"/>
    <w:rsid w:val="0AFC6D92"/>
    <w:rsid w:val="0B1F4CC9"/>
    <w:rsid w:val="0B4418D4"/>
    <w:rsid w:val="0BBB58C2"/>
    <w:rsid w:val="0C0F5353"/>
    <w:rsid w:val="0C32096A"/>
    <w:rsid w:val="0C476F17"/>
    <w:rsid w:val="0C7E360B"/>
    <w:rsid w:val="0C820673"/>
    <w:rsid w:val="0C9B1482"/>
    <w:rsid w:val="0CF602B9"/>
    <w:rsid w:val="0D2552E4"/>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846F49"/>
    <w:rsid w:val="10B05A5F"/>
    <w:rsid w:val="10E81C39"/>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081C5B"/>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8D3B96"/>
    <w:rsid w:val="1B9F31F9"/>
    <w:rsid w:val="1BC6399B"/>
    <w:rsid w:val="1BD75F88"/>
    <w:rsid w:val="1BD91B12"/>
    <w:rsid w:val="1BEF2AA3"/>
    <w:rsid w:val="1C9571A6"/>
    <w:rsid w:val="1CAC629E"/>
    <w:rsid w:val="1D2B387D"/>
    <w:rsid w:val="1D3A482F"/>
    <w:rsid w:val="1D5D0BCD"/>
    <w:rsid w:val="1DA42EB1"/>
    <w:rsid w:val="1DE06805"/>
    <w:rsid w:val="1DF36129"/>
    <w:rsid w:val="1DF93C7B"/>
    <w:rsid w:val="1E41352B"/>
    <w:rsid w:val="1E4A19D1"/>
    <w:rsid w:val="1EA53CFF"/>
    <w:rsid w:val="1EBB0A1A"/>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284373"/>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5A5092"/>
    <w:rsid w:val="356C1CB1"/>
    <w:rsid w:val="357E5017"/>
    <w:rsid w:val="358D3127"/>
    <w:rsid w:val="35A119F9"/>
    <w:rsid w:val="35E52E60"/>
    <w:rsid w:val="35F25212"/>
    <w:rsid w:val="362339C7"/>
    <w:rsid w:val="363B2715"/>
    <w:rsid w:val="367F3DA1"/>
    <w:rsid w:val="369427A9"/>
    <w:rsid w:val="36AC7731"/>
    <w:rsid w:val="36F1454D"/>
    <w:rsid w:val="37712166"/>
    <w:rsid w:val="37CF3484"/>
    <w:rsid w:val="37D710BC"/>
    <w:rsid w:val="37E17463"/>
    <w:rsid w:val="38044D88"/>
    <w:rsid w:val="384637F8"/>
    <w:rsid w:val="38DC31DA"/>
    <w:rsid w:val="39BE635F"/>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C92B3F"/>
    <w:rsid w:val="3FDE6FD5"/>
    <w:rsid w:val="4015650F"/>
    <w:rsid w:val="40381A73"/>
    <w:rsid w:val="40676830"/>
    <w:rsid w:val="40F06215"/>
    <w:rsid w:val="411101D9"/>
    <w:rsid w:val="41120516"/>
    <w:rsid w:val="41391759"/>
    <w:rsid w:val="415E262D"/>
    <w:rsid w:val="41910EE4"/>
    <w:rsid w:val="41B80523"/>
    <w:rsid w:val="41BC551E"/>
    <w:rsid w:val="41C81380"/>
    <w:rsid w:val="421279E6"/>
    <w:rsid w:val="423F3439"/>
    <w:rsid w:val="42611F54"/>
    <w:rsid w:val="427E62A6"/>
    <w:rsid w:val="42985C27"/>
    <w:rsid w:val="42C1143C"/>
    <w:rsid w:val="42D57D44"/>
    <w:rsid w:val="434D63C0"/>
    <w:rsid w:val="434D745C"/>
    <w:rsid w:val="43884ABF"/>
    <w:rsid w:val="43E95815"/>
    <w:rsid w:val="43F30ABF"/>
    <w:rsid w:val="44364CD0"/>
    <w:rsid w:val="44472C6C"/>
    <w:rsid w:val="448E1FA2"/>
    <w:rsid w:val="44E70410"/>
    <w:rsid w:val="452B2802"/>
    <w:rsid w:val="454964D0"/>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2D44005"/>
    <w:rsid w:val="53054F9F"/>
    <w:rsid w:val="53351597"/>
    <w:rsid w:val="53633748"/>
    <w:rsid w:val="538E7F97"/>
    <w:rsid w:val="53F31105"/>
    <w:rsid w:val="54665390"/>
    <w:rsid w:val="54777B6E"/>
    <w:rsid w:val="54796820"/>
    <w:rsid w:val="547C5F7A"/>
    <w:rsid w:val="5490517C"/>
    <w:rsid w:val="54DF553D"/>
    <w:rsid w:val="556B4EDD"/>
    <w:rsid w:val="5588094F"/>
    <w:rsid w:val="55BF1086"/>
    <w:rsid w:val="55DD08C4"/>
    <w:rsid w:val="55FC7835"/>
    <w:rsid w:val="560343FB"/>
    <w:rsid w:val="56466840"/>
    <w:rsid w:val="565C5E10"/>
    <w:rsid w:val="56605C0D"/>
    <w:rsid w:val="566C55F5"/>
    <w:rsid w:val="568C5B7C"/>
    <w:rsid w:val="5719718C"/>
    <w:rsid w:val="57390153"/>
    <w:rsid w:val="576F4F06"/>
    <w:rsid w:val="58780095"/>
    <w:rsid w:val="58F451C8"/>
    <w:rsid w:val="599704D6"/>
    <w:rsid w:val="5A7768E4"/>
    <w:rsid w:val="5B1220CD"/>
    <w:rsid w:val="5B2F1CB7"/>
    <w:rsid w:val="5B3D3F8A"/>
    <w:rsid w:val="5BF92FB6"/>
    <w:rsid w:val="5C207A49"/>
    <w:rsid w:val="5C451348"/>
    <w:rsid w:val="5C6E4D42"/>
    <w:rsid w:val="5CE430D4"/>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5F7991"/>
    <w:rsid w:val="61606110"/>
    <w:rsid w:val="616B2C59"/>
    <w:rsid w:val="618B5A4F"/>
    <w:rsid w:val="61C35ECC"/>
    <w:rsid w:val="6200624D"/>
    <w:rsid w:val="622412A8"/>
    <w:rsid w:val="622946DA"/>
    <w:rsid w:val="624152A8"/>
    <w:rsid w:val="62717F29"/>
    <w:rsid w:val="62C959F4"/>
    <w:rsid w:val="630E7FC1"/>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CF13E1A"/>
    <w:rsid w:val="6D302D7C"/>
    <w:rsid w:val="6D392803"/>
    <w:rsid w:val="6D9E2518"/>
    <w:rsid w:val="6DBA7B46"/>
    <w:rsid w:val="6E77495A"/>
    <w:rsid w:val="6EC800BC"/>
    <w:rsid w:val="6EE175F6"/>
    <w:rsid w:val="6EFD5AB2"/>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6A1E3C"/>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5E5813"/>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224E90"/>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autoRedefine/>
    <w:semiHidden/>
    <w:unhideWhenUsed/>
    <w:qFormat/>
    <w:uiPriority w:val="99"/>
    <w:pPr>
      <w:spacing w:after="120"/>
      <w:ind w:left="420" w:leftChars="200"/>
    </w:pPr>
  </w:style>
  <w:style w:type="paragraph" w:styleId="8">
    <w:name w:val="footer"/>
    <w:basedOn w:val="1"/>
    <w:link w:val="15"/>
    <w:autoRedefine/>
    <w:unhideWhenUsed/>
    <w:qFormat/>
    <w:uiPriority w:val="99"/>
    <w:pPr>
      <w:tabs>
        <w:tab w:val="center" w:pos="4153"/>
        <w:tab w:val="right" w:pos="8306"/>
      </w:tabs>
      <w:snapToGrid w:val="0"/>
      <w:jc w:val="left"/>
    </w:pPr>
    <w:rPr>
      <w:sz w:val="18"/>
      <w:szCs w:val="18"/>
    </w:rPr>
  </w:style>
  <w:style w:type="paragraph" w:styleId="9">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autoRedefine/>
    <w:semiHidden/>
    <w:unhideWhenUsed/>
    <w:qFormat/>
    <w:uiPriority w:val="99"/>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9"/>
    <w:autoRedefine/>
    <w:semiHidden/>
    <w:qFormat/>
    <w:uiPriority w:val="99"/>
    <w:rPr>
      <w:sz w:val="18"/>
      <w:szCs w:val="18"/>
    </w:rPr>
  </w:style>
  <w:style w:type="character" w:customStyle="1" w:styleId="15">
    <w:name w:val="页脚 Char"/>
    <w:basedOn w:val="13"/>
    <w:link w:val="8"/>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character" w:customStyle="1" w:styleId="18">
    <w:name w:val="Anrede1IhrZeichen"/>
    <w:basedOn w:val="13"/>
    <w:autoRedefine/>
    <w:qFormat/>
    <w:uiPriority w:val="0"/>
    <w:rPr>
      <w:rFonts w:ascii="Arial" w:hAnsi="Arial"/>
      <w:sz w:val="20"/>
    </w:rPr>
  </w:style>
  <w:style w:type="paragraph" w:customStyle="1" w:styleId="19">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2201</Words>
  <Characters>2256</Characters>
  <Lines>6</Lines>
  <Paragraphs>1</Paragraphs>
  <TotalTime>2</TotalTime>
  <ScaleCrop>false</ScaleCrop>
  <LinksUpToDate>false</LinksUpToDate>
  <CharactersWithSpaces>2416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2024-05-09T00:35:03Z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