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六安市中医院</w:t>
      </w:r>
      <w:bookmarkStart w:id="0" w:name="_GoBack"/>
      <w:bookmarkEnd w:id="0"/>
      <w:r>
        <w:rPr>
          <w:rFonts w:hint="eastAsia" w:asciiTheme="majorEastAsia" w:hAnsiTheme="majorEastAsia" w:eastAsiaTheme="majorEastAsia"/>
          <w:b/>
          <w:sz w:val="32"/>
          <w:szCs w:val="32"/>
          <w:u w:val="single"/>
        </w:rPr>
        <w:t>常用维修耗材</w:t>
      </w:r>
      <w:r>
        <w:rPr>
          <w:rFonts w:hint="eastAsia" w:asciiTheme="majorEastAsia" w:hAnsiTheme="majorEastAsia" w:eastAsiaTheme="majorEastAsia"/>
          <w:b/>
          <w:sz w:val="32"/>
          <w:szCs w:val="32"/>
          <w:u w:val="single"/>
          <w:lang w:eastAsia="zh-CN"/>
        </w:rPr>
        <w:t>采购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trike/>
          <w:dstrike w:val="0"/>
          <w:szCs w:val="21"/>
        </w:rPr>
        <w:t>医疗器械注册证号及</w:t>
      </w:r>
      <w:r>
        <w:rPr>
          <w:rFonts w:hint="eastAsia" w:ascii="仿宋" w:hAnsi="仿宋" w:eastAsia="仿宋"/>
          <w:strike w:val="0"/>
          <w:dstrike w:val="0"/>
          <w:szCs w:val="21"/>
          <w:lang w:eastAsia="zh-CN"/>
        </w:rPr>
        <w:t>市场</w:t>
      </w:r>
      <w:r>
        <w:rPr>
          <w:rFonts w:hint="eastAsia" w:ascii="仿宋" w:hAnsi="仿宋" w:eastAsia="仿宋"/>
          <w:szCs w:val="21"/>
        </w:rPr>
        <w:t>最低</w:t>
      </w:r>
      <w:r>
        <w:rPr>
          <w:rFonts w:hint="eastAsia" w:ascii="仿宋" w:hAnsi="仿宋" w:eastAsia="仿宋"/>
          <w:szCs w:val="21"/>
          <w:lang w:eastAsia="zh-CN"/>
        </w:rPr>
        <w:t>（总）</w:t>
      </w:r>
      <w:r>
        <w:rPr>
          <w:rFonts w:hint="eastAsia" w:ascii="仿宋" w:hAnsi="仿宋" w:eastAsia="仿宋"/>
          <w:szCs w:val="21"/>
        </w:rPr>
        <w:t>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color w:val="FF0000"/>
          <w:szCs w:val="21"/>
        </w:rPr>
      </w:pPr>
      <w:r>
        <w:rPr>
          <w:rFonts w:hint="eastAsia" w:ascii="仿宋" w:hAnsi="仿宋" w:eastAsia="仿宋"/>
          <w:szCs w:val="21"/>
        </w:rPr>
        <w:t xml:space="preserve">      </w:t>
      </w:r>
      <w:r>
        <w:rPr>
          <w:rFonts w:hint="eastAsia" w:ascii="仿宋" w:hAnsi="仿宋" w:eastAsia="仿宋"/>
          <w:color w:val="FF0000"/>
          <w:szCs w:val="21"/>
        </w:rPr>
        <w:t>2、响应情况（是/否）</w:t>
      </w:r>
      <w:r>
        <w:rPr>
          <w:rFonts w:hint="eastAsia" w:ascii="仿宋" w:hAnsi="仿宋" w:eastAsia="仿宋"/>
          <w:color w:val="FF0000"/>
          <w:szCs w:val="21"/>
          <w:lang w:eastAsia="zh-CN"/>
        </w:rPr>
        <w:t>，如响应则在响应情况一栏填写是或者是响应；</w:t>
      </w:r>
      <w:r>
        <w:rPr>
          <w:rFonts w:hint="eastAsia" w:ascii="仿宋" w:hAnsi="仿宋" w:eastAsia="仿宋"/>
          <w:color w:val="FF0000"/>
          <w:szCs w:val="21"/>
        </w:rPr>
        <w:t>若为否则继续填写具体建议修改指标，建议修改指标须慎重填写（该指标若为独家则无效，原则上须满足业界主流品牌同档次水平产品），</w:t>
      </w:r>
      <w:r>
        <w:rPr>
          <w:rFonts w:hint="eastAsia" w:ascii="仿宋" w:hAnsi="仿宋" w:eastAsia="仿宋"/>
          <w:b/>
          <w:color w:val="FF0000"/>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7"/>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776"/>
        <w:gridCol w:w="1217"/>
        <w:gridCol w:w="1670"/>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85"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1217"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670"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776"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1217" w:type="dxa"/>
            <w:vMerge w:val="continue"/>
          </w:tcPr>
          <w:p>
            <w:pPr>
              <w:spacing w:line="320" w:lineRule="exact"/>
              <w:rPr>
                <w:rFonts w:ascii="仿宋" w:hAnsi="仿宋" w:eastAsia="仿宋"/>
                <w:szCs w:val="21"/>
              </w:rPr>
            </w:pPr>
          </w:p>
        </w:tc>
        <w:tc>
          <w:tcPr>
            <w:tcW w:w="1670"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3" w:hRule="atLeast"/>
        </w:trPr>
        <w:tc>
          <w:tcPr>
            <w:tcW w:w="675" w:type="dxa"/>
            <w:vMerge w:val="restart"/>
          </w:tcPr>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rPr>
                <w:rFonts w:hint="eastAsia" w:ascii="仿宋" w:hAnsi="仿宋" w:eastAsia="仿宋"/>
                <w:szCs w:val="21"/>
                <w:lang w:val="en-US" w:eastAsia="zh-CN"/>
              </w:rPr>
            </w:pPr>
          </w:p>
          <w:p>
            <w:pPr>
              <w:spacing w:line="320" w:lineRule="exact"/>
              <w:ind w:firstLine="210" w:firstLineChars="100"/>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vMerge w:val="restart"/>
          </w:tcPr>
          <w:p>
            <w:pPr>
              <w:numPr>
                <w:ilvl w:val="0"/>
                <w:numId w:val="0"/>
              </w:numPr>
              <w:spacing w:line="320" w:lineRule="exact"/>
              <w:rPr>
                <w:rFonts w:hint="eastAsia" w:ascii="仿宋" w:hAnsi="仿宋" w:eastAsia="仿宋"/>
                <w:szCs w:val="21"/>
                <w:lang w:eastAsia="zh-CN"/>
              </w:rPr>
            </w:pPr>
          </w:p>
          <w:p>
            <w:pPr>
              <w:numPr>
                <w:ilvl w:val="0"/>
                <w:numId w:val="0"/>
              </w:numPr>
              <w:spacing w:line="320" w:lineRule="exact"/>
              <w:rPr>
                <w:rFonts w:hint="eastAsia" w:ascii="仿宋" w:hAnsi="仿宋" w:eastAsia="仿宋"/>
                <w:szCs w:val="21"/>
                <w:lang w:eastAsia="zh-CN"/>
              </w:rPr>
            </w:pPr>
          </w:p>
          <w:p>
            <w:pPr>
              <w:numPr>
                <w:ilvl w:val="0"/>
                <w:numId w:val="0"/>
              </w:numPr>
              <w:spacing w:line="320" w:lineRule="exact"/>
              <w:rPr>
                <w:rFonts w:hint="eastAsia" w:ascii="仿宋" w:hAnsi="仿宋" w:eastAsia="仿宋"/>
                <w:szCs w:val="21"/>
                <w:lang w:eastAsia="zh-CN"/>
              </w:rPr>
            </w:pPr>
          </w:p>
          <w:p>
            <w:pPr>
              <w:numPr>
                <w:ilvl w:val="0"/>
                <w:numId w:val="0"/>
              </w:numPr>
              <w:spacing w:line="320" w:lineRule="exact"/>
              <w:rPr>
                <w:rFonts w:hint="eastAsia" w:ascii="仿宋" w:hAnsi="仿宋" w:eastAsia="仿宋"/>
                <w:szCs w:val="21"/>
                <w:lang w:eastAsia="zh-CN"/>
              </w:rPr>
            </w:pPr>
          </w:p>
          <w:p>
            <w:pPr>
              <w:numPr>
                <w:ilvl w:val="0"/>
                <w:numId w:val="0"/>
              </w:numPr>
              <w:spacing w:line="320" w:lineRule="exact"/>
              <w:rPr>
                <w:rFonts w:hint="eastAsia" w:ascii="仿宋" w:hAnsi="仿宋" w:eastAsia="仿宋"/>
                <w:szCs w:val="21"/>
                <w:lang w:eastAsia="zh-CN"/>
              </w:rPr>
            </w:pPr>
          </w:p>
          <w:p>
            <w:pPr>
              <w:numPr>
                <w:ilvl w:val="0"/>
                <w:numId w:val="0"/>
              </w:numPr>
              <w:spacing w:line="320" w:lineRule="exact"/>
              <w:rPr>
                <w:rFonts w:hint="eastAsia" w:ascii="仿宋" w:hAnsi="仿宋" w:eastAsia="仿宋"/>
                <w:szCs w:val="21"/>
                <w:lang w:eastAsia="zh-CN"/>
              </w:rPr>
            </w:pPr>
          </w:p>
          <w:p>
            <w:pPr>
              <w:numPr>
                <w:ilvl w:val="0"/>
                <w:numId w:val="0"/>
              </w:numPr>
              <w:spacing w:line="320" w:lineRule="exact"/>
              <w:rPr>
                <w:rFonts w:hint="eastAsia" w:ascii="仿宋" w:hAnsi="仿宋" w:eastAsia="仿宋"/>
                <w:szCs w:val="21"/>
                <w:lang w:eastAsia="zh-CN"/>
              </w:rPr>
            </w:pPr>
            <w:r>
              <w:rPr>
                <w:rFonts w:hint="eastAsia" w:ascii="仿宋" w:hAnsi="仿宋" w:eastAsia="仿宋"/>
                <w:szCs w:val="21"/>
                <w:lang w:eastAsia="zh-CN"/>
              </w:rPr>
              <w:t>资质要求</w:t>
            </w:r>
          </w:p>
        </w:tc>
        <w:tc>
          <w:tcPr>
            <w:tcW w:w="3776" w:type="dxa"/>
          </w:tcPr>
          <w:p>
            <w:pPr>
              <w:numPr>
                <w:ilvl w:val="0"/>
                <w:numId w:val="0"/>
              </w:numPr>
              <w:spacing w:line="320" w:lineRule="exact"/>
              <w:rPr>
                <w:rFonts w:hint="default"/>
                <w:sz w:val="24"/>
                <w:szCs w:val="28"/>
                <w:lang w:val="en-US" w:eastAsia="zh-CN"/>
              </w:rPr>
            </w:pPr>
            <w:r>
              <w:rPr>
                <w:rFonts w:hint="default" w:asciiTheme="minorHAnsi" w:hAnsiTheme="minorHAnsi" w:eastAsiaTheme="minorEastAsia" w:cstheme="minorBidi"/>
                <w:kern w:val="2"/>
                <w:sz w:val="24"/>
                <w:szCs w:val="28"/>
                <w:lang w:val="en-US" w:eastAsia="zh-CN" w:bidi="ar-SA"/>
              </w:rPr>
              <w:t>1、</w:t>
            </w:r>
            <w:r>
              <w:rPr>
                <w:rFonts w:hint="eastAsia" w:ascii="仿宋" w:hAnsi="仿宋" w:eastAsia="仿宋"/>
                <w:sz w:val="24"/>
                <w:szCs w:val="24"/>
                <w:lang w:eastAsia="zh-CN"/>
              </w:rPr>
              <w:t>投标人具有经营范围内的有效营业执照</w:t>
            </w:r>
          </w:p>
        </w:tc>
        <w:tc>
          <w:tcPr>
            <w:tcW w:w="1217" w:type="dxa"/>
          </w:tcPr>
          <w:p>
            <w:pPr>
              <w:spacing w:line="320" w:lineRule="exact"/>
              <w:rPr>
                <w:rFonts w:ascii="仿宋" w:hAnsi="仿宋" w:eastAsia="仿宋"/>
                <w:szCs w:val="21"/>
              </w:rPr>
            </w:pPr>
          </w:p>
        </w:tc>
        <w:tc>
          <w:tcPr>
            <w:tcW w:w="1670"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Pr>
          <w:p>
            <w:pPr>
              <w:spacing w:line="320" w:lineRule="exact"/>
              <w:ind w:firstLine="210" w:firstLineChars="100"/>
              <w:rPr>
                <w:rFonts w:hint="eastAsia" w:ascii="仿宋" w:hAnsi="仿宋" w:eastAsia="仿宋"/>
                <w:szCs w:val="21"/>
                <w:lang w:val="en-US" w:eastAsia="zh-CN"/>
              </w:rPr>
            </w:pPr>
          </w:p>
        </w:tc>
        <w:tc>
          <w:tcPr>
            <w:tcW w:w="1134" w:type="dxa"/>
            <w:vMerge w:val="continue"/>
          </w:tcPr>
          <w:p>
            <w:pPr>
              <w:spacing w:line="320" w:lineRule="exact"/>
              <w:rPr>
                <w:rFonts w:hint="eastAsia" w:ascii="仿宋" w:hAnsi="仿宋" w:eastAsia="仿宋"/>
                <w:szCs w:val="21"/>
                <w:lang w:eastAsia="zh-CN"/>
              </w:rPr>
            </w:pPr>
          </w:p>
        </w:tc>
        <w:tc>
          <w:tcPr>
            <w:tcW w:w="3776" w:type="dxa"/>
          </w:tcPr>
          <w:p>
            <w:pPr>
              <w:numPr>
                <w:ilvl w:val="0"/>
                <w:numId w:val="0"/>
              </w:numPr>
              <w:spacing w:line="320" w:lineRule="exact"/>
              <w:rPr>
                <w:rFonts w:hint="default" w:ascii="仿宋" w:hAnsi="仿宋" w:eastAsia="仿宋"/>
                <w:sz w:val="24"/>
                <w:szCs w:val="24"/>
                <w:lang w:val="en-US" w:eastAsia="zh-CN"/>
              </w:rPr>
            </w:pPr>
            <w:r>
              <w:rPr>
                <w:rFonts w:hint="default" w:ascii="仿宋" w:hAnsi="仿宋" w:eastAsia="仿宋" w:cstheme="minorBidi"/>
                <w:kern w:val="2"/>
                <w:sz w:val="24"/>
                <w:szCs w:val="24"/>
                <w:lang w:val="en-US" w:eastAsia="zh-CN" w:bidi="ar-SA"/>
              </w:rPr>
              <w:t>2、</w:t>
            </w:r>
            <w:r>
              <w:rPr>
                <w:rFonts w:hint="eastAsia" w:ascii="仿宋" w:hAnsi="仿宋" w:eastAsia="仿宋"/>
                <w:sz w:val="24"/>
                <w:szCs w:val="24"/>
                <w:lang w:eastAsia="zh-CN"/>
              </w:rPr>
              <w:t>投标人</w:t>
            </w:r>
            <w:r>
              <w:rPr>
                <w:rFonts w:hint="eastAsia" w:ascii="仿宋" w:hAnsi="仿宋" w:eastAsia="仿宋"/>
                <w:sz w:val="24"/>
                <w:szCs w:val="24"/>
                <w:lang w:val="en-US" w:eastAsia="zh-CN"/>
              </w:rPr>
              <w:t>不得有企业失信记录和受过行政处罚记录，否则投标无效。</w:t>
            </w:r>
          </w:p>
          <w:p>
            <w:pPr>
              <w:spacing w:line="320" w:lineRule="exact"/>
              <w:rPr>
                <w:rFonts w:ascii="仿宋" w:hAnsi="仿宋" w:eastAsia="仿宋"/>
                <w:sz w:val="24"/>
                <w:szCs w:val="24"/>
              </w:rPr>
            </w:pPr>
          </w:p>
        </w:tc>
        <w:tc>
          <w:tcPr>
            <w:tcW w:w="1217" w:type="dxa"/>
          </w:tcPr>
          <w:p>
            <w:pPr>
              <w:spacing w:line="320" w:lineRule="exact"/>
              <w:rPr>
                <w:rFonts w:ascii="仿宋" w:hAnsi="仿宋" w:eastAsia="仿宋"/>
                <w:szCs w:val="21"/>
              </w:rPr>
            </w:pPr>
          </w:p>
        </w:tc>
        <w:tc>
          <w:tcPr>
            <w:tcW w:w="1670"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Pr>
          <w:p>
            <w:pPr>
              <w:spacing w:line="320" w:lineRule="exact"/>
              <w:rPr>
                <w:rFonts w:ascii="仿宋" w:hAnsi="仿宋" w:eastAsia="仿宋"/>
                <w:szCs w:val="21"/>
              </w:rPr>
            </w:pPr>
          </w:p>
        </w:tc>
        <w:tc>
          <w:tcPr>
            <w:tcW w:w="1134" w:type="dxa"/>
            <w:vMerge w:val="continue"/>
          </w:tcPr>
          <w:p>
            <w:pPr>
              <w:spacing w:line="320" w:lineRule="exact"/>
              <w:rPr>
                <w:rFonts w:ascii="仿宋" w:hAnsi="仿宋" w:eastAsia="仿宋"/>
                <w:szCs w:val="21"/>
              </w:rPr>
            </w:pPr>
          </w:p>
        </w:tc>
        <w:tc>
          <w:tcPr>
            <w:tcW w:w="3776" w:type="dxa"/>
          </w:tcPr>
          <w:p>
            <w:pPr>
              <w:spacing w:line="320" w:lineRule="exact"/>
              <w:rPr>
                <w:rFonts w:ascii="仿宋" w:hAnsi="仿宋" w:eastAsia="仿宋"/>
                <w:sz w:val="24"/>
                <w:szCs w:val="24"/>
              </w:rPr>
            </w:pPr>
            <w:r>
              <w:rPr>
                <w:rFonts w:hint="eastAsia" w:ascii="仿宋" w:hAnsi="仿宋" w:eastAsia="仿宋"/>
                <w:color w:val="FF0000"/>
                <w:sz w:val="24"/>
                <w:szCs w:val="24"/>
                <w:lang w:val="en-US" w:eastAsia="zh-CN"/>
              </w:rPr>
              <w:t>3、</w:t>
            </w:r>
            <w:r>
              <w:rPr>
                <w:rFonts w:hint="eastAsia" w:ascii="仿宋" w:hAnsi="仿宋" w:eastAsia="仿宋"/>
                <w:color w:val="FF0000"/>
                <w:sz w:val="24"/>
                <w:szCs w:val="24"/>
                <w:lang w:eastAsia="zh-CN"/>
              </w:rPr>
              <w:t>清单中所推荐的品牌，为医院现用产品品牌，仅供投标人参考，投标人投标产品必须与医院现用产品通用、系统匹配，所投品牌档次不得低于医院现用品牌。合同执行期内所送耗材必须与投标文件保持一致。如有调整须提前与采购人各班组负责人进行对接，价格报送审计</w:t>
            </w:r>
            <w:r>
              <w:rPr>
                <w:rFonts w:hint="eastAsia" w:ascii="仿宋" w:hAnsi="仿宋" w:eastAsia="仿宋"/>
                <w:color w:val="FF0000"/>
                <w:sz w:val="24"/>
                <w:szCs w:val="24"/>
                <w:lang w:val="en-US" w:eastAsia="zh-CN"/>
              </w:rPr>
              <w:t>科进行审核无误后方能进行调整，否则仍按合同清单规格进行送货。</w:t>
            </w:r>
          </w:p>
        </w:tc>
        <w:tc>
          <w:tcPr>
            <w:tcW w:w="1217" w:type="dxa"/>
          </w:tcPr>
          <w:p>
            <w:pPr>
              <w:spacing w:line="320" w:lineRule="exact"/>
              <w:rPr>
                <w:rFonts w:ascii="仿宋" w:hAnsi="仿宋" w:eastAsia="仿宋"/>
                <w:szCs w:val="21"/>
              </w:rPr>
            </w:pPr>
          </w:p>
        </w:tc>
        <w:tc>
          <w:tcPr>
            <w:tcW w:w="1670"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0" w:hRule="atLeast"/>
        </w:trPr>
        <w:tc>
          <w:tcPr>
            <w:tcW w:w="675" w:type="dxa"/>
            <w:vMerge w:val="continue"/>
          </w:tcPr>
          <w:p>
            <w:pPr>
              <w:spacing w:line="320" w:lineRule="exact"/>
              <w:rPr>
                <w:rFonts w:ascii="仿宋" w:hAnsi="仿宋" w:eastAsia="仿宋"/>
                <w:szCs w:val="21"/>
              </w:rPr>
            </w:pPr>
          </w:p>
        </w:tc>
        <w:tc>
          <w:tcPr>
            <w:tcW w:w="1134" w:type="dxa"/>
            <w:vMerge w:val="continue"/>
          </w:tcPr>
          <w:p>
            <w:pPr>
              <w:spacing w:line="320" w:lineRule="exact"/>
              <w:rPr>
                <w:rFonts w:ascii="仿宋" w:hAnsi="仿宋" w:eastAsia="仿宋"/>
                <w:szCs w:val="21"/>
              </w:rPr>
            </w:pPr>
          </w:p>
        </w:tc>
        <w:tc>
          <w:tcPr>
            <w:tcW w:w="3776" w:type="dxa"/>
          </w:tcPr>
          <w:p>
            <w:pPr>
              <w:numPr>
                <w:ilvl w:val="0"/>
                <w:numId w:val="0"/>
              </w:numPr>
              <w:spacing w:line="320" w:lineRule="exact"/>
              <w:rPr>
                <w:rFonts w:ascii="仿宋" w:hAnsi="仿宋" w:eastAsia="仿宋"/>
                <w:sz w:val="24"/>
                <w:szCs w:val="24"/>
              </w:rPr>
            </w:pPr>
            <w:r>
              <w:rPr>
                <w:rFonts w:hint="eastAsia" w:ascii="仿宋" w:hAnsi="仿宋" w:eastAsia="仿宋"/>
                <w:color w:val="FF0000"/>
                <w:sz w:val="24"/>
                <w:szCs w:val="24"/>
                <w:lang w:val="en-US" w:eastAsia="zh-CN"/>
              </w:rPr>
              <w:t>4、所提供的所有耗材均应在质保期内，并保证送达的耗材质保期不少于壹年。</w:t>
            </w:r>
          </w:p>
        </w:tc>
        <w:tc>
          <w:tcPr>
            <w:tcW w:w="1217" w:type="dxa"/>
          </w:tcPr>
          <w:p>
            <w:pPr>
              <w:spacing w:line="320" w:lineRule="exact"/>
              <w:rPr>
                <w:rFonts w:ascii="仿宋" w:hAnsi="仿宋" w:eastAsia="仿宋"/>
                <w:szCs w:val="21"/>
              </w:rPr>
            </w:pPr>
          </w:p>
        </w:tc>
        <w:tc>
          <w:tcPr>
            <w:tcW w:w="1670"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0" w:hRule="atLeast"/>
        </w:trPr>
        <w:tc>
          <w:tcPr>
            <w:tcW w:w="675" w:type="dxa"/>
            <w:vMerge w:val="continue"/>
          </w:tcPr>
          <w:p>
            <w:pPr>
              <w:spacing w:line="320" w:lineRule="exact"/>
              <w:rPr>
                <w:rFonts w:ascii="仿宋" w:hAnsi="仿宋" w:eastAsia="仿宋"/>
                <w:szCs w:val="21"/>
              </w:rPr>
            </w:pPr>
          </w:p>
        </w:tc>
        <w:tc>
          <w:tcPr>
            <w:tcW w:w="1134" w:type="dxa"/>
            <w:vMerge w:val="continue"/>
          </w:tcPr>
          <w:p>
            <w:pPr>
              <w:spacing w:line="320" w:lineRule="exact"/>
              <w:rPr>
                <w:rFonts w:ascii="仿宋" w:hAnsi="仿宋" w:eastAsia="仿宋"/>
                <w:szCs w:val="21"/>
              </w:rPr>
            </w:pPr>
          </w:p>
        </w:tc>
        <w:tc>
          <w:tcPr>
            <w:tcW w:w="3776" w:type="dxa"/>
          </w:tcPr>
          <w:p>
            <w:pPr>
              <w:spacing w:line="320" w:lineRule="exact"/>
              <w:rPr>
                <w:rFonts w:ascii="仿宋" w:hAnsi="仿宋" w:eastAsia="仿宋"/>
                <w:sz w:val="24"/>
                <w:szCs w:val="24"/>
              </w:rPr>
            </w:pPr>
            <w:r>
              <w:rPr>
                <w:rFonts w:hint="eastAsia" w:ascii="仿宋" w:hAnsi="仿宋" w:eastAsia="仿宋"/>
                <w:color w:val="FF0000"/>
                <w:sz w:val="24"/>
                <w:szCs w:val="24"/>
                <w:lang w:val="en-US" w:eastAsia="zh-CN"/>
              </w:rPr>
              <w:t>5、中标人在接到采购人耗材需求通知后，48小时内安排送货到位。遇到紧急情况，所需耗材送达时间不得超过24小时。</w:t>
            </w:r>
          </w:p>
        </w:tc>
        <w:tc>
          <w:tcPr>
            <w:tcW w:w="1217" w:type="dxa"/>
          </w:tcPr>
          <w:p>
            <w:pPr>
              <w:spacing w:line="320" w:lineRule="exact"/>
              <w:rPr>
                <w:rFonts w:ascii="仿宋" w:hAnsi="仿宋" w:eastAsia="仿宋"/>
                <w:szCs w:val="21"/>
              </w:rPr>
            </w:pPr>
          </w:p>
        </w:tc>
        <w:tc>
          <w:tcPr>
            <w:tcW w:w="1670"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562" w:firstLineChars="200"/>
        <w:rPr>
          <w:rFonts w:hint="default" w:ascii="仿宋" w:hAnsi="仿宋" w:eastAsia="仿宋"/>
          <w:b/>
          <w:bCs/>
          <w:color w:val="FF0000"/>
          <w:sz w:val="28"/>
          <w:szCs w:val="28"/>
          <w:lang w:val="en-US" w:eastAsia="zh-CN"/>
        </w:rPr>
      </w:pPr>
      <w:r>
        <w:rPr>
          <w:rFonts w:hint="eastAsia" w:ascii="仿宋" w:hAnsi="仿宋" w:eastAsia="仿宋"/>
          <w:b/>
          <w:bCs/>
          <w:color w:val="FF0000"/>
          <w:sz w:val="28"/>
          <w:szCs w:val="28"/>
        </w:rPr>
        <w:t>附：</w:t>
      </w:r>
      <w:r>
        <w:rPr>
          <w:rFonts w:hint="eastAsia" w:ascii="仿宋" w:hAnsi="仿宋" w:eastAsia="仿宋"/>
          <w:b/>
          <w:bCs/>
          <w:color w:val="FF0000"/>
          <w:sz w:val="28"/>
          <w:szCs w:val="28"/>
          <w:lang w:eastAsia="zh-CN"/>
        </w:rPr>
        <w:t>常用维修耗材响应报价表详见附件</w:t>
      </w:r>
      <w:r>
        <w:rPr>
          <w:rFonts w:hint="eastAsia" w:ascii="仿宋" w:hAnsi="仿宋" w:eastAsia="仿宋"/>
          <w:b/>
          <w:bCs/>
          <w:color w:val="FF0000"/>
          <w:sz w:val="28"/>
          <w:szCs w:val="28"/>
          <w:lang w:val="en-US" w:eastAsia="zh-CN"/>
        </w:rPr>
        <w:t>2</w:t>
      </w:r>
    </w:p>
    <w:p>
      <w:pPr>
        <w:spacing w:line="280" w:lineRule="exact"/>
        <w:ind w:firstLine="420" w:firstLineChars="200"/>
        <w:rPr>
          <w:rFonts w:hint="eastAsia"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配套耗材报价清单（</w:t>
      </w:r>
      <w:r>
        <w:rPr>
          <w:rFonts w:hint="eastAsia" w:ascii="仿宋" w:hAnsi="仿宋" w:eastAsia="仿宋"/>
          <w:szCs w:val="21"/>
          <w:lang w:eastAsia="zh-CN"/>
        </w:rPr>
        <w:t>详</w:t>
      </w:r>
      <w:r>
        <w:rPr>
          <w:rFonts w:hint="eastAsia" w:ascii="仿宋" w:hAnsi="仿宋" w:eastAsia="仿宋"/>
          <w:szCs w:val="21"/>
        </w:rPr>
        <w:t xml:space="preserve">）  </w:t>
      </w:r>
    </w:p>
    <w:tbl>
      <w:tblPr>
        <w:tblStyle w:val="7"/>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1"/>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1696E2C"/>
    <w:rsid w:val="43E31E87"/>
    <w:rsid w:val="61F41C48"/>
    <w:rsid w:val="7663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autoRedefine/>
    <w:semiHidden/>
    <w:unhideWhenUsed/>
    <w:qFormat/>
    <w:uiPriority w:val="99"/>
    <w:pPr>
      <w:spacing w:after="12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paragraph" w:customStyle="1" w:styleId="11">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2">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787</Characters>
  <Lines>6</Lines>
  <Paragraphs>1</Paragraphs>
  <TotalTime>385</TotalTime>
  <ScaleCrop>false</ScaleCrop>
  <LinksUpToDate>false</LinksUpToDate>
  <CharactersWithSpaces>924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2024-03-12T00:49:06Z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7067DE5F3E64402C94F8280601D9165F_12</vt:lpwstr>
  </property>
</Properties>
</file>