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61" w:firstLineChars="100"/>
        <w:jc w:val="center"/>
        <w:rPr>
          <w:rStyle w:val="21"/>
          <w:rFonts w:hint="eastAsia" w:ascii="宋体" w:hAnsi="宋体" w:cs="仿宋_GB2312"/>
          <w:sz w:val="36"/>
          <w:szCs w:val="36"/>
          <w:lang w:eastAsia="zh-CN"/>
        </w:rPr>
      </w:pPr>
      <w:r>
        <w:rPr>
          <w:rStyle w:val="21"/>
          <w:rFonts w:hint="eastAsia" w:ascii="宋体" w:hAnsi="宋体" w:eastAsia="宋体" w:cs="仿宋_GB2312"/>
          <w:sz w:val="36"/>
          <w:szCs w:val="36"/>
        </w:rPr>
        <w:t>六安市中医院</w:t>
      </w:r>
      <w:r>
        <w:rPr>
          <w:rStyle w:val="21"/>
          <w:rFonts w:hint="eastAsia" w:ascii="宋体" w:hAnsi="宋体" w:eastAsia="宋体" w:cs="仿宋_GB2312"/>
          <w:sz w:val="36"/>
          <w:szCs w:val="36"/>
          <w:lang w:eastAsia="zh-CN"/>
        </w:rPr>
        <w:t>临时发热门诊</w:t>
      </w:r>
    </w:p>
    <w:p>
      <w:pPr>
        <w:ind w:firstLine="361" w:firstLineChars="100"/>
        <w:jc w:val="center"/>
        <w:rPr>
          <w:rStyle w:val="21"/>
          <w:rFonts w:hint="eastAsia" w:ascii="宋体" w:hAnsi="宋体" w:eastAsia="宋体" w:cs="仿宋_GB2312"/>
          <w:sz w:val="36"/>
          <w:szCs w:val="36"/>
          <w:lang w:eastAsia="zh-CN"/>
        </w:rPr>
      </w:pPr>
      <w:r>
        <w:rPr>
          <w:rStyle w:val="21"/>
          <w:rFonts w:hint="eastAsia" w:ascii="宋体" w:hAnsi="宋体" w:eastAsia="宋体" w:cs="仿宋_GB2312"/>
          <w:sz w:val="36"/>
          <w:szCs w:val="36"/>
          <w:lang w:eastAsia="zh-CN"/>
        </w:rPr>
        <w:t>拆除及建材回收</w:t>
      </w:r>
      <w:r>
        <w:rPr>
          <w:rStyle w:val="21"/>
          <w:rFonts w:hint="eastAsia" w:ascii="宋体" w:hAnsi="宋体" w:eastAsia="宋体" w:cs="仿宋_GB2312"/>
          <w:sz w:val="36"/>
          <w:szCs w:val="36"/>
        </w:rPr>
        <w:t>服务询价文件</w:t>
      </w:r>
      <w:r>
        <w:rPr>
          <w:rStyle w:val="21"/>
          <w:rFonts w:hint="eastAsia" w:ascii="宋体" w:hAnsi="宋体" w:eastAsia="宋体" w:cs="仿宋_GB2312"/>
          <w:sz w:val="36"/>
          <w:szCs w:val="36"/>
          <w:lang w:eastAsia="zh-CN"/>
        </w:rPr>
        <w:t>（二次）</w:t>
      </w:r>
    </w:p>
    <w:p>
      <w:pPr>
        <w:spacing w:before="156" w:beforeLines="50" w:line="48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第一章 采购公告</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根据《中华人民共和国政府采购法》等相关规定，六安市中医院就下列</w:t>
      </w:r>
      <w:r>
        <w:rPr>
          <w:rFonts w:hint="eastAsia" w:ascii="仿宋_GB2312" w:hAnsi="仿宋_GB2312" w:eastAsia="仿宋_GB2312" w:cs="仿宋_GB2312"/>
          <w:sz w:val="28"/>
          <w:szCs w:val="28"/>
          <w:lang w:eastAsia="zh-CN"/>
        </w:rPr>
        <w:t>项目</w:t>
      </w:r>
      <w:r>
        <w:rPr>
          <w:rFonts w:hint="eastAsia" w:ascii="仿宋_GB2312" w:hAnsi="仿宋_GB2312" w:eastAsia="仿宋_GB2312" w:cs="仿宋_GB2312"/>
          <w:sz w:val="28"/>
          <w:szCs w:val="28"/>
        </w:rPr>
        <w:t>进行询价。此次</w:t>
      </w:r>
      <w:r>
        <w:rPr>
          <w:rFonts w:hint="eastAsia" w:ascii="仿宋_GB2312" w:hAnsi="仿宋_GB2312" w:eastAsia="仿宋_GB2312" w:cs="仿宋_GB2312"/>
          <w:sz w:val="28"/>
          <w:szCs w:val="28"/>
          <w:lang w:eastAsia="zh-CN"/>
        </w:rPr>
        <w:t>项目</w:t>
      </w:r>
      <w:r>
        <w:rPr>
          <w:rFonts w:hint="eastAsia" w:ascii="仿宋_GB2312" w:hAnsi="仿宋_GB2312" w:eastAsia="仿宋_GB2312" w:cs="仿宋_GB2312"/>
          <w:sz w:val="28"/>
          <w:szCs w:val="28"/>
        </w:rPr>
        <w:t>服务依据报价条款。</w:t>
      </w:r>
    </w:p>
    <w:p>
      <w:pPr>
        <w:numPr>
          <w:ilvl w:val="0"/>
          <w:numId w:val="1"/>
        </w:numPr>
        <w:ind w:leftChars="-395" w:firstLine="1400" w:firstLineChars="5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p>
      <w:pPr>
        <w:numPr>
          <w:ilvl w:val="0"/>
          <w:numId w:val="0"/>
        </w:numPr>
        <w:ind w:left="218" w:leftChars="104" w:firstLine="478" w:firstLineChars="171"/>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六安市中医院</w:t>
      </w:r>
      <w:r>
        <w:rPr>
          <w:rFonts w:hint="eastAsia" w:ascii="仿宋_GB2312" w:hAnsi="仿宋_GB2312" w:eastAsia="仿宋_GB2312" w:cs="仿宋_GB2312"/>
          <w:sz w:val="28"/>
          <w:szCs w:val="28"/>
          <w:lang w:eastAsia="zh-CN"/>
        </w:rPr>
        <w:t>临时发热门诊拆除及建材回收询价</w:t>
      </w:r>
      <w:r>
        <w:rPr>
          <w:rFonts w:hint="eastAsia" w:ascii="仿宋_GB2312" w:hAnsi="仿宋_GB2312" w:eastAsia="仿宋_GB2312" w:cs="仿宋_GB2312"/>
          <w:sz w:val="28"/>
          <w:szCs w:val="28"/>
        </w:rPr>
        <w:t>项目</w:t>
      </w:r>
      <w:r>
        <w:rPr>
          <w:rFonts w:hint="eastAsia" w:ascii="仿宋_GB2312" w:hAnsi="仿宋_GB2312" w:eastAsia="仿宋_GB2312" w:cs="仿宋_GB2312"/>
          <w:sz w:val="28"/>
          <w:szCs w:val="28"/>
          <w:lang w:eastAsia="zh-CN"/>
        </w:rPr>
        <w:t>（二次）</w:t>
      </w:r>
    </w:p>
    <w:p>
      <w:pPr>
        <w:ind w:firstLine="560" w:firstLineChars="200"/>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sz w:val="28"/>
          <w:szCs w:val="28"/>
        </w:rPr>
        <w:t>二、项目编号：</w:t>
      </w:r>
      <w:r>
        <w:rPr>
          <w:rFonts w:hint="eastAsia" w:ascii="仿宋_GB2312" w:hAnsi="仿宋_GB2312" w:eastAsia="仿宋_GB2312" w:cs="仿宋_GB2312"/>
          <w:sz w:val="28"/>
          <w:szCs w:val="28"/>
          <w:lang w:val="zh-CN"/>
        </w:rPr>
        <w:t>LASZYY-</w:t>
      </w:r>
      <w:r>
        <w:rPr>
          <w:rFonts w:hint="eastAsia" w:ascii="仿宋" w:hAnsi="仿宋" w:eastAsia="仿宋" w:cs="仿宋_GB2312"/>
          <w:color w:val="auto"/>
          <w:sz w:val="28"/>
          <w:szCs w:val="28"/>
          <w:lang w:val="zh-CN"/>
        </w:rPr>
        <w:t>HQ2024</w:t>
      </w:r>
      <w:r>
        <w:rPr>
          <w:rFonts w:hint="eastAsia" w:ascii="仿宋" w:hAnsi="仿宋" w:eastAsia="仿宋" w:cs="仿宋_GB2312"/>
          <w:color w:val="auto"/>
          <w:sz w:val="28"/>
          <w:szCs w:val="28"/>
          <w:lang w:val="en-US" w:eastAsia="zh-CN"/>
        </w:rPr>
        <w:t>003-1</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三、比选地点：六安市中医院一号楼19楼东会议室</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、开标时间：202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日下午15:00 整</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五</w:t>
      </w:r>
      <w:r>
        <w:rPr>
          <w:rFonts w:hint="eastAsia" w:ascii="仿宋_GB2312" w:hAnsi="仿宋_GB2312" w:eastAsia="仿宋_GB2312" w:cs="仿宋_GB2312"/>
          <w:sz w:val="28"/>
          <w:szCs w:val="28"/>
        </w:rPr>
        <w:t>、参选文件有效期：30天</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六</w:t>
      </w:r>
      <w:r>
        <w:rPr>
          <w:rFonts w:hint="eastAsia" w:ascii="仿宋_GB2312" w:hAnsi="仿宋_GB2312" w:eastAsia="仿宋_GB2312" w:cs="仿宋_GB2312"/>
          <w:sz w:val="28"/>
          <w:szCs w:val="28"/>
        </w:rPr>
        <w:t>、参选保证金：本项目不收参选保证金</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七</w:t>
      </w:r>
      <w:r>
        <w:rPr>
          <w:rFonts w:hint="eastAsia" w:ascii="仿宋_GB2312" w:hAnsi="仿宋_GB2312" w:eastAsia="仿宋_GB2312" w:cs="仿宋_GB2312"/>
          <w:sz w:val="28"/>
          <w:szCs w:val="28"/>
        </w:rPr>
        <w:t>、公示网址：六安市中医院官网：</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"http://www.laszyy.cn/"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http://www.laszyy.cn/</w:t>
      </w:r>
      <w:r>
        <w:rPr>
          <w:rFonts w:hint="eastAsia" w:ascii="仿宋_GB2312" w:hAnsi="仿宋_GB2312" w:eastAsia="仿宋_GB2312" w:cs="仿宋_GB2312"/>
          <w:sz w:val="28"/>
          <w:szCs w:val="28"/>
        </w:rPr>
        <w:fldChar w:fldCharType="end"/>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八</w:t>
      </w:r>
      <w:r>
        <w:rPr>
          <w:rFonts w:hint="eastAsia" w:ascii="仿宋_GB2312" w:hAnsi="仿宋_GB2312" w:eastAsia="仿宋_GB2312" w:cs="仿宋_GB2312"/>
          <w:sz w:val="28"/>
          <w:szCs w:val="28"/>
        </w:rPr>
        <w:t>、项目简介：</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六安市中医院现有</w:t>
      </w:r>
      <w:r>
        <w:rPr>
          <w:rFonts w:hint="eastAsia" w:ascii="仿宋_GB2312" w:hAnsi="仿宋_GB2312" w:eastAsia="仿宋_GB2312" w:cs="仿宋_GB2312"/>
          <w:sz w:val="28"/>
          <w:szCs w:val="28"/>
          <w:lang w:eastAsia="zh-CN"/>
        </w:rPr>
        <w:t>临时发热门诊</w:t>
      </w:r>
      <w:r>
        <w:rPr>
          <w:rFonts w:hint="eastAsia" w:ascii="仿宋_GB2312" w:hAnsi="仿宋_GB2312" w:eastAsia="仿宋_GB2312" w:cs="仿宋_GB2312"/>
          <w:sz w:val="28"/>
          <w:szCs w:val="28"/>
        </w:rPr>
        <w:t>根据院部规划需进行拆除，现寻求提供</w:t>
      </w:r>
      <w:r>
        <w:rPr>
          <w:rFonts w:hint="eastAsia" w:ascii="仿宋_GB2312" w:hAnsi="仿宋_GB2312" w:eastAsia="仿宋_GB2312" w:cs="仿宋_GB2312"/>
          <w:sz w:val="28"/>
          <w:szCs w:val="28"/>
          <w:lang w:eastAsia="zh-CN"/>
        </w:rPr>
        <w:t>拆除并</w:t>
      </w:r>
      <w:r>
        <w:rPr>
          <w:rFonts w:hint="eastAsia" w:ascii="仿宋_GB2312" w:hAnsi="仿宋_GB2312" w:eastAsia="仿宋_GB2312" w:cs="仿宋_GB2312"/>
          <w:sz w:val="28"/>
          <w:szCs w:val="28"/>
        </w:rPr>
        <w:t>对拆除后的废弃建材（包含钢材、金属门窗等）回收处置的收购商，欢迎符合资格的优质收购商参与回收报价。</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九</w:t>
      </w:r>
      <w:r>
        <w:rPr>
          <w:rFonts w:hint="eastAsia" w:ascii="仿宋_GB2312" w:hAnsi="仿宋_GB2312" w:eastAsia="仿宋_GB2312" w:cs="仿宋_GB2312"/>
          <w:sz w:val="28"/>
          <w:szCs w:val="28"/>
        </w:rPr>
        <w:t>、投标人资格条件：</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、符合《中华人民共和国政府采购法》第二十二条规定。</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、本项目不接受联合体投标。</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、投标人存在以下不良信用记录情形之一的，不得推荐为中标候选人：</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（1）投标人被人民法院列入失信被执行人的；</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（2）投标人或其法定代表人或拟派项目经理（项目负责人）被人民检察院列入行贿犯罪档案的；</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（3）投标人被工商行政管理部门列入企业经营异常名录的；</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（4）投标人被税务部门列入重大税收违法案件当事人名单的；</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（5）投标人被政府采购监管部门列入政府采购严重违法失信行为记录名单的。</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十、报价文件接收：</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1、报价文件递交截止时间：202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月</w:t>
      </w:r>
      <w:r>
        <w:rPr>
          <w:rFonts w:hint="eastAsia" w:ascii="仿宋_GB2312" w:hAnsi="仿宋_GB2312" w:eastAsia="仿宋_GB2312" w:cs="仿宋_GB2312"/>
          <w:color w:val="auto"/>
          <w:sz w:val="28"/>
          <w:szCs w:val="28"/>
          <w:lang w:val="en-US" w:eastAsia="zh-CN"/>
        </w:rPr>
        <w:t>11</w:t>
      </w:r>
      <w:r>
        <w:rPr>
          <w:rFonts w:hint="eastAsia" w:ascii="仿宋_GB2312" w:hAnsi="仿宋_GB2312" w:eastAsia="仿宋_GB2312" w:cs="仿宋_GB2312"/>
          <w:sz w:val="28"/>
          <w:szCs w:val="28"/>
        </w:rPr>
        <w:t>日下午15:00 整；</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2、报价文件送达地址：纸质版请直接送往（或邮递）</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"mailto:六安市中医院19楼总务科或以清晰盖章扫描版的形式发送至电子邮箱：zyyzwk2020@126.com" </w:instrText>
      </w:r>
      <w:r>
        <w:rPr>
          <w:rFonts w:hint="eastAsia" w:ascii="仿宋_GB2312" w:hAnsi="仿宋_GB2312" w:eastAsia="仿宋_GB2312" w:cs="仿宋_GB2312"/>
        </w:rPr>
        <w:fldChar w:fldCharType="separate"/>
      </w:r>
      <w:r>
        <w:rPr>
          <w:rStyle w:val="20"/>
          <w:rFonts w:hint="eastAsia" w:ascii="仿宋_GB2312" w:hAnsi="仿宋_GB2312" w:eastAsia="仿宋_GB2312" w:cs="仿宋_GB2312"/>
          <w:sz w:val="28"/>
          <w:szCs w:val="28"/>
        </w:rPr>
        <w:t>六安市中医院19楼总务科或以清晰盖章扫描版的形式发送至电子邮箱：zyyzwk2020@126.com</w:t>
      </w:r>
      <w:r>
        <w:rPr>
          <w:rStyle w:val="20"/>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p>
      <w:pPr>
        <w:pStyle w:val="2"/>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十一、本项目评审办法:</w:t>
      </w:r>
    </w:p>
    <w:p>
      <w:pPr>
        <w:pStyle w:val="2"/>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满足该询价文件的有效最高价为成交人。</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rPr>
        <w:t>、联系事项：</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询价咨询：六安市中医院</w:t>
      </w:r>
      <w:r>
        <w:rPr>
          <w:rFonts w:hint="eastAsia" w:ascii="仿宋_GB2312" w:hAnsi="仿宋_GB2312" w:eastAsia="仿宋_GB2312" w:cs="仿宋_GB2312"/>
          <w:sz w:val="28"/>
          <w:szCs w:val="28"/>
          <w:lang w:eastAsia="zh-CN"/>
        </w:rPr>
        <w:t>后勤保障部</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赵</w:t>
      </w:r>
      <w:r>
        <w:rPr>
          <w:rFonts w:hint="eastAsia" w:ascii="仿宋_GB2312" w:hAnsi="仿宋_GB2312" w:eastAsia="仿宋_GB2312" w:cs="仿宋_GB2312"/>
          <w:sz w:val="28"/>
          <w:szCs w:val="28"/>
        </w:rPr>
        <w:t>老师</w:t>
      </w:r>
      <w:r>
        <w:rPr>
          <w:rFonts w:hint="eastAsia" w:ascii="仿宋_GB2312" w:hAnsi="仿宋_GB2312" w:eastAsia="仿宋_GB2312" w:cs="仿宋_GB2312"/>
          <w:sz w:val="28"/>
          <w:szCs w:val="28"/>
          <w:lang w:val="en-US" w:eastAsia="zh-CN"/>
        </w:rPr>
        <w:t xml:space="preserve"> 张老师</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联系方式：0564-3597279  </w:t>
      </w:r>
    </w:p>
    <w:p>
      <w:pPr>
        <w:ind w:firstLine="5040" w:firstLineChars="18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日</w:t>
      </w:r>
    </w:p>
    <w:p>
      <w:pPr>
        <w:spacing w:line="480" w:lineRule="exact"/>
        <w:ind w:firstLine="2530" w:firstLineChars="900"/>
        <w:rPr>
          <w:rFonts w:hint="eastAsia" w:ascii="仿宋_GB2312" w:hAnsi="仿宋_GB2312" w:eastAsia="仿宋_GB2312" w:cs="仿宋_GB2312"/>
          <w:b/>
          <w:color w:val="000000"/>
          <w:sz w:val="28"/>
          <w:szCs w:val="28"/>
        </w:rPr>
      </w:pPr>
    </w:p>
    <w:p>
      <w:pPr>
        <w:widowControl/>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br w:type="page"/>
      </w:r>
    </w:p>
    <w:p>
      <w:pPr>
        <w:spacing w:line="48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第二章 采购需求</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1、采购人提供的</w:t>
      </w:r>
      <w:r>
        <w:rPr>
          <w:rFonts w:hint="eastAsia" w:ascii="仿宋_GB2312" w:hAnsi="仿宋_GB2312" w:eastAsia="仿宋_GB2312" w:cs="仿宋_GB2312"/>
          <w:sz w:val="28"/>
          <w:szCs w:val="28"/>
          <w:lang w:eastAsia="zh-CN"/>
        </w:rPr>
        <w:t>临时发热门诊</w:t>
      </w:r>
      <w:r>
        <w:rPr>
          <w:rFonts w:hint="eastAsia" w:ascii="仿宋_GB2312" w:hAnsi="仿宋_GB2312" w:eastAsia="仿宋_GB2312" w:cs="仿宋_GB2312"/>
          <w:sz w:val="28"/>
          <w:szCs w:val="28"/>
        </w:rPr>
        <w:t>拆除</w:t>
      </w:r>
      <w:r>
        <w:rPr>
          <w:rFonts w:hint="eastAsia" w:ascii="仿宋_GB2312" w:hAnsi="仿宋_GB2312" w:eastAsia="仿宋_GB2312" w:cs="仿宋_GB2312"/>
          <w:sz w:val="28"/>
          <w:szCs w:val="28"/>
          <w:lang w:eastAsia="zh-CN"/>
        </w:rPr>
        <w:t>及</w:t>
      </w:r>
      <w:r>
        <w:rPr>
          <w:rFonts w:hint="eastAsia" w:ascii="仿宋_GB2312" w:hAnsi="仿宋_GB2312" w:eastAsia="仿宋_GB2312" w:cs="仿宋_GB2312"/>
          <w:sz w:val="28"/>
          <w:szCs w:val="28"/>
        </w:rPr>
        <w:t>建材回收清单仅供投标人参考，具体以现场实际情况为准，投标人投标前须自行到采购人现场进行</w:t>
      </w:r>
      <w:r>
        <w:rPr>
          <w:rFonts w:hint="eastAsia" w:ascii="仿宋_GB2312" w:hAnsi="仿宋_GB2312" w:eastAsia="仿宋_GB2312" w:cs="仿宋_GB2312"/>
          <w:sz w:val="28"/>
          <w:szCs w:val="28"/>
          <w:lang w:eastAsia="zh-CN"/>
        </w:rPr>
        <w:t>拆前</w:t>
      </w:r>
      <w:r>
        <w:rPr>
          <w:rFonts w:hint="eastAsia" w:ascii="仿宋_GB2312" w:hAnsi="仿宋_GB2312" w:eastAsia="仿宋_GB2312" w:cs="仿宋_GB2312"/>
          <w:sz w:val="28"/>
          <w:szCs w:val="28"/>
        </w:rPr>
        <w:t>踏勘；</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w:t>
      </w:r>
      <w:r>
        <w:rPr>
          <w:rFonts w:hint="eastAsia" w:ascii="仿宋_GB2312" w:hAnsi="仿宋_GB2312" w:eastAsia="仿宋_GB2312" w:cs="仿宋_GB2312"/>
          <w:sz w:val="28"/>
          <w:szCs w:val="28"/>
          <w:lang w:eastAsia="zh-CN"/>
        </w:rPr>
        <w:t>拆除</w:t>
      </w:r>
      <w:r>
        <w:rPr>
          <w:rFonts w:hint="eastAsia" w:ascii="仿宋_GB2312" w:hAnsi="仿宋_GB2312" w:eastAsia="仿宋_GB2312" w:cs="仿宋_GB2312"/>
          <w:sz w:val="28"/>
          <w:szCs w:val="28"/>
        </w:rPr>
        <w:t>回收项目为固定总价形式（一次性包死价），若实际情况与采购人所提供清单有任何出入均不得做变更，中标后不得以任何理由拒绝履约；</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3、建筑设施的拆除工作由</w:t>
      </w:r>
      <w:r>
        <w:rPr>
          <w:rFonts w:hint="eastAsia" w:ascii="仿宋_GB2312" w:hAnsi="仿宋_GB2312" w:eastAsia="仿宋_GB2312" w:cs="仿宋_GB2312"/>
          <w:sz w:val="28"/>
          <w:szCs w:val="28"/>
          <w:lang w:eastAsia="zh-CN"/>
        </w:rPr>
        <w:t>中标人</w:t>
      </w:r>
      <w:r>
        <w:rPr>
          <w:rFonts w:hint="eastAsia" w:ascii="仿宋_GB2312" w:hAnsi="仿宋_GB2312" w:eastAsia="仿宋_GB2312" w:cs="仿宋_GB2312"/>
          <w:sz w:val="28"/>
          <w:szCs w:val="28"/>
        </w:rPr>
        <w:t>负责实施</w:t>
      </w:r>
      <w:r>
        <w:rPr>
          <w:rFonts w:hint="eastAsia" w:ascii="仿宋_GB2312" w:hAnsi="仿宋_GB2312" w:eastAsia="仿宋_GB2312" w:cs="仿宋_GB2312"/>
          <w:sz w:val="28"/>
          <w:szCs w:val="28"/>
          <w:lang w:eastAsia="zh-CN"/>
        </w:rPr>
        <w:t>，拆除后可回收建材的可利用性采购人不予保证</w:t>
      </w:r>
      <w:r>
        <w:rPr>
          <w:rFonts w:hint="eastAsia" w:ascii="仿宋_GB2312" w:hAnsi="仿宋_GB2312" w:eastAsia="仿宋_GB2312" w:cs="仿宋_GB2312"/>
          <w:sz w:val="28"/>
          <w:szCs w:val="28"/>
        </w:rPr>
        <w:t>；中标人须</w:t>
      </w:r>
      <w:r>
        <w:rPr>
          <w:rFonts w:hint="eastAsia" w:ascii="仿宋_GB2312" w:hAnsi="仿宋_GB2312" w:eastAsia="仿宋_GB2312" w:cs="仿宋_GB2312"/>
          <w:sz w:val="28"/>
          <w:szCs w:val="28"/>
          <w:lang w:eastAsia="zh-CN"/>
        </w:rPr>
        <w:t>按行业规范持证作业并按制度要求办理动火证等方可施工，尽到安全义务，且</w:t>
      </w:r>
      <w:r>
        <w:rPr>
          <w:rFonts w:hint="eastAsia" w:ascii="仿宋_GB2312" w:hAnsi="仿宋_GB2312" w:eastAsia="仿宋_GB2312" w:cs="仿宋_GB2312"/>
          <w:sz w:val="28"/>
          <w:szCs w:val="28"/>
        </w:rPr>
        <w:t>所有费用由中标人自行承担；</w:t>
      </w:r>
    </w:p>
    <w:p>
      <w:pPr>
        <w:pStyle w:val="2"/>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4、安全文明施工与环境保护</w:t>
      </w:r>
    </w:p>
    <w:p>
      <w:pPr>
        <w:pStyle w:val="2"/>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4.1 项目安全生产的达标目标及相应事项的约定：中标人拆迁发热门诊时应确保施工人员安全作业、不得造成无关第三方人员的人身、财产安全损失；</w:t>
      </w:r>
    </w:p>
    <w:p>
      <w:pPr>
        <w:pStyle w:val="2"/>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4.2、文明施工：合同当事人对文明施工的要求：1、在整个施工过程中杜绝重大伤亡事故，创建安全文明施工现场。2、无条件配合六安市创建文明城市相关工作，不得因拆除、清运等施工过程中处置不当，造成对创城的负面影响，责任自负。</w:t>
      </w:r>
    </w:p>
    <w:p>
      <w:pPr>
        <w:numPr>
          <w:ilvl w:val="0"/>
          <w:numId w:val="0"/>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可回收建材的切割、分拣、绑扎、吊装、运输，不可回收的建筑垃圾清理外运等所有处理度品所必须的流程，产生的费用由中标人自行承担;</w:t>
      </w:r>
    </w:p>
    <w:p>
      <w:pPr>
        <w:numPr>
          <w:ilvl w:val="0"/>
          <w:numId w:val="0"/>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、中标人须在本项目合同签订后5个工作日内将全部合同价款一次性以转账形式转入采购人指定银行账户，投标人不得有任何异议，须在投标文件中作出相应承诺。</w:t>
      </w:r>
    </w:p>
    <w:p>
      <w:pPr>
        <w:pStyle w:val="35"/>
        <w:spacing w:after="0" w:line="480" w:lineRule="exact"/>
        <w:jc w:val="center"/>
        <w:rPr>
          <w:rFonts w:hint="eastAsia" w:ascii="仿宋_GB2312" w:hAnsi="仿宋_GB2312" w:eastAsia="仿宋_GB2312" w:cs="仿宋_GB2312"/>
          <w:b/>
          <w:bCs/>
          <w:snapToGrid w:val="0"/>
          <w:color w:val="000000"/>
          <w:kern w:val="0"/>
          <w:lang w:val="en-US" w:eastAsia="zh-CN"/>
        </w:rPr>
      </w:pPr>
      <w:r>
        <w:rPr>
          <w:rFonts w:hint="eastAsia" w:ascii="仿宋_GB2312" w:hAnsi="仿宋_GB2312" w:eastAsia="仿宋_GB2312" w:cs="仿宋_GB2312"/>
          <w:b/>
          <w:bCs/>
          <w:snapToGrid w:val="0"/>
          <w:color w:val="000000"/>
          <w:kern w:val="0"/>
          <w:lang w:val="en-US" w:eastAsia="zh-CN"/>
        </w:rPr>
        <w:t xml:space="preserve">  六安市中医院临时发热门诊拆除及建材回收项目清单</w:t>
      </w:r>
    </w:p>
    <w:tbl>
      <w:tblPr>
        <w:tblStyle w:val="14"/>
        <w:tblW w:w="888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3"/>
        <w:gridCol w:w="1656"/>
        <w:gridCol w:w="4288"/>
        <w:gridCol w:w="716"/>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33" w:type="dxa"/>
            <w:gridSpan w:val="4"/>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工程名称：临时发热门诊</w:t>
            </w:r>
          </w:p>
        </w:tc>
        <w:tc>
          <w:tcPr>
            <w:tcW w:w="1350" w:type="dxa"/>
            <w:tcBorders>
              <w:top w:val="nil"/>
              <w:left w:val="nil"/>
              <w:bottom w:val="single" w:color="000000" w:sz="8" w:space="0"/>
              <w:right w:val="nil"/>
            </w:tcBorders>
            <w:shd w:val="clear" w:color="auto" w:fill="auto"/>
            <w:vAlign w:val="center"/>
          </w:tcPr>
          <w:p>
            <w:pPr>
              <w:jc w:val="left"/>
              <w:rPr>
                <w:rFonts w:hint="eastAsia" w:ascii="仿宋_GB2312" w:hAnsi="仿宋_GB2312"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序号</w:t>
            </w:r>
          </w:p>
        </w:tc>
        <w:tc>
          <w:tcPr>
            <w:tcW w:w="1656"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材料名称</w:t>
            </w:r>
          </w:p>
        </w:tc>
        <w:tc>
          <w:tcPr>
            <w:tcW w:w="4288"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200" w:firstLineChars="50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材料特征描述</w:t>
            </w:r>
          </w:p>
        </w:tc>
        <w:tc>
          <w:tcPr>
            <w:tcW w:w="716"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计量</w:t>
            </w:r>
            <w:r>
              <w:rPr>
                <w:rFonts w:hint="eastAsia" w:ascii="仿宋_GB2312" w:hAnsi="仿宋_GB2312" w:eastAsia="仿宋_GB2312" w:cs="仿宋_GB2312"/>
                <w:i w:val="0"/>
                <w:iCs w:val="0"/>
                <w:color w:val="000000"/>
                <w:kern w:val="0"/>
                <w:sz w:val="24"/>
                <w:szCs w:val="24"/>
                <w:u w:val="none"/>
                <w:lang w:val="en-US" w:eastAsia="zh-CN"/>
              </w:rPr>
              <w:br w:type="textWrapping"/>
            </w:r>
            <w:r>
              <w:rPr>
                <w:rFonts w:hint="eastAsia" w:ascii="仿宋_GB2312" w:hAnsi="仿宋_GB2312" w:eastAsia="仿宋_GB2312" w:cs="仿宋_GB2312"/>
                <w:i w:val="0"/>
                <w:iCs w:val="0"/>
                <w:color w:val="000000"/>
                <w:kern w:val="0"/>
                <w:sz w:val="24"/>
                <w:szCs w:val="24"/>
                <w:u w:val="none"/>
                <w:lang w:val="en-US" w:eastAsia="zh-CN"/>
              </w:rPr>
              <w:t>单位</w:t>
            </w:r>
          </w:p>
        </w:tc>
        <w:tc>
          <w:tcPr>
            <w:tcW w:w="135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65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288"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71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656"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288"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716"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numPr>
                <w:ilvl w:val="0"/>
                <w:numId w:val="2"/>
              </w:numPr>
              <w:suppressLineNumbers w:val="0"/>
              <w:ind w:left="425" w:leftChars="0" w:hanging="425"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rPr>
            </w:pPr>
          </w:p>
        </w:tc>
        <w:tc>
          <w:tcPr>
            <w:tcW w:w="165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配线 WDZ-BYJ-2.5</w:t>
            </w:r>
          </w:p>
        </w:tc>
        <w:tc>
          <w:tcPr>
            <w:tcW w:w="4288"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1.敷设方式：穿管或桥架敷设</w:t>
            </w:r>
          </w:p>
        </w:tc>
        <w:tc>
          <w:tcPr>
            <w:tcW w:w="71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m</w:t>
            </w:r>
          </w:p>
        </w:tc>
        <w:tc>
          <w:tcPr>
            <w:tcW w:w="1350"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807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numPr>
                <w:ilvl w:val="0"/>
                <w:numId w:val="2"/>
              </w:numPr>
              <w:suppressLineNumbers w:val="0"/>
              <w:ind w:left="425" w:leftChars="0" w:hanging="425"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rPr>
            </w:pPr>
          </w:p>
        </w:tc>
        <w:tc>
          <w:tcPr>
            <w:tcW w:w="165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配线 WDZ-BYJ-4</w:t>
            </w:r>
          </w:p>
        </w:tc>
        <w:tc>
          <w:tcPr>
            <w:tcW w:w="4288"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1.敷设方式：穿管或桥架敷设</w:t>
            </w:r>
          </w:p>
        </w:tc>
        <w:tc>
          <w:tcPr>
            <w:tcW w:w="71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m</w:t>
            </w:r>
          </w:p>
        </w:tc>
        <w:tc>
          <w:tcPr>
            <w:tcW w:w="1350"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627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numPr>
                <w:ilvl w:val="0"/>
                <w:numId w:val="2"/>
              </w:numPr>
              <w:suppressLineNumbers w:val="0"/>
              <w:ind w:left="425" w:leftChars="0" w:hanging="425"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rPr>
            </w:pPr>
          </w:p>
        </w:tc>
        <w:tc>
          <w:tcPr>
            <w:tcW w:w="165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双联单控开关</w:t>
            </w:r>
          </w:p>
        </w:tc>
        <w:tc>
          <w:tcPr>
            <w:tcW w:w="4288"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1.型号：86型</w:t>
            </w:r>
          </w:p>
        </w:tc>
        <w:tc>
          <w:tcPr>
            <w:tcW w:w="71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个</w:t>
            </w:r>
          </w:p>
        </w:tc>
        <w:tc>
          <w:tcPr>
            <w:tcW w:w="1350"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numPr>
                <w:ilvl w:val="0"/>
                <w:numId w:val="2"/>
              </w:numPr>
              <w:suppressLineNumbers w:val="0"/>
              <w:ind w:left="425" w:leftChars="0" w:hanging="425"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rPr>
            </w:pPr>
          </w:p>
        </w:tc>
        <w:tc>
          <w:tcPr>
            <w:tcW w:w="165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五孔插座</w:t>
            </w:r>
          </w:p>
        </w:tc>
        <w:tc>
          <w:tcPr>
            <w:tcW w:w="4288"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1.型号：86型</w:t>
            </w:r>
          </w:p>
        </w:tc>
        <w:tc>
          <w:tcPr>
            <w:tcW w:w="71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个</w:t>
            </w:r>
          </w:p>
        </w:tc>
        <w:tc>
          <w:tcPr>
            <w:tcW w:w="1350"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numPr>
                <w:ilvl w:val="0"/>
                <w:numId w:val="2"/>
              </w:numPr>
              <w:suppressLineNumbers w:val="0"/>
              <w:ind w:left="425" w:leftChars="0" w:hanging="425"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rPr>
            </w:pPr>
          </w:p>
        </w:tc>
        <w:tc>
          <w:tcPr>
            <w:tcW w:w="165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柜机插座</w:t>
            </w:r>
          </w:p>
        </w:tc>
        <w:tc>
          <w:tcPr>
            <w:tcW w:w="4288"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1.型号：86型</w:t>
            </w:r>
          </w:p>
        </w:tc>
        <w:tc>
          <w:tcPr>
            <w:tcW w:w="71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个</w:t>
            </w:r>
          </w:p>
        </w:tc>
        <w:tc>
          <w:tcPr>
            <w:tcW w:w="1350"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numPr>
                <w:ilvl w:val="0"/>
                <w:numId w:val="2"/>
              </w:numPr>
              <w:suppressLineNumbers w:val="0"/>
              <w:ind w:left="425" w:leftChars="0" w:hanging="425"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rPr>
            </w:pPr>
          </w:p>
        </w:tc>
        <w:tc>
          <w:tcPr>
            <w:tcW w:w="165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挂机插座</w:t>
            </w:r>
          </w:p>
        </w:tc>
        <w:tc>
          <w:tcPr>
            <w:tcW w:w="4288"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1.型号：86型</w:t>
            </w:r>
          </w:p>
        </w:tc>
        <w:tc>
          <w:tcPr>
            <w:tcW w:w="71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个</w:t>
            </w:r>
          </w:p>
        </w:tc>
        <w:tc>
          <w:tcPr>
            <w:tcW w:w="1350"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numPr>
                <w:ilvl w:val="0"/>
                <w:numId w:val="2"/>
              </w:numPr>
              <w:suppressLineNumbers w:val="0"/>
              <w:ind w:left="425" w:leftChars="0" w:hanging="425"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rPr>
            </w:pPr>
          </w:p>
        </w:tc>
        <w:tc>
          <w:tcPr>
            <w:tcW w:w="165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消毒机插座</w:t>
            </w:r>
          </w:p>
        </w:tc>
        <w:tc>
          <w:tcPr>
            <w:tcW w:w="4288"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1.型号：86型</w:t>
            </w:r>
          </w:p>
        </w:tc>
        <w:tc>
          <w:tcPr>
            <w:tcW w:w="71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个</w:t>
            </w:r>
          </w:p>
        </w:tc>
        <w:tc>
          <w:tcPr>
            <w:tcW w:w="1350"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numPr>
                <w:ilvl w:val="0"/>
                <w:numId w:val="2"/>
              </w:numPr>
              <w:suppressLineNumbers w:val="0"/>
              <w:ind w:left="425" w:leftChars="0" w:hanging="425"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rPr>
            </w:pPr>
          </w:p>
        </w:tc>
        <w:tc>
          <w:tcPr>
            <w:tcW w:w="165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接线盒</w:t>
            </w:r>
          </w:p>
        </w:tc>
        <w:tc>
          <w:tcPr>
            <w:tcW w:w="4288"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1.型号：86型</w:t>
            </w:r>
          </w:p>
        </w:tc>
        <w:tc>
          <w:tcPr>
            <w:tcW w:w="71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个</w:t>
            </w:r>
          </w:p>
        </w:tc>
        <w:tc>
          <w:tcPr>
            <w:tcW w:w="1350"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numPr>
                <w:ilvl w:val="0"/>
                <w:numId w:val="2"/>
              </w:numPr>
              <w:suppressLineNumbers w:val="0"/>
              <w:ind w:left="425" w:leftChars="0" w:hanging="425"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rPr>
            </w:pPr>
          </w:p>
        </w:tc>
        <w:tc>
          <w:tcPr>
            <w:tcW w:w="165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地台钢龙骨</w:t>
            </w:r>
          </w:p>
        </w:tc>
        <w:tc>
          <w:tcPr>
            <w:tcW w:w="4288"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 xml:space="preserve">1、方管80x40x1.4mm，横向间距450mm，纵向间距794mm。工作人员通道位置满铺 </w:t>
            </w:r>
            <w:r>
              <w:rPr>
                <w:rFonts w:hint="eastAsia" w:ascii="仿宋_GB2312" w:hAnsi="仿宋_GB2312" w:eastAsia="仿宋_GB2312" w:cs="仿宋_GB2312"/>
                <w:i w:val="0"/>
                <w:iCs w:val="0"/>
                <w:color w:val="000000"/>
                <w:kern w:val="0"/>
                <w:sz w:val="24"/>
                <w:szCs w:val="24"/>
                <w:u w:val="none"/>
                <w:lang w:val="en-US" w:eastAsia="zh-CN"/>
              </w:rPr>
              <w:br w:type="textWrapping"/>
            </w:r>
            <w:r>
              <w:rPr>
                <w:rFonts w:hint="eastAsia" w:ascii="仿宋_GB2312" w:hAnsi="仿宋_GB2312" w:eastAsia="仿宋_GB2312" w:cs="仿宋_GB2312"/>
                <w:i w:val="0"/>
                <w:iCs w:val="0"/>
                <w:color w:val="000000"/>
                <w:kern w:val="0"/>
                <w:sz w:val="24"/>
                <w:szCs w:val="24"/>
                <w:u w:val="none"/>
                <w:lang w:val="en-US" w:eastAsia="zh-CN"/>
              </w:rPr>
              <w:t xml:space="preserve">2、涂料：详见设计图纸 </w:t>
            </w:r>
          </w:p>
        </w:tc>
        <w:tc>
          <w:tcPr>
            <w:tcW w:w="71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m</w:t>
            </w:r>
          </w:p>
        </w:tc>
        <w:tc>
          <w:tcPr>
            <w:tcW w:w="1350"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2832.34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numPr>
                <w:ilvl w:val="0"/>
                <w:numId w:val="2"/>
              </w:numPr>
              <w:suppressLineNumbers w:val="0"/>
              <w:ind w:left="425" w:leftChars="0" w:hanging="425"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rPr>
            </w:pPr>
          </w:p>
        </w:tc>
        <w:tc>
          <w:tcPr>
            <w:tcW w:w="165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地台钢龙骨</w:t>
            </w:r>
          </w:p>
        </w:tc>
        <w:tc>
          <w:tcPr>
            <w:tcW w:w="4288"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 xml:space="preserve">1、通道对外坡道位置L50X5镀锌角钢 </w:t>
            </w:r>
            <w:r>
              <w:rPr>
                <w:rFonts w:hint="eastAsia" w:ascii="仿宋_GB2312" w:hAnsi="仿宋_GB2312" w:eastAsia="仿宋_GB2312" w:cs="仿宋_GB2312"/>
                <w:i w:val="0"/>
                <w:iCs w:val="0"/>
                <w:color w:val="000000"/>
                <w:kern w:val="0"/>
                <w:sz w:val="24"/>
                <w:szCs w:val="24"/>
                <w:u w:val="none"/>
                <w:lang w:val="en-US" w:eastAsia="zh-CN"/>
              </w:rPr>
              <w:br w:type="textWrapping"/>
            </w:r>
            <w:r>
              <w:rPr>
                <w:rFonts w:hint="eastAsia" w:ascii="仿宋_GB2312" w:hAnsi="仿宋_GB2312" w:eastAsia="仿宋_GB2312" w:cs="仿宋_GB2312"/>
                <w:i w:val="0"/>
                <w:iCs w:val="0"/>
                <w:color w:val="000000"/>
                <w:kern w:val="0"/>
                <w:sz w:val="24"/>
                <w:szCs w:val="24"/>
                <w:u w:val="none"/>
                <w:lang w:val="en-US" w:eastAsia="zh-CN"/>
              </w:rPr>
              <w:t>2、坡道位置满铺</w:t>
            </w:r>
          </w:p>
        </w:tc>
        <w:tc>
          <w:tcPr>
            <w:tcW w:w="71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m</w:t>
            </w:r>
          </w:p>
        </w:tc>
        <w:tc>
          <w:tcPr>
            <w:tcW w:w="1350"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numPr>
                <w:ilvl w:val="0"/>
                <w:numId w:val="2"/>
              </w:numPr>
              <w:suppressLineNumbers w:val="0"/>
              <w:ind w:left="425" w:leftChars="0" w:hanging="425"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rPr>
            </w:pPr>
          </w:p>
        </w:tc>
        <w:tc>
          <w:tcPr>
            <w:tcW w:w="165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地台挡板</w:t>
            </w:r>
          </w:p>
        </w:tc>
        <w:tc>
          <w:tcPr>
            <w:tcW w:w="4288"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1、龙骨侧边挡板（1mm镀锌钢板满包）</w:t>
            </w:r>
          </w:p>
        </w:tc>
        <w:tc>
          <w:tcPr>
            <w:tcW w:w="71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m2</w:t>
            </w:r>
          </w:p>
        </w:tc>
        <w:tc>
          <w:tcPr>
            <w:tcW w:w="1350"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20.46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numPr>
                <w:ilvl w:val="0"/>
                <w:numId w:val="2"/>
              </w:numPr>
              <w:suppressLineNumbers w:val="0"/>
              <w:ind w:left="425" w:leftChars="0" w:hanging="425"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rPr>
            </w:pPr>
          </w:p>
        </w:tc>
        <w:tc>
          <w:tcPr>
            <w:tcW w:w="165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木地台基层板</w:t>
            </w:r>
          </w:p>
        </w:tc>
        <w:tc>
          <w:tcPr>
            <w:tcW w:w="4288"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1、双层25厚度B1阻燃E1环保胶合板</w:t>
            </w:r>
          </w:p>
        </w:tc>
        <w:tc>
          <w:tcPr>
            <w:tcW w:w="71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m2</w:t>
            </w:r>
          </w:p>
        </w:tc>
        <w:tc>
          <w:tcPr>
            <w:tcW w:w="1350"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240.78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numPr>
                <w:ilvl w:val="0"/>
                <w:numId w:val="2"/>
              </w:numPr>
              <w:suppressLineNumbers w:val="0"/>
              <w:ind w:left="425" w:leftChars="0" w:hanging="425"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rPr>
            </w:pPr>
          </w:p>
        </w:tc>
        <w:tc>
          <w:tcPr>
            <w:tcW w:w="165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强化地板面层</w:t>
            </w:r>
          </w:p>
        </w:tc>
        <w:tc>
          <w:tcPr>
            <w:tcW w:w="4288"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 xml:space="preserve">1、12厚专用耐磨防水强化地板 </w:t>
            </w:r>
            <w:r>
              <w:rPr>
                <w:rFonts w:hint="eastAsia" w:ascii="仿宋_GB2312" w:hAnsi="仿宋_GB2312" w:eastAsia="仿宋_GB2312" w:cs="仿宋_GB2312"/>
                <w:i w:val="0"/>
                <w:iCs w:val="0"/>
                <w:color w:val="000000"/>
                <w:kern w:val="0"/>
                <w:sz w:val="24"/>
                <w:szCs w:val="24"/>
                <w:u w:val="none"/>
                <w:lang w:val="en-US" w:eastAsia="zh-CN"/>
              </w:rPr>
              <w:br w:type="textWrapping"/>
            </w:r>
            <w:r>
              <w:rPr>
                <w:rFonts w:hint="eastAsia" w:ascii="仿宋_GB2312" w:hAnsi="仿宋_GB2312" w:eastAsia="仿宋_GB2312" w:cs="仿宋_GB2312"/>
                <w:i w:val="0"/>
                <w:iCs w:val="0"/>
                <w:color w:val="000000"/>
                <w:kern w:val="0"/>
                <w:sz w:val="24"/>
                <w:szCs w:val="24"/>
                <w:u w:val="none"/>
                <w:lang w:val="en-US" w:eastAsia="zh-CN"/>
              </w:rPr>
              <w:t xml:space="preserve">2、木地板专用防潮膜 </w:t>
            </w:r>
            <w:r>
              <w:rPr>
                <w:rFonts w:hint="eastAsia" w:ascii="仿宋_GB2312" w:hAnsi="仿宋_GB2312" w:eastAsia="仿宋_GB2312" w:cs="仿宋_GB2312"/>
                <w:i w:val="0"/>
                <w:iCs w:val="0"/>
                <w:color w:val="000000"/>
                <w:kern w:val="0"/>
                <w:sz w:val="24"/>
                <w:szCs w:val="24"/>
                <w:u w:val="none"/>
                <w:lang w:val="en-US" w:eastAsia="zh-CN"/>
              </w:rPr>
              <w:br w:type="textWrapping"/>
            </w:r>
            <w:r>
              <w:rPr>
                <w:rFonts w:hint="eastAsia" w:ascii="仿宋_GB2312" w:hAnsi="仿宋_GB2312" w:eastAsia="仿宋_GB2312" w:cs="仿宋_GB2312"/>
                <w:i w:val="0"/>
                <w:iCs w:val="0"/>
                <w:color w:val="000000"/>
                <w:kern w:val="0"/>
                <w:sz w:val="24"/>
                <w:szCs w:val="24"/>
                <w:u w:val="none"/>
                <w:lang w:val="en-US" w:eastAsia="zh-CN"/>
              </w:rPr>
              <w:t>3、位置：除卫生间以外房间</w:t>
            </w:r>
          </w:p>
        </w:tc>
        <w:tc>
          <w:tcPr>
            <w:tcW w:w="71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m2</w:t>
            </w:r>
          </w:p>
        </w:tc>
        <w:tc>
          <w:tcPr>
            <w:tcW w:w="1350"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223.08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numPr>
                <w:ilvl w:val="0"/>
                <w:numId w:val="2"/>
              </w:numPr>
              <w:suppressLineNumbers w:val="0"/>
              <w:ind w:left="425" w:leftChars="0" w:hanging="425"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rPr>
            </w:pPr>
          </w:p>
        </w:tc>
        <w:tc>
          <w:tcPr>
            <w:tcW w:w="165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块料楼地面</w:t>
            </w:r>
          </w:p>
        </w:tc>
        <w:tc>
          <w:tcPr>
            <w:tcW w:w="4288"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 xml:space="preserve">1、300*300地砖地面（地砖专用粘接剂粘接） </w:t>
            </w:r>
            <w:r>
              <w:rPr>
                <w:rFonts w:hint="eastAsia" w:ascii="仿宋_GB2312" w:hAnsi="仿宋_GB2312" w:eastAsia="仿宋_GB2312" w:cs="仿宋_GB2312"/>
                <w:i w:val="0"/>
                <w:iCs w:val="0"/>
                <w:color w:val="000000"/>
                <w:kern w:val="0"/>
                <w:sz w:val="24"/>
                <w:szCs w:val="24"/>
                <w:u w:val="none"/>
                <w:lang w:val="en-US" w:eastAsia="zh-CN"/>
              </w:rPr>
              <w:br w:type="textWrapping"/>
            </w:r>
            <w:r>
              <w:rPr>
                <w:rFonts w:hint="eastAsia" w:ascii="仿宋_GB2312" w:hAnsi="仿宋_GB2312" w:eastAsia="仿宋_GB2312" w:cs="仿宋_GB2312"/>
                <w:i w:val="0"/>
                <w:iCs w:val="0"/>
                <w:color w:val="000000"/>
                <w:kern w:val="0"/>
                <w:sz w:val="24"/>
                <w:szCs w:val="24"/>
                <w:u w:val="none"/>
                <w:lang w:val="en-US" w:eastAsia="zh-CN"/>
              </w:rPr>
              <w:t xml:space="preserve">2、最薄处20mm厚1:3水泥砂浆1%找坡 </w:t>
            </w:r>
            <w:r>
              <w:rPr>
                <w:rFonts w:hint="eastAsia" w:ascii="仿宋_GB2312" w:hAnsi="仿宋_GB2312" w:eastAsia="仿宋_GB2312" w:cs="仿宋_GB2312"/>
                <w:i w:val="0"/>
                <w:iCs w:val="0"/>
                <w:color w:val="000000"/>
                <w:kern w:val="0"/>
                <w:sz w:val="24"/>
                <w:szCs w:val="24"/>
                <w:u w:val="none"/>
                <w:lang w:val="en-US" w:eastAsia="zh-CN"/>
              </w:rPr>
              <w:br w:type="textWrapping"/>
            </w:r>
            <w:r>
              <w:rPr>
                <w:rFonts w:hint="eastAsia" w:ascii="仿宋_GB2312" w:hAnsi="仿宋_GB2312" w:eastAsia="仿宋_GB2312" w:cs="仿宋_GB2312"/>
                <w:i w:val="0"/>
                <w:iCs w:val="0"/>
                <w:color w:val="000000"/>
                <w:kern w:val="0"/>
                <w:sz w:val="24"/>
                <w:szCs w:val="24"/>
                <w:u w:val="none"/>
                <w:lang w:val="en-US" w:eastAsia="zh-CN"/>
              </w:rPr>
              <w:t xml:space="preserve">3、位置：卫生间 </w:t>
            </w:r>
          </w:p>
        </w:tc>
        <w:tc>
          <w:tcPr>
            <w:tcW w:w="71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m2</w:t>
            </w:r>
          </w:p>
        </w:tc>
        <w:tc>
          <w:tcPr>
            <w:tcW w:w="1350"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numPr>
                <w:ilvl w:val="0"/>
                <w:numId w:val="2"/>
              </w:numPr>
              <w:suppressLineNumbers w:val="0"/>
              <w:ind w:left="425" w:leftChars="0" w:hanging="425"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rPr>
            </w:pPr>
          </w:p>
        </w:tc>
        <w:tc>
          <w:tcPr>
            <w:tcW w:w="165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成品踢脚线</w:t>
            </w:r>
          </w:p>
        </w:tc>
        <w:tc>
          <w:tcPr>
            <w:tcW w:w="4288"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rPr>
            </w:pPr>
          </w:p>
        </w:tc>
        <w:tc>
          <w:tcPr>
            <w:tcW w:w="71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m</w:t>
            </w:r>
          </w:p>
        </w:tc>
        <w:tc>
          <w:tcPr>
            <w:tcW w:w="1350"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numPr>
                <w:ilvl w:val="0"/>
                <w:numId w:val="2"/>
              </w:numPr>
              <w:suppressLineNumbers w:val="0"/>
              <w:ind w:left="425" w:leftChars="0" w:hanging="425"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rPr>
            </w:pPr>
          </w:p>
        </w:tc>
        <w:tc>
          <w:tcPr>
            <w:tcW w:w="165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钢柱</w:t>
            </w:r>
          </w:p>
        </w:tc>
        <w:tc>
          <w:tcPr>
            <w:tcW w:w="4288"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 xml:space="preserve">1、镀锌钢管40x80x1.4mm、镀锌钢管100x100x6mm立柱(大厅两根) </w:t>
            </w:r>
            <w:r>
              <w:rPr>
                <w:rFonts w:hint="eastAsia" w:ascii="仿宋_GB2312" w:hAnsi="仿宋_GB2312" w:eastAsia="仿宋_GB2312" w:cs="仿宋_GB2312"/>
                <w:i w:val="0"/>
                <w:iCs w:val="0"/>
                <w:color w:val="000000"/>
                <w:kern w:val="0"/>
                <w:sz w:val="24"/>
                <w:szCs w:val="24"/>
                <w:u w:val="none"/>
                <w:lang w:val="en-US" w:eastAsia="zh-CN"/>
              </w:rPr>
              <w:br w:type="textWrapping"/>
            </w:r>
            <w:r>
              <w:rPr>
                <w:rFonts w:hint="eastAsia" w:ascii="仿宋_GB2312" w:hAnsi="仿宋_GB2312" w:eastAsia="仿宋_GB2312" w:cs="仿宋_GB2312"/>
                <w:i w:val="0"/>
                <w:iCs w:val="0"/>
                <w:color w:val="000000"/>
                <w:kern w:val="0"/>
                <w:sz w:val="24"/>
                <w:szCs w:val="24"/>
                <w:u w:val="none"/>
                <w:lang w:val="en-US" w:eastAsia="zh-CN"/>
              </w:rPr>
              <w:t>2、涂料：详见设计图纸</w:t>
            </w:r>
          </w:p>
        </w:tc>
        <w:tc>
          <w:tcPr>
            <w:tcW w:w="71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t</w:t>
            </w:r>
          </w:p>
        </w:tc>
        <w:tc>
          <w:tcPr>
            <w:tcW w:w="1350"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0.981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numPr>
                <w:ilvl w:val="0"/>
                <w:numId w:val="2"/>
              </w:numPr>
              <w:suppressLineNumbers w:val="0"/>
              <w:ind w:left="425" w:leftChars="0" w:hanging="425"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rPr>
            </w:pPr>
          </w:p>
        </w:tc>
        <w:tc>
          <w:tcPr>
            <w:tcW w:w="165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钢梁</w:t>
            </w:r>
          </w:p>
        </w:tc>
        <w:tc>
          <w:tcPr>
            <w:tcW w:w="4288"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 xml:space="preserve">1、镀锌钢管80x40x1.4mm </w:t>
            </w:r>
            <w:r>
              <w:rPr>
                <w:rFonts w:hint="eastAsia" w:ascii="仿宋_GB2312" w:hAnsi="仿宋_GB2312" w:eastAsia="仿宋_GB2312" w:cs="仿宋_GB2312"/>
                <w:i w:val="0"/>
                <w:iCs w:val="0"/>
                <w:color w:val="000000"/>
                <w:kern w:val="0"/>
                <w:sz w:val="24"/>
                <w:szCs w:val="24"/>
                <w:u w:val="none"/>
                <w:lang w:val="en-US" w:eastAsia="zh-CN"/>
              </w:rPr>
              <w:br w:type="textWrapping"/>
            </w:r>
            <w:r>
              <w:rPr>
                <w:rFonts w:hint="eastAsia" w:ascii="仿宋_GB2312" w:hAnsi="仿宋_GB2312" w:eastAsia="仿宋_GB2312" w:cs="仿宋_GB2312"/>
                <w:i w:val="0"/>
                <w:iCs w:val="0"/>
                <w:color w:val="000000"/>
                <w:kern w:val="0"/>
                <w:sz w:val="24"/>
                <w:szCs w:val="24"/>
                <w:u w:val="none"/>
                <w:lang w:val="en-US" w:eastAsia="zh-CN"/>
              </w:rPr>
              <w:t>2、涂料：详见设计图纸</w:t>
            </w:r>
          </w:p>
        </w:tc>
        <w:tc>
          <w:tcPr>
            <w:tcW w:w="71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t</w:t>
            </w:r>
          </w:p>
        </w:tc>
        <w:tc>
          <w:tcPr>
            <w:tcW w:w="1350"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0.827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numPr>
                <w:ilvl w:val="0"/>
                <w:numId w:val="2"/>
              </w:numPr>
              <w:suppressLineNumbers w:val="0"/>
              <w:ind w:left="425" w:leftChars="0" w:hanging="425"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rPr>
            </w:pPr>
          </w:p>
        </w:tc>
        <w:tc>
          <w:tcPr>
            <w:tcW w:w="165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连接件钢板</w:t>
            </w:r>
          </w:p>
        </w:tc>
        <w:tc>
          <w:tcPr>
            <w:tcW w:w="4288"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 xml:space="preserve">1、详见设计图纸 </w:t>
            </w:r>
            <w:r>
              <w:rPr>
                <w:rFonts w:hint="eastAsia" w:ascii="仿宋_GB2312" w:hAnsi="仿宋_GB2312" w:eastAsia="仿宋_GB2312" w:cs="仿宋_GB2312"/>
                <w:i w:val="0"/>
                <w:iCs w:val="0"/>
                <w:color w:val="000000"/>
                <w:kern w:val="0"/>
                <w:sz w:val="24"/>
                <w:szCs w:val="24"/>
                <w:u w:val="none"/>
                <w:lang w:val="en-US" w:eastAsia="zh-CN"/>
              </w:rPr>
              <w:br w:type="textWrapping"/>
            </w:r>
            <w:r>
              <w:rPr>
                <w:rFonts w:hint="eastAsia" w:ascii="仿宋_GB2312" w:hAnsi="仿宋_GB2312" w:eastAsia="仿宋_GB2312" w:cs="仿宋_GB2312"/>
                <w:i w:val="0"/>
                <w:iCs w:val="0"/>
                <w:color w:val="000000"/>
                <w:kern w:val="0"/>
                <w:sz w:val="24"/>
                <w:szCs w:val="24"/>
                <w:u w:val="none"/>
                <w:lang w:val="en-US" w:eastAsia="zh-CN"/>
              </w:rPr>
              <w:t>2、涂料：详见设计图纸</w:t>
            </w:r>
          </w:p>
        </w:tc>
        <w:tc>
          <w:tcPr>
            <w:tcW w:w="71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t</w:t>
            </w:r>
          </w:p>
        </w:tc>
        <w:tc>
          <w:tcPr>
            <w:tcW w:w="1350"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0.51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numPr>
                <w:ilvl w:val="0"/>
                <w:numId w:val="2"/>
              </w:numPr>
              <w:suppressLineNumbers w:val="0"/>
              <w:ind w:left="425" w:leftChars="0" w:hanging="425"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rPr>
            </w:pPr>
          </w:p>
        </w:tc>
        <w:tc>
          <w:tcPr>
            <w:tcW w:w="165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钢屋架</w:t>
            </w:r>
          </w:p>
        </w:tc>
        <w:tc>
          <w:tcPr>
            <w:tcW w:w="4288"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 xml:space="preserve">1、镀锌钢管40x80x1.4mm </w:t>
            </w:r>
            <w:r>
              <w:rPr>
                <w:rFonts w:hint="eastAsia" w:ascii="仿宋_GB2312" w:hAnsi="仿宋_GB2312" w:eastAsia="仿宋_GB2312" w:cs="仿宋_GB2312"/>
                <w:i w:val="0"/>
                <w:iCs w:val="0"/>
                <w:color w:val="000000"/>
                <w:kern w:val="0"/>
                <w:sz w:val="24"/>
                <w:szCs w:val="24"/>
                <w:u w:val="none"/>
                <w:lang w:val="en-US" w:eastAsia="zh-CN"/>
              </w:rPr>
              <w:br w:type="textWrapping"/>
            </w:r>
            <w:r>
              <w:rPr>
                <w:rFonts w:hint="eastAsia" w:ascii="仿宋_GB2312" w:hAnsi="仿宋_GB2312" w:eastAsia="仿宋_GB2312" w:cs="仿宋_GB2312"/>
                <w:i w:val="0"/>
                <w:iCs w:val="0"/>
                <w:color w:val="000000"/>
                <w:kern w:val="0"/>
                <w:sz w:val="24"/>
                <w:szCs w:val="24"/>
                <w:u w:val="none"/>
                <w:lang w:val="en-US" w:eastAsia="zh-CN"/>
              </w:rPr>
              <w:t>2、涂料：详见设计图纸</w:t>
            </w:r>
          </w:p>
        </w:tc>
        <w:tc>
          <w:tcPr>
            <w:tcW w:w="71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t</w:t>
            </w:r>
          </w:p>
        </w:tc>
        <w:tc>
          <w:tcPr>
            <w:tcW w:w="1350"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0.588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numPr>
                <w:ilvl w:val="0"/>
                <w:numId w:val="2"/>
              </w:numPr>
              <w:suppressLineNumbers w:val="0"/>
              <w:ind w:left="425" w:leftChars="0" w:hanging="425"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rPr>
            </w:pPr>
          </w:p>
        </w:tc>
        <w:tc>
          <w:tcPr>
            <w:tcW w:w="165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钢檩条</w:t>
            </w:r>
          </w:p>
        </w:tc>
        <w:tc>
          <w:tcPr>
            <w:tcW w:w="4288"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 xml:space="preserve">1、镀锌钢管40x80x1.4mm，间距300mm布置。 </w:t>
            </w:r>
            <w:r>
              <w:rPr>
                <w:rFonts w:hint="eastAsia" w:ascii="仿宋_GB2312" w:hAnsi="仿宋_GB2312" w:eastAsia="仿宋_GB2312" w:cs="仿宋_GB2312"/>
                <w:i w:val="0"/>
                <w:iCs w:val="0"/>
                <w:color w:val="000000"/>
                <w:kern w:val="0"/>
                <w:sz w:val="24"/>
                <w:szCs w:val="24"/>
                <w:u w:val="none"/>
                <w:lang w:val="en-US" w:eastAsia="zh-CN"/>
              </w:rPr>
              <w:br w:type="textWrapping"/>
            </w:r>
            <w:r>
              <w:rPr>
                <w:rFonts w:hint="eastAsia" w:ascii="仿宋_GB2312" w:hAnsi="仿宋_GB2312" w:eastAsia="仿宋_GB2312" w:cs="仿宋_GB2312"/>
                <w:i w:val="0"/>
                <w:iCs w:val="0"/>
                <w:color w:val="000000"/>
                <w:kern w:val="0"/>
                <w:sz w:val="24"/>
                <w:szCs w:val="24"/>
                <w:u w:val="none"/>
                <w:lang w:val="en-US" w:eastAsia="zh-CN"/>
              </w:rPr>
              <w:t>2、涂料：详见设计图纸</w:t>
            </w:r>
          </w:p>
        </w:tc>
        <w:tc>
          <w:tcPr>
            <w:tcW w:w="71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t</w:t>
            </w:r>
          </w:p>
        </w:tc>
        <w:tc>
          <w:tcPr>
            <w:tcW w:w="1350"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2.184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numPr>
                <w:ilvl w:val="0"/>
                <w:numId w:val="2"/>
              </w:numPr>
              <w:suppressLineNumbers w:val="0"/>
              <w:ind w:left="425" w:leftChars="0" w:hanging="425"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rPr>
            </w:pPr>
          </w:p>
        </w:tc>
        <w:tc>
          <w:tcPr>
            <w:tcW w:w="165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80厚防火岩棉夹芯板墙</w:t>
            </w:r>
          </w:p>
        </w:tc>
        <w:tc>
          <w:tcPr>
            <w:tcW w:w="4288"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rPr>
            </w:pPr>
          </w:p>
        </w:tc>
        <w:tc>
          <w:tcPr>
            <w:tcW w:w="71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m2</w:t>
            </w:r>
          </w:p>
        </w:tc>
        <w:tc>
          <w:tcPr>
            <w:tcW w:w="1350"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449.02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numPr>
                <w:ilvl w:val="0"/>
                <w:numId w:val="2"/>
              </w:numPr>
              <w:suppressLineNumbers w:val="0"/>
              <w:ind w:left="425" w:leftChars="0" w:hanging="425"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rPr>
            </w:pPr>
          </w:p>
        </w:tc>
        <w:tc>
          <w:tcPr>
            <w:tcW w:w="165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钢制防盗门</w:t>
            </w:r>
          </w:p>
        </w:tc>
        <w:tc>
          <w:tcPr>
            <w:tcW w:w="4288"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 xml:space="preserve">1、钢制防盗门 </w:t>
            </w:r>
            <w:r>
              <w:rPr>
                <w:rFonts w:hint="eastAsia" w:ascii="仿宋_GB2312" w:hAnsi="仿宋_GB2312" w:eastAsia="仿宋_GB2312" w:cs="仿宋_GB2312"/>
                <w:i w:val="0"/>
                <w:iCs w:val="0"/>
                <w:color w:val="000000"/>
                <w:kern w:val="0"/>
                <w:sz w:val="24"/>
                <w:szCs w:val="24"/>
                <w:u w:val="none"/>
                <w:lang w:val="en-US" w:eastAsia="zh-CN"/>
              </w:rPr>
              <w:br w:type="textWrapping"/>
            </w:r>
            <w:r>
              <w:rPr>
                <w:rFonts w:hint="eastAsia" w:ascii="仿宋_GB2312" w:hAnsi="仿宋_GB2312" w:eastAsia="仿宋_GB2312" w:cs="仿宋_GB2312"/>
                <w:i w:val="0"/>
                <w:iCs w:val="0"/>
                <w:color w:val="000000"/>
                <w:kern w:val="0"/>
                <w:sz w:val="24"/>
                <w:szCs w:val="24"/>
                <w:u w:val="none"/>
                <w:lang w:val="en-US" w:eastAsia="zh-CN"/>
              </w:rPr>
              <w:t>2、需先开门洞，洞口采用镀锌钢管40x80x1.4mm加固处理</w:t>
            </w:r>
          </w:p>
        </w:tc>
        <w:tc>
          <w:tcPr>
            <w:tcW w:w="71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m2</w:t>
            </w:r>
          </w:p>
        </w:tc>
        <w:tc>
          <w:tcPr>
            <w:tcW w:w="1350"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41.07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numPr>
                <w:ilvl w:val="0"/>
                <w:numId w:val="2"/>
              </w:numPr>
              <w:suppressLineNumbers w:val="0"/>
              <w:ind w:left="425" w:leftChars="0" w:hanging="425"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rPr>
            </w:pPr>
          </w:p>
        </w:tc>
        <w:tc>
          <w:tcPr>
            <w:tcW w:w="165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钢制甲级防火门</w:t>
            </w:r>
          </w:p>
        </w:tc>
        <w:tc>
          <w:tcPr>
            <w:tcW w:w="4288"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 xml:space="preserve">1、钢制甲级防火门 </w:t>
            </w:r>
            <w:r>
              <w:rPr>
                <w:rFonts w:hint="eastAsia" w:ascii="仿宋_GB2312" w:hAnsi="仿宋_GB2312" w:eastAsia="仿宋_GB2312" w:cs="仿宋_GB2312"/>
                <w:i w:val="0"/>
                <w:iCs w:val="0"/>
                <w:color w:val="000000"/>
                <w:kern w:val="0"/>
                <w:sz w:val="24"/>
                <w:szCs w:val="24"/>
                <w:u w:val="none"/>
                <w:lang w:val="en-US" w:eastAsia="zh-CN"/>
              </w:rPr>
              <w:br w:type="textWrapping"/>
            </w:r>
            <w:r>
              <w:rPr>
                <w:rFonts w:hint="eastAsia" w:ascii="仿宋_GB2312" w:hAnsi="仿宋_GB2312" w:eastAsia="仿宋_GB2312" w:cs="仿宋_GB2312"/>
                <w:i w:val="0"/>
                <w:iCs w:val="0"/>
                <w:color w:val="000000"/>
                <w:kern w:val="0"/>
                <w:sz w:val="24"/>
                <w:szCs w:val="24"/>
                <w:u w:val="none"/>
                <w:lang w:val="en-US" w:eastAsia="zh-CN"/>
              </w:rPr>
              <w:t>2、需先开门洞，洞口采用镀锌钢管40x80x1.4mm加固处理</w:t>
            </w:r>
          </w:p>
        </w:tc>
        <w:tc>
          <w:tcPr>
            <w:tcW w:w="71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m2</w:t>
            </w:r>
          </w:p>
        </w:tc>
        <w:tc>
          <w:tcPr>
            <w:tcW w:w="1350"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5.49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numPr>
                <w:ilvl w:val="0"/>
                <w:numId w:val="2"/>
              </w:numPr>
              <w:suppressLineNumbers w:val="0"/>
              <w:ind w:left="425" w:leftChars="0" w:hanging="425"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rPr>
            </w:pPr>
          </w:p>
        </w:tc>
        <w:tc>
          <w:tcPr>
            <w:tcW w:w="165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铝合金玻璃门</w:t>
            </w:r>
          </w:p>
        </w:tc>
        <w:tc>
          <w:tcPr>
            <w:tcW w:w="4288"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rPr>
            </w:pPr>
          </w:p>
        </w:tc>
        <w:tc>
          <w:tcPr>
            <w:tcW w:w="71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m2</w:t>
            </w:r>
          </w:p>
        </w:tc>
        <w:tc>
          <w:tcPr>
            <w:tcW w:w="1350"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numPr>
                <w:ilvl w:val="0"/>
                <w:numId w:val="2"/>
              </w:numPr>
              <w:suppressLineNumbers w:val="0"/>
              <w:ind w:left="425" w:leftChars="0" w:hanging="425"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rPr>
            </w:pPr>
          </w:p>
        </w:tc>
        <w:tc>
          <w:tcPr>
            <w:tcW w:w="165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成品木门窗套</w:t>
            </w:r>
          </w:p>
        </w:tc>
        <w:tc>
          <w:tcPr>
            <w:tcW w:w="4288"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rPr>
            </w:pPr>
          </w:p>
        </w:tc>
        <w:tc>
          <w:tcPr>
            <w:tcW w:w="71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m</w:t>
            </w:r>
          </w:p>
        </w:tc>
        <w:tc>
          <w:tcPr>
            <w:tcW w:w="1350"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numPr>
                <w:ilvl w:val="0"/>
                <w:numId w:val="2"/>
              </w:numPr>
              <w:suppressLineNumbers w:val="0"/>
              <w:ind w:left="425" w:leftChars="0" w:hanging="425"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rPr>
            </w:pPr>
          </w:p>
        </w:tc>
        <w:tc>
          <w:tcPr>
            <w:tcW w:w="165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断桥隔热铝合金窗</w:t>
            </w:r>
          </w:p>
        </w:tc>
        <w:tc>
          <w:tcPr>
            <w:tcW w:w="4288"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 xml:space="preserve">1、断桥隔热铝合金窗 </w:t>
            </w:r>
            <w:r>
              <w:rPr>
                <w:rFonts w:hint="eastAsia" w:ascii="仿宋_GB2312" w:hAnsi="仿宋_GB2312" w:eastAsia="仿宋_GB2312" w:cs="仿宋_GB2312"/>
                <w:i w:val="0"/>
                <w:iCs w:val="0"/>
                <w:color w:val="000000"/>
                <w:kern w:val="0"/>
                <w:sz w:val="24"/>
                <w:szCs w:val="24"/>
                <w:u w:val="none"/>
                <w:lang w:val="en-US" w:eastAsia="zh-CN"/>
              </w:rPr>
              <w:br w:type="textWrapping"/>
            </w:r>
            <w:r>
              <w:rPr>
                <w:rFonts w:hint="eastAsia" w:ascii="仿宋_GB2312" w:hAnsi="仿宋_GB2312" w:eastAsia="仿宋_GB2312" w:cs="仿宋_GB2312"/>
                <w:i w:val="0"/>
                <w:iCs w:val="0"/>
                <w:color w:val="000000"/>
                <w:kern w:val="0"/>
                <w:sz w:val="24"/>
                <w:szCs w:val="24"/>
                <w:u w:val="none"/>
                <w:lang w:val="en-US" w:eastAsia="zh-CN"/>
              </w:rPr>
              <w:t>2、需先开窗洞，洞口采用镀锌钢管40x80x1.4mm加固处理</w:t>
            </w:r>
          </w:p>
        </w:tc>
        <w:tc>
          <w:tcPr>
            <w:tcW w:w="71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m2</w:t>
            </w:r>
          </w:p>
        </w:tc>
        <w:tc>
          <w:tcPr>
            <w:tcW w:w="1350"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16.65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numPr>
                <w:ilvl w:val="0"/>
                <w:numId w:val="2"/>
              </w:numPr>
              <w:suppressLineNumbers w:val="0"/>
              <w:ind w:left="425" w:leftChars="0" w:hanging="425"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rPr>
            </w:pPr>
          </w:p>
        </w:tc>
        <w:tc>
          <w:tcPr>
            <w:tcW w:w="165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普通铝合金窗</w:t>
            </w:r>
          </w:p>
        </w:tc>
        <w:tc>
          <w:tcPr>
            <w:tcW w:w="4288"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 xml:space="preserve">1、普通铝合金窗 </w:t>
            </w:r>
            <w:r>
              <w:rPr>
                <w:rFonts w:hint="eastAsia" w:ascii="仿宋_GB2312" w:hAnsi="仿宋_GB2312" w:eastAsia="仿宋_GB2312" w:cs="仿宋_GB2312"/>
                <w:i w:val="0"/>
                <w:iCs w:val="0"/>
                <w:color w:val="000000"/>
                <w:kern w:val="0"/>
                <w:sz w:val="24"/>
                <w:szCs w:val="24"/>
                <w:u w:val="none"/>
                <w:lang w:val="en-US" w:eastAsia="zh-CN"/>
              </w:rPr>
              <w:br w:type="textWrapping"/>
            </w:r>
            <w:r>
              <w:rPr>
                <w:rFonts w:hint="eastAsia" w:ascii="仿宋_GB2312" w:hAnsi="仿宋_GB2312" w:eastAsia="仿宋_GB2312" w:cs="仿宋_GB2312"/>
                <w:i w:val="0"/>
                <w:iCs w:val="0"/>
                <w:color w:val="000000"/>
                <w:kern w:val="0"/>
                <w:sz w:val="24"/>
                <w:szCs w:val="24"/>
                <w:u w:val="none"/>
                <w:lang w:val="en-US" w:eastAsia="zh-CN"/>
              </w:rPr>
              <w:t>2、需先开窗洞，洞口采用镀锌钢管40x80x1.4mm加固处理</w:t>
            </w:r>
          </w:p>
        </w:tc>
        <w:tc>
          <w:tcPr>
            <w:tcW w:w="71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m2</w:t>
            </w:r>
          </w:p>
        </w:tc>
        <w:tc>
          <w:tcPr>
            <w:tcW w:w="1350"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numPr>
                <w:ilvl w:val="0"/>
                <w:numId w:val="2"/>
              </w:numPr>
              <w:suppressLineNumbers w:val="0"/>
              <w:ind w:left="425" w:leftChars="0" w:hanging="425"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rPr>
            </w:pPr>
          </w:p>
        </w:tc>
        <w:tc>
          <w:tcPr>
            <w:tcW w:w="165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不锈钢防盗窗</w:t>
            </w:r>
          </w:p>
        </w:tc>
        <w:tc>
          <w:tcPr>
            <w:tcW w:w="4288"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rPr>
            </w:pPr>
          </w:p>
        </w:tc>
        <w:tc>
          <w:tcPr>
            <w:tcW w:w="71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m2</w:t>
            </w:r>
          </w:p>
        </w:tc>
        <w:tc>
          <w:tcPr>
            <w:tcW w:w="1350"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numPr>
                <w:ilvl w:val="0"/>
                <w:numId w:val="2"/>
              </w:numPr>
              <w:suppressLineNumbers w:val="0"/>
              <w:ind w:left="425" w:leftChars="0" w:hanging="425"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rPr>
            </w:pPr>
          </w:p>
        </w:tc>
        <w:tc>
          <w:tcPr>
            <w:tcW w:w="165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屋面板</w:t>
            </w:r>
          </w:p>
        </w:tc>
        <w:tc>
          <w:tcPr>
            <w:tcW w:w="4288"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 xml:space="preserve">1、75mm厚岩棉夹芯板面板屋面 </w:t>
            </w:r>
            <w:r>
              <w:rPr>
                <w:rFonts w:hint="eastAsia" w:ascii="仿宋_GB2312" w:hAnsi="仿宋_GB2312" w:eastAsia="仿宋_GB2312" w:cs="仿宋_GB2312"/>
                <w:i w:val="0"/>
                <w:iCs w:val="0"/>
                <w:color w:val="000000"/>
                <w:kern w:val="0"/>
                <w:sz w:val="24"/>
                <w:szCs w:val="24"/>
                <w:u w:val="none"/>
                <w:lang w:val="en-US" w:eastAsia="zh-CN"/>
              </w:rPr>
              <w:br w:type="textWrapping"/>
            </w:r>
            <w:r>
              <w:rPr>
                <w:rFonts w:hint="eastAsia" w:ascii="仿宋_GB2312" w:hAnsi="仿宋_GB2312" w:eastAsia="仿宋_GB2312" w:cs="仿宋_GB2312"/>
                <w:i w:val="0"/>
                <w:iCs w:val="0"/>
                <w:color w:val="000000"/>
                <w:kern w:val="0"/>
                <w:sz w:val="24"/>
                <w:szCs w:val="24"/>
                <w:u w:val="none"/>
                <w:lang w:val="en-US" w:eastAsia="zh-CN"/>
              </w:rPr>
              <w:t xml:space="preserve">2、JXB42-333-1000型(01J925-1第89面) </w:t>
            </w:r>
            <w:r>
              <w:rPr>
                <w:rFonts w:hint="eastAsia" w:ascii="仿宋_GB2312" w:hAnsi="仿宋_GB2312" w:eastAsia="仿宋_GB2312" w:cs="仿宋_GB2312"/>
                <w:i w:val="0"/>
                <w:iCs w:val="0"/>
                <w:color w:val="000000"/>
                <w:kern w:val="0"/>
                <w:sz w:val="24"/>
                <w:szCs w:val="24"/>
                <w:u w:val="none"/>
                <w:lang w:val="en-US" w:eastAsia="zh-CN"/>
              </w:rPr>
              <w:br w:type="textWrapping"/>
            </w:r>
            <w:r>
              <w:rPr>
                <w:rFonts w:hint="eastAsia" w:ascii="仿宋_GB2312" w:hAnsi="仿宋_GB2312" w:eastAsia="仿宋_GB2312" w:cs="仿宋_GB2312"/>
                <w:i w:val="0"/>
                <w:iCs w:val="0"/>
                <w:color w:val="000000"/>
                <w:kern w:val="0"/>
                <w:sz w:val="24"/>
                <w:szCs w:val="24"/>
                <w:u w:val="none"/>
                <w:lang w:val="en-US" w:eastAsia="zh-CN"/>
              </w:rPr>
              <w:t>2、具体详见设计图纸</w:t>
            </w:r>
          </w:p>
        </w:tc>
        <w:tc>
          <w:tcPr>
            <w:tcW w:w="71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m2</w:t>
            </w:r>
          </w:p>
        </w:tc>
        <w:tc>
          <w:tcPr>
            <w:tcW w:w="1350"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873" w:type="dxa"/>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numPr>
                <w:ilvl w:val="0"/>
                <w:numId w:val="2"/>
              </w:numPr>
              <w:suppressLineNumbers w:val="0"/>
              <w:ind w:left="425" w:leftChars="0" w:hanging="425"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rPr>
            </w:pPr>
          </w:p>
        </w:tc>
        <w:tc>
          <w:tcPr>
            <w:tcW w:w="165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天棚龙骨</w:t>
            </w:r>
          </w:p>
        </w:tc>
        <w:tc>
          <w:tcPr>
            <w:tcW w:w="4288"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1、轻钢龙骨</w:t>
            </w:r>
          </w:p>
        </w:tc>
        <w:tc>
          <w:tcPr>
            <w:tcW w:w="71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m2</w:t>
            </w:r>
          </w:p>
        </w:tc>
        <w:tc>
          <w:tcPr>
            <w:tcW w:w="1350"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22.866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873" w:type="dxa"/>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numPr>
                <w:ilvl w:val="0"/>
                <w:numId w:val="2"/>
              </w:numPr>
              <w:suppressLineNumbers w:val="0"/>
              <w:ind w:left="425" w:leftChars="0" w:hanging="425"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rPr>
            </w:pPr>
          </w:p>
        </w:tc>
        <w:tc>
          <w:tcPr>
            <w:tcW w:w="165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三防板吊顶</w:t>
            </w:r>
          </w:p>
        </w:tc>
        <w:tc>
          <w:tcPr>
            <w:tcW w:w="4288"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rPr>
            </w:pPr>
          </w:p>
        </w:tc>
        <w:tc>
          <w:tcPr>
            <w:tcW w:w="71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m2</w:t>
            </w:r>
          </w:p>
        </w:tc>
        <w:tc>
          <w:tcPr>
            <w:tcW w:w="1350"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223.08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873" w:type="dxa"/>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numPr>
                <w:ilvl w:val="0"/>
                <w:numId w:val="2"/>
              </w:numPr>
              <w:suppressLineNumbers w:val="0"/>
              <w:ind w:left="425" w:leftChars="0" w:hanging="425"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rPr>
            </w:pPr>
          </w:p>
        </w:tc>
        <w:tc>
          <w:tcPr>
            <w:tcW w:w="165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铝塑复合板集成吊顶</w:t>
            </w:r>
          </w:p>
        </w:tc>
        <w:tc>
          <w:tcPr>
            <w:tcW w:w="4288"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rPr>
            </w:pPr>
          </w:p>
        </w:tc>
        <w:tc>
          <w:tcPr>
            <w:tcW w:w="71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m2</w:t>
            </w:r>
          </w:p>
        </w:tc>
        <w:tc>
          <w:tcPr>
            <w:tcW w:w="1350"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873" w:type="dxa"/>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numPr>
                <w:ilvl w:val="0"/>
                <w:numId w:val="2"/>
              </w:numPr>
              <w:suppressLineNumbers w:val="0"/>
              <w:ind w:left="425" w:leftChars="0" w:hanging="425"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rPr>
            </w:pPr>
          </w:p>
        </w:tc>
        <w:tc>
          <w:tcPr>
            <w:tcW w:w="165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单层轻钢厂房脚手架</w:t>
            </w:r>
          </w:p>
        </w:tc>
        <w:tc>
          <w:tcPr>
            <w:tcW w:w="4288"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rPr>
            </w:pPr>
          </w:p>
        </w:tc>
        <w:tc>
          <w:tcPr>
            <w:tcW w:w="71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m2</w:t>
            </w:r>
          </w:p>
        </w:tc>
        <w:tc>
          <w:tcPr>
            <w:tcW w:w="1350"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873" w:type="dxa"/>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numPr>
                <w:ilvl w:val="0"/>
                <w:numId w:val="2"/>
              </w:numPr>
              <w:suppressLineNumbers w:val="0"/>
              <w:ind w:left="425" w:leftChars="0" w:hanging="425"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rPr>
            </w:pPr>
          </w:p>
        </w:tc>
        <w:tc>
          <w:tcPr>
            <w:tcW w:w="165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檐口下口包边</w:t>
            </w:r>
          </w:p>
        </w:tc>
        <w:tc>
          <w:tcPr>
            <w:tcW w:w="4288"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rPr>
            </w:pPr>
          </w:p>
        </w:tc>
        <w:tc>
          <w:tcPr>
            <w:tcW w:w="71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个</w:t>
            </w:r>
          </w:p>
        </w:tc>
        <w:tc>
          <w:tcPr>
            <w:tcW w:w="1350"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12</w:t>
            </w:r>
          </w:p>
        </w:tc>
      </w:tr>
    </w:tbl>
    <w:p>
      <w:pPr>
        <w:ind w:firstLine="560" w:firstLineChars="200"/>
        <w:rPr>
          <w:rFonts w:hint="eastAsia" w:ascii="仿宋_GB2312" w:hAnsi="仿宋_GB2312" w:eastAsia="仿宋_GB2312" w:cs="仿宋_GB2312"/>
          <w:sz w:val="28"/>
          <w:szCs w:val="28"/>
        </w:rPr>
      </w:pPr>
    </w:p>
    <w:p>
      <w:pPr>
        <w:spacing w:line="480" w:lineRule="exact"/>
        <w:ind w:firstLine="600" w:firstLineChars="200"/>
        <w:rPr>
          <w:rFonts w:hint="eastAsia" w:ascii="仿宋_GB2312" w:hAnsi="仿宋_GB2312" w:eastAsia="仿宋_GB2312" w:cs="仿宋_GB2312"/>
          <w:sz w:val="30"/>
          <w:szCs w:val="30"/>
        </w:rPr>
      </w:pPr>
    </w:p>
    <w:p>
      <w:pPr>
        <w:widowControl/>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rPr>
        <w:br w:type="page"/>
      </w:r>
    </w:p>
    <w:p>
      <w:pPr>
        <w:pStyle w:val="35"/>
        <w:spacing w:after="156" w:afterLines="5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第三章 响应文件资料清单</w:t>
      </w:r>
    </w:p>
    <w:tbl>
      <w:tblPr>
        <w:tblStyle w:val="15"/>
        <w:tblW w:w="8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6946"/>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序号</w:t>
            </w:r>
          </w:p>
        </w:tc>
        <w:tc>
          <w:tcPr>
            <w:tcW w:w="6946" w:type="dxa"/>
          </w:tcPr>
          <w:p>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资料名称</w:t>
            </w:r>
          </w:p>
        </w:tc>
        <w:tc>
          <w:tcPr>
            <w:tcW w:w="792" w:type="dxa"/>
          </w:tcPr>
          <w:p>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一</w:t>
            </w:r>
          </w:p>
        </w:tc>
        <w:tc>
          <w:tcPr>
            <w:tcW w:w="6946" w:type="dxa"/>
          </w:tcPr>
          <w:p>
            <w:pPr>
              <w:pStyle w:val="35"/>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中标方基本信息</w:t>
            </w:r>
          </w:p>
        </w:tc>
        <w:tc>
          <w:tcPr>
            <w:tcW w:w="792" w:type="dxa"/>
          </w:tcPr>
          <w:p>
            <w:pPr>
              <w:pStyle w:val="35"/>
              <w:spacing w:after="0" w:line="480" w:lineRule="exact"/>
              <w:jc w:val="left"/>
              <w:rPr>
                <w:rFonts w:hint="eastAsia" w:ascii="仿宋_GB2312" w:hAnsi="仿宋_GB2312" w:eastAsia="仿宋_GB2312" w:cs="仿宋_GB2312"/>
                <w:b/>
                <w:bCs/>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pPr>
              <w:pStyle w:val="35"/>
              <w:spacing w:after="0" w:line="480" w:lineRule="exact"/>
              <w:jc w:val="center"/>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二</w:t>
            </w:r>
          </w:p>
        </w:tc>
        <w:tc>
          <w:tcPr>
            <w:tcW w:w="6946" w:type="dxa"/>
          </w:tcPr>
          <w:p>
            <w:pPr>
              <w:pStyle w:val="35"/>
              <w:spacing w:after="0" w:line="480" w:lineRule="exact"/>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无重大违法记录声明函、无不良信用记录承诺函</w:t>
            </w:r>
          </w:p>
        </w:tc>
        <w:tc>
          <w:tcPr>
            <w:tcW w:w="792" w:type="dxa"/>
          </w:tcPr>
          <w:p>
            <w:pPr>
              <w:pStyle w:val="35"/>
              <w:spacing w:after="0" w:line="480" w:lineRule="exact"/>
              <w:jc w:val="left"/>
              <w:rPr>
                <w:rFonts w:hint="eastAsia" w:ascii="仿宋_GB2312" w:hAnsi="仿宋_GB2312" w:eastAsia="仿宋_GB2312" w:cs="仿宋_GB2312"/>
                <w:b/>
                <w:bCs/>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三</w:t>
            </w:r>
          </w:p>
        </w:tc>
        <w:tc>
          <w:tcPr>
            <w:tcW w:w="6946" w:type="dxa"/>
          </w:tcPr>
          <w:p>
            <w:pPr>
              <w:pStyle w:val="35"/>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投标授权书</w:t>
            </w:r>
          </w:p>
        </w:tc>
        <w:tc>
          <w:tcPr>
            <w:tcW w:w="792" w:type="dxa"/>
          </w:tcPr>
          <w:p>
            <w:pPr>
              <w:pStyle w:val="35"/>
              <w:spacing w:after="0" w:line="480" w:lineRule="exact"/>
              <w:jc w:val="left"/>
              <w:rPr>
                <w:rFonts w:hint="eastAsia" w:ascii="仿宋_GB2312" w:hAnsi="仿宋_GB2312" w:eastAsia="仿宋_GB2312" w:cs="仿宋_GB2312"/>
                <w:b/>
                <w:bCs/>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pPr>
              <w:pStyle w:val="35"/>
              <w:spacing w:after="0" w:line="480" w:lineRule="exact"/>
              <w:jc w:val="center"/>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四</w:t>
            </w:r>
          </w:p>
        </w:tc>
        <w:tc>
          <w:tcPr>
            <w:tcW w:w="6946" w:type="dxa"/>
          </w:tcPr>
          <w:p>
            <w:pPr>
              <w:pStyle w:val="35"/>
              <w:spacing w:after="0" w:line="480" w:lineRule="exact"/>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响应情况表</w:t>
            </w:r>
          </w:p>
        </w:tc>
        <w:tc>
          <w:tcPr>
            <w:tcW w:w="792" w:type="dxa"/>
          </w:tcPr>
          <w:p>
            <w:pPr>
              <w:pStyle w:val="35"/>
              <w:spacing w:after="0" w:line="480" w:lineRule="exact"/>
              <w:jc w:val="left"/>
              <w:rPr>
                <w:rFonts w:hint="eastAsia" w:ascii="仿宋_GB2312" w:hAnsi="仿宋_GB2312" w:eastAsia="仿宋_GB2312" w:cs="仿宋_GB2312"/>
                <w:b/>
                <w:bCs/>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五</w:t>
            </w:r>
          </w:p>
        </w:tc>
        <w:tc>
          <w:tcPr>
            <w:tcW w:w="6946" w:type="dxa"/>
          </w:tcPr>
          <w:p>
            <w:pPr>
              <w:pStyle w:val="35"/>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投标函</w:t>
            </w:r>
          </w:p>
        </w:tc>
        <w:tc>
          <w:tcPr>
            <w:tcW w:w="792" w:type="dxa"/>
          </w:tcPr>
          <w:p>
            <w:pPr>
              <w:pStyle w:val="35"/>
              <w:spacing w:after="0" w:line="480" w:lineRule="exact"/>
              <w:jc w:val="left"/>
              <w:rPr>
                <w:rFonts w:hint="eastAsia" w:ascii="仿宋_GB2312" w:hAnsi="仿宋_GB2312" w:eastAsia="仿宋_GB2312" w:cs="仿宋_GB2312"/>
                <w:b/>
                <w:bCs/>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六</w:t>
            </w:r>
          </w:p>
        </w:tc>
        <w:tc>
          <w:tcPr>
            <w:tcW w:w="6946" w:type="dxa"/>
          </w:tcPr>
          <w:p>
            <w:pPr>
              <w:pStyle w:val="35"/>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询价文件要求和中标方认为需要提供的其它说明和资料</w:t>
            </w:r>
          </w:p>
        </w:tc>
        <w:tc>
          <w:tcPr>
            <w:tcW w:w="792" w:type="dxa"/>
          </w:tcPr>
          <w:p>
            <w:pPr>
              <w:pStyle w:val="35"/>
              <w:spacing w:after="0" w:line="480" w:lineRule="exact"/>
              <w:jc w:val="left"/>
              <w:rPr>
                <w:rFonts w:hint="eastAsia" w:ascii="仿宋_GB2312" w:hAnsi="仿宋_GB2312" w:eastAsia="仿宋_GB2312" w:cs="仿宋_GB2312"/>
                <w:b/>
                <w:bCs/>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七</w:t>
            </w:r>
          </w:p>
        </w:tc>
        <w:tc>
          <w:tcPr>
            <w:tcW w:w="6946" w:type="dxa"/>
          </w:tcPr>
          <w:p>
            <w:pPr>
              <w:pStyle w:val="35"/>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报价表</w:t>
            </w:r>
          </w:p>
        </w:tc>
        <w:tc>
          <w:tcPr>
            <w:tcW w:w="792" w:type="dxa"/>
          </w:tcPr>
          <w:p>
            <w:pPr>
              <w:pStyle w:val="35"/>
              <w:spacing w:after="0" w:line="480" w:lineRule="exact"/>
              <w:jc w:val="left"/>
              <w:rPr>
                <w:rFonts w:hint="eastAsia" w:ascii="仿宋_GB2312" w:hAnsi="仿宋_GB2312" w:eastAsia="仿宋_GB2312" w:cs="仿宋_GB2312"/>
                <w:b/>
                <w:bCs/>
                <w:lang w:val="en-US" w:eastAsia="zh-CN" w:bidi="ar-SA"/>
              </w:rPr>
            </w:pPr>
          </w:p>
        </w:tc>
      </w:tr>
    </w:tbl>
    <w:p>
      <w:pPr>
        <w:pStyle w:val="35"/>
        <w:spacing w:after="0" w:line="480" w:lineRule="exact"/>
        <w:jc w:val="left"/>
        <w:rPr>
          <w:rFonts w:hint="eastAsia" w:ascii="仿宋_GB2312" w:hAnsi="仿宋_GB2312" w:eastAsia="仿宋_GB2312" w:cs="仿宋_GB2312"/>
          <w:b/>
          <w:bCs/>
          <w:lang w:val="en-US" w:eastAsia="zh-CN" w:bidi="ar-SA"/>
        </w:rPr>
      </w:pPr>
    </w:p>
    <w:p>
      <w:pPr>
        <w:pStyle w:val="7"/>
        <w:spacing w:line="480" w:lineRule="exact"/>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eastAsia="zh-CN"/>
        </w:rPr>
        <w:t>中标方</w:t>
      </w:r>
      <w:r>
        <w:rPr>
          <w:rFonts w:hint="eastAsia" w:ascii="仿宋_GB2312" w:hAnsi="仿宋_GB2312" w:eastAsia="仿宋_GB2312" w:cs="仿宋_GB2312"/>
          <w:b/>
          <w:color w:val="000000"/>
          <w:sz w:val="28"/>
          <w:szCs w:val="28"/>
        </w:rPr>
        <w:t>资质文件说明</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1、资质文件中的企业名称、法定代表人应与《</w:t>
      </w:r>
      <w:r>
        <w:rPr>
          <w:rFonts w:hint="eastAsia" w:ascii="仿宋_GB2312" w:hAnsi="仿宋_GB2312" w:eastAsia="仿宋_GB2312" w:cs="仿宋_GB2312"/>
          <w:color w:val="000000"/>
          <w:sz w:val="28"/>
          <w:szCs w:val="28"/>
          <w:lang w:eastAsia="zh-CN"/>
        </w:rPr>
        <w:t>中标方</w:t>
      </w:r>
      <w:r>
        <w:rPr>
          <w:rFonts w:hint="eastAsia" w:ascii="仿宋_GB2312" w:hAnsi="仿宋_GB2312" w:eastAsia="仿宋_GB2312" w:cs="仿宋_GB2312"/>
          <w:color w:val="000000"/>
          <w:sz w:val="28"/>
          <w:szCs w:val="28"/>
        </w:rPr>
        <w:t>法定代表人授权书》中的企业名称、法定代表人保持一致，如不一致，应附工商部门出具的变更证明；</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2、所有资质文件应在规定的有效期内；</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3、报送资质文件为非中文的，应同时提供中文翻译件；</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4、所有资质文件必须清晰，不得涂改，统一使用A4纸，附在相应的页码后，并在附加页的右下角标明页码（例如第二页需要附加三页，则在附加页的右下角标明2-1、2-2、2-3）；</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lang w:eastAsia="zh-CN"/>
        </w:rPr>
        <w:t>中标方</w:t>
      </w:r>
      <w:r>
        <w:rPr>
          <w:rFonts w:hint="eastAsia" w:ascii="仿宋_GB2312" w:hAnsi="仿宋_GB2312" w:eastAsia="仿宋_GB2312" w:cs="仿宋_GB2312"/>
          <w:color w:val="000000"/>
          <w:sz w:val="28"/>
          <w:szCs w:val="28"/>
        </w:rPr>
        <w:t>递交的装订册每页（包括附加页）必须加盖公章；</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w:t>
      </w:r>
      <w:r>
        <w:rPr>
          <w:rFonts w:hint="eastAsia" w:ascii="仿宋_GB2312" w:hAnsi="仿宋_GB2312" w:eastAsia="仿宋_GB2312" w:cs="仿宋_GB2312"/>
          <w:color w:val="000000"/>
          <w:sz w:val="28"/>
          <w:szCs w:val="28"/>
          <w:lang w:eastAsia="zh-CN"/>
        </w:rPr>
        <w:t>中标方</w:t>
      </w:r>
      <w:r>
        <w:rPr>
          <w:rFonts w:hint="eastAsia" w:ascii="仿宋_GB2312" w:hAnsi="仿宋_GB2312" w:eastAsia="仿宋_GB2312" w:cs="仿宋_GB2312"/>
          <w:color w:val="000000"/>
          <w:sz w:val="28"/>
          <w:szCs w:val="28"/>
        </w:rPr>
        <w:t>无法提供相应文件的，请标明“无”，并注明原因；</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7、无重大违法记录声明函、无不良信用记录声明函（模板附后）。</w:t>
      </w:r>
    </w:p>
    <w:p>
      <w:pPr>
        <w:widowControl/>
        <w:spacing w:line="480" w:lineRule="exact"/>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rPr>
        <w:br w:type="page"/>
      </w:r>
    </w:p>
    <w:p>
      <w:pPr>
        <w:pStyle w:val="35"/>
        <w:spacing w:after="0" w:line="480" w:lineRule="exact"/>
        <w:jc w:val="center"/>
        <w:rPr>
          <w:rFonts w:hint="eastAsia" w:ascii="仿宋_GB2312" w:hAnsi="仿宋_GB2312" w:eastAsia="仿宋_GB2312" w:cs="仿宋_GB2312"/>
          <w:b/>
          <w:bCs/>
          <w:snapToGrid w:val="0"/>
          <w:color w:val="000000"/>
          <w:kern w:val="0"/>
          <w:lang w:val="en-US" w:eastAsia="zh-CN"/>
        </w:rPr>
      </w:pPr>
      <w:r>
        <w:rPr>
          <w:rFonts w:hint="eastAsia" w:ascii="仿宋_GB2312" w:hAnsi="仿宋_GB2312" w:eastAsia="仿宋_GB2312" w:cs="仿宋_GB2312"/>
          <w:b/>
          <w:bCs/>
          <w:snapToGrid w:val="0"/>
          <w:color w:val="000000"/>
          <w:kern w:val="0"/>
          <w:lang w:val="en-US" w:eastAsia="zh-CN"/>
        </w:rPr>
        <w:t>一、中标方基本信息</w:t>
      </w:r>
    </w:p>
    <w:p>
      <w:pPr>
        <w:pStyle w:val="7"/>
        <w:spacing w:before="147"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（包含营业执照和相关资质证书等）</w:t>
      </w:r>
    </w:p>
    <w:p>
      <w:pPr>
        <w:spacing w:line="480" w:lineRule="exact"/>
        <w:rPr>
          <w:rFonts w:hint="eastAsia" w:ascii="仿宋_GB2312" w:hAnsi="仿宋_GB2312" w:eastAsia="仿宋_GB2312" w:cs="仿宋_GB2312"/>
          <w:b/>
          <w:bCs/>
          <w:snapToGrid w:val="0"/>
          <w:color w:val="000000"/>
          <w:kern w:val="0"/>
          <w:sz w:val="28"/>
          <w:szCs w:val="28"/>
        </w:rPr>
      </w:pPr>
      <w:bookmarkStart w:id="0" w:name="bookmark19"/>
      <w:bookmarkEnd w:id="0"/>
    </w:p>
    <w:p>
      <w:pPr>
        <w:spacing w:line="480" w:lineRule="exact"/>
        <w:rPr>
          <w:rFonts w:hint="eastAsia" w:ascii="仿宋_GB2312" w:hAnsi="仿宋_GB2312" w:eastAsia="仿宋_GB2312" w:cs="仿宋_GB2312"/>
          <w:b/>
          <w:bCs/>
          <w:snapToGrid w:val="0"/>
          <w:color w:val="000000"/>
          <w:kern w:val="0"/>
          <w:sz w:val="28"/>
          <w:szCs w:val="28"/>
        </w:rPr>
      </w:pPr>
    </w:p>
    <w:p>
      <w:pPr>
        <w:pStyle w:val="35"/>
        <w:spacing w:after="0" w:line="480" w:lineRule="exact"/>
        <w:jc w:val="center"/>
        <w:rPr>
          <w:rFonts w:hint="eastAsia" w:ascii="仿宋_GB2312" w:hAnsi="仿宋_GB2312" w:eastAsia="仿宋_GB2312" w:cs="仿宋_GB2312"/>
          <w:b/>
          <w:bCs/>
          <w:snapToGrid w:val="0"/>
          <w:color w:val="000000"/>
          <w:kern w:val="0"/>
          <w:lang w:val="en-US" w:eastAsia="zh-CN"/>
        </w:rPr>
      </w:pPr>
      <w:bookmarkStart w:id="1" w:name="_Toc32198"/>
      <w:r>
        <w:rPr>
          <w:rFonts w:hint="eastAsia" w:ascii="仿宋_GB2312" w:hAnsi="仿宋_GB2312" w:eastAsia="仿宋_GB2312" w:cs="仿宋_GB2312"/>
          <w:b/>
          <w:bCs/>
          <w:snapToGrid w:val="0"/>
          <w:color w:val="000000"/>
          <w:kern w:val="0"/>
          <w:lang w:val="en-US" w:eastAsia="zh-CN"/>
        </w:rPr>
        <w:t>二、无重大违法记录声明函、无不良信用记录声明函</w:t>
      </w:r>
      <w:bookmarkEnd w:id="1"/>
    </w:p>
    <w:p>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无重大违法记录声明函</w:t>
      </w:r>
    </w:p>
    <w:p>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本公司对上述声明的真实性负责。如有虚假，将依法承担相应责任。</w:t>
      </w:r>
    </w:p>
    <w:p>
      <w:pPr>
        <w:pStyle w:val="35"/>
        <w:spacing w:after="0" w:line="480" w:lineRule="exact"/>
        <w:jc w:val="left"/>
        <w:rPr>
          <w:rFonts w:hint="eastAsia" w:ascii="仿宋_GB2312" w:hAnsi="仿宋_GB2312" w:eastAsia="仿宋_GB2312" w:cs="仿宋_GB2312"/>
          <w:lang w:val="en-US" w:eastAsia="zh-CN" w:bidi="ar-SA"/>
        </w:rPr>
      </w:pPr>
    </w:p>
    <w:p>
      <w:pPr>
        <w:pStyle w:val="35"/>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投标人盖章： </w:t>
      </w:r>
    </w:p>
    <w:p>
      <w:pPr>
        <w:pStyle w:val="35"/>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pPr>
        <w:pStyle w:val="35"/>
        <w:spacing w:after="0" w:line="480" w:lineRule="exact"/>
        <w:jc w:val="left"/>
        <w:rPr>
          <w:rFonts w:hint="eastAsia" w:ascii="仿宋_GB2312" w:hAnsi="仿宋_GB2312" w:eastAsia="仿宋_GB2312" w:cs="仿宋_GB2312"/>
          <w:lang w:val="en-US" w:eastAsia="zh-CN" w:bidi="ar-SA"/>
        </w:rPr>
      </w:pPr>
    </w:p>
    <w:p>
      <w:pPr>
        <w:pStyle w:val="35"/>
        <w:spacing w:after="0" w:line="480" w:lineRule="exact"/>
        <w:jc w:val="center"/>
        <w:rPr>
          <w:rFonts w:hint="eastAsia" w:ascii="仿宋_GB2312" w:hAnsi="仿宋_GB2312" w:eastAsia="仿宋_GB2312" w:cs="仿宋_GB2312"/>
          <w:b/>
          <w:bCs/>
          <w:lang w:val="en-US" w:eastAsia="zh-CN" w:bidi="ar-SA"/>
        </w:rPr>
      </w:pPr>
    </w:p>
    <w:p>
      <w:pPr>
        <w:pStyle w:val="35"/>
        <w:spacing w:after="0" w:line="480" w:lineRule="exact"/>
        <w:jc w:val="center"/>
        <w:rPr>
          <w:rFonts w:hint="eastAsia" w:ascii="仿宋_GB2312" w:hAnsi="仿宋_GB2312" w:eastAsia="仿宋_GB2312" w:cs="仿宋_GB2312"/>
          <w:b/>
          <w:bCs/>
          <w:lang w:val="en-US" w:eastAsia="zh-CN" w:bidi="ar-SA"/>
        </w:rPr>
      </w:pPr>
    </w:p>
    <w:p>
      <w:pPr>
        <w:pStyle w:val="35"/>
        <w:spacing w:after="0" w:line="480" w:lineRule="exact"/>
        <w:jc w:val="center"/>
        <w:rPr>
          <w:rFonts w:hint="eastAsia" w:ascii="仿宋_GB2312" w:hAnsi="仿宋_GB2312" w:eastAsia="仿宋_GB2312" w:cs="仿宋_GB2312"/>
          <w:b/>
          <w:bCs/>
          <w:lang w:val="en-US" w:eastAsia="zh-CN" w:bidi="ar-SA"/>
        </w:rPr>
      </w:pPr>
    </w:p>
    <w:p>
      <w:pPr>
        <w:pStyle w:val="35"/>
        <w:spacing w:after="0" w:line="480" w:lineRule="exact"/>
        <w:jc w:val="center"/>
        <w:rPr>
          <w:rFonts w:hint="eastAsia" w:ascii="仿宋_GB2312" w:hAnsi="仿宋_GB2312" w:eastAsia="仿宋_GB2312" w:cs="仿宋_GB2312"/>
          <w:b/>
          <w:bCs/>
          <w:lang w:val="en-US" w:eastAsia="zh-CN" w:bidi="ar-SA"/>
        </w:rPr>
      </w:pPr>
    </w:p>
    <w:p>
      <w:pPr>
        <w:pStyle w:val="35"/>
        <w:spacing w:after="0" w:line="480" w:lineRule="exact"/>
        <w:jc w:val="center"/>
        <w:rPr>
          <w:rFonts w:hint="eastAsia" w:ascii="仿宋_GB2312" w:hAnsi="仿宋_GB2312" w:eastAsia="仿宋_GB2312" w:cs="仿宋_GB2312"/>
          <w:b/>
          <w:bCs/>
          <w:lang w:val="en-US" w:eastAsia="zh-CN" w:bidi="ar-SA"/>
        </w:rPr>
      </w:pPr>
    </w:p>
    <w:p>
      <w:pPr>
        <w:pStyle w:val="35"/>
        <w:spacing w:after="0" w:line="480" w:lineRule="exact"/>
        <w:jc w:val="center"/>
        <w:rPr>
          <w:rFonts w:hint="eastAsia" w:ascii="仿宋_GB2312" w:hAnsi="仿宋_GB2312" w:eastAsia="仿宋_GB2312" w:cs="仿宋_GB2312"/>
          <w:b/>
          <w:bCs/>
          <w:lang w:val="en-US" w:eastAsia="zh-CN" w:bidi="ar-SA"/>
        </w:rPr>
      </w:pPr>
    </w:p>
    <w:p>
      <w:pPr>
        <w:pStyle w:val="35"/>
        <w:spacing w:after="0" w:line="480" w:lineRule="exact"/>
        <w:jc w:val="center"/>
        <w:rPr>
          <w:rFonts w:hint="eastAsia" w:ascii="仿宋_GB2312" w:hAnsi="仿宋_GB2312" w:eastAsia="仿宋_GB2312" w:cs="仿宋_GB2312"/>
          <w:b/>
          <w:bCs/>
          <w:lang w:val="en-US" w:eastAsia="zh-CN" w:bidi="ar-SA"/>
        </w:rPr>
      </w:pPr>
    </w:p>
    <w:p>
      <w:pPr>
        <w:pStyle w:val="35"/>
        <w:spacing w:after="0" w:line="480" w:lineRule="exact"/>
        <w:jc w:val="center"/>
        <w:rPr>
          <w:rFonts w:hint="eastAsia" w:ascii="仿宋_GB2312" w:hAnsi="仿宋_GB2312" w:eastAsia="仿宋_GB2312" w:cs="仿宋_GB2312"/>
          <w:b/>
          <w:bCs/>
          <w:lang w:val="en-US" w:eastAsia="zh-CN" w:bidi="ar-SA"/>
        </w:rPr>
      </w:pPr>
    </w:p>
    <w:p>
      <w:pPr>
        <w:pStyle w:val="35"/>
        <w:spacing w:after="0" w:line="480" w:lineRule="exact"/>
        <w:jc w:val="center"/>
        <w:rPr>
          <w:rFonts w:hint="eastAsia" w:ascii="仿宋_GB2312" w:hAnsi="仿宋_GB2312" w:eastAsia="仿宋_GB2312" w:cs="仿宋_GB2312"/>
          <w:b/>
          <w:bCs/>
          <w:lang w:val="en-US" w:eastAsia="zh-CN" w:bidi="ar-SA"/>
        </w:rPr>
      </w:pPr>
    </w:p>
    <w:p>
      <w:pPr>
        <w:pStyle w:val="35"/>
        <w:spacing w:after="0" w:line="480" w:lineRule="exact"/>
        <w:jc w:val="center"/>
        <w:rPr>
          <w:rFonts w:hint="eastAsia" w:ascii="仿宋_GB2312" w:hAnsi="仿宋_GB2312" w:eastAsia="仿宋_GB2312" w:cs="仿宋_GB2312"/>
          <w:b/>
          <w:bCs/>
          <w:lang w:val="en-US" w:eastAsia="zh-CN" w:bidi="ar-SA"/>
        </w:rPr>
      </w:pPr>
    </w:p>
    <w:p>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无不良信用记录承诺函</w:t>
      </w:r>
    </w:p>
    <w:p>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本公司郑重承诺，我公司无以下不良信用记录情形：</w:t>
      </w:r>
    </w:p>
    <w:p>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1、公司被人民法院列入失信被执行人；</w:t>
      </w:r>
    </w:p>
    <w:p>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2、公司被市场监督管理部门列入严重违法失信企业名录；</w:t>
      </w:r>
    </w:p>
    <w:p>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3、公司被税务部门列入重大税收违法案件当事人名单的；</w:t>
      </w:r>
    </w:p>
    <w:p>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4、公司被政府采购监管部门列入政府采购严重违法失信行为记录名单。</w:t>
      </w:r>
    </w:p>
    <w:p>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我公司承诺：合同签订前，若我公司具有不良信用记录情形，贵方可取消我公司成交资格或者不授予合同，所有责任由我公司自行承担。同时，我公司愿意无条件接受监管部门的调查处理。 </w:t>
      </w:r>
    </w:p>
    <w:p>
      <w:pPr>
        <w:pStyle w:val="35"/>
        <w:spacing w:after="0" w:line="480" w:lineRule="exact"/>
        <w:jc w:val="left"/>
        <w:rPr>
          <w:rFonts w:hint="eastAsia" w:ascii="仿宋_GB2312" w:hAnsi="仿宋_GB2312" w:eastAsia="仿宋_GB2312" w:cs="仿宋_GB2312"/>
          <w:lang w:val="en-US" w:eastAsia="zh-CN" w:bidi="ar-SA"/>
        </w:rPr>
      </w:pPr>
    </w:p>
    <w:p>
      <w:pPr>
        <w:pStyle w:val="35"/>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投标人盖章： </w:t>
      </w:r>
    </w:p>
    <w:p>
      <w:pPr>
        <w:pStyle w:val="35"/>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r>
        <w:rPr>
          <w:rFonts w:hint="eastAsia" w:ascii="仿宋_GB2312" w:hAnsi="仿宋_GB2312" w:eastAsia="仿宋_GB2312" w:cs="仿宋_GB2312"/>
          <w:b/>
          <w:bCs/>
          <w:snapToGrid w:val="0"/>
          <w:color w:val="000000"/>
          <w:kern w:val="0"/>
        </w:rPr>
        <w:br w:type="page"/>
      </w:r>
    </w:p>
    <w:p>
      <w:pPr>
        <w:pStyle w:val="35"/>
        <w:spacing w:after="0" w:line="480" w:lineRule="exact"/>
        <w:jc w:val="center"/>
        <w:rPr>
          <w:rFonts w:hint="eastAsia" w:ascii="仿宋_GB2312" w:hAnsi="仿宋_GB2312" w:eastAsia="仿宋_GB2312" w:cs="仿宋_GB2312"/>
          <w:b/>
          <w:bCs/>
          <w:snapToGrid w:val="0"/>
          <w:color w:val="000000"/>
          <w:kern w:val="0"/>
          <w:lang w:val="en-US" w:eastAsia="zh-CN"/>
        </w:rPr>
      </w:pPr>
      <w:r>
        <w:rPr>
          <w:rFonts w:hint="eastAsia" w:ascii="仿宋_GB2312" w:hAnsi="仿宋_GB2312" w:eastAsia="仿宋_GB2312" w:cs="仿宋_GB2312"/>
          <w:b/>
          <w:bCs/>
          <w:snapToGrid w:val="0"/>
          <w:color w:val="000000"/>
          <w:kern w:val="0"/>
          <w:lang w:val="en-US" w:eastAsia="zh-CN"/>
        </w:rPr>
        <w:t>三、投标授权书</w:t>
      </w:r>
    </w:p>
    <w:p>
      <w:pPr>
        <w:spacing w:line="480" w:lineRule="exact"/>
        <w:jc w:val="center"/>
        <w:rPr>
          <w:rFonts w:hint="eastAsia" w:ascii="仿宋_GB2312" w:hAnsi="仿宋_GB2312" w:eastAsia="仿宋_GB2312" w:cs="仿宋_GB2312"/>
          <w:b/>
          <w:bCs/>
          <w:snapToGrid w:val="0"/>
          <w:color w:val="000000"/>
          <w:kern w:val="0"/>
          <w:sz w:val="28"/>
          <w:szCs w:val="28"/>
        </w:rPr>
      </w:pPr>
    </w:p>
    <w:p>
      <w:pPr>
        <w:pStyle w:val="8"/>
        <w:snapToGrid w:val="0"/>
        <w:spacing w:line="48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（投标人名称的全称） </w:t>
      </w:r>
      <w:r>
        <w:rPr>
          <w:rFonts w:hint="eastAsia" w:ascii="仿宋_GB2312" w:hAnsi="仿宋_GB2312" w:eastAsia="仿宋_GB2312" w:cs="仿宋_GB2312"/>
          <w:sz w:val="28"/>
          <w:szCs w:val="28"/>
        </w:rPr>
        <w:t>授权本公司</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（投标人授权代表姓名、职务）代表本公司参加</w:t>
      </w:r>
      <w:r>
        <w:rPr>
          <w:rFonts w:hint="eastAsia" w:ascii="仿宋_GB2312" w:hAnsi="仿宋_GB2312" w:eastAsia="仿宋_GB2312" w:cs="仿宋_GB2312"/>
          <w:sz w:val="28"/>
          <w:szCs w:val="28"/>
          <w:u w:val="single"/>
        </w:rPr>
        <w:t xml:space="preserve">    （某项目）  </w:t>
      </w:r>
      <w:r>
        <w:rPr>
          <w:rFonts w:hint="eastAsia" w:ascii="仿宋_GB2312" w:hAnsi="仿宋_GB2312" w:eastAsia="仿宋_GB2312" w:cs="仿宋_GB2312"/>
          <w:sz w:val="28"/>
          <w:szCs w:val="28"/>
        </w:rPr>
        <w:t>采购活动（项目编号：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pPr>
        <w:pStyle w:val="8"/>
        <w:snapToGrid w:val="0"/>
        <w:spacing w:line="4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本授权书自出具之日起生效。</w:t>
      </w:r>
    </w:p>
    <w:p>
      <w:pPr>
        <w:spacing w:line="480" w:lineRule="exact"/>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授权代表（或法定代表人）身份证明扫描件或影印件：</w:t>
      </w:r>
    </w:p>
    <w:p>
      <w:pPr>
        <w:spacing w:line="480" w:lineRule="exact"/>
        <w:rPr>
          <w:rFonts w:hint="eastAsia" w:ascii="仿宋_GB2312" w:hAnsi="仿宋_GB2312" w:eastAsia="仿宋_GB2312" w:cs="仿宋_GB2312"/>
          <w:sz w:val="24"/>
          <w:szCs w:val="28"/>
        </w:rPr>
      </w:pPr>
    </w:p>
    <w:p>
      <w:pPr>
        <w:pStyle w:val="13"/>
        <w:spacing w:line="480" w:lineRule="exact"/>
        <w:ind w:right="-21" w:firstLine="210"/>
        <w:rPr>
          <w:rFonts w:hint="eastAsia" w:ascii="仿宋_GB2312" w:hAnsi="仿宋_GB2312" w:eastAsia="仿宋_GB2312" w:cs="仿宋_GB2312"/>
        </w:rPr>
      </w:pPr>
    </w:p>
    <w:p>
      <w:pPr>
        <w:pStyle w:val="13"/>
        <w:spacing w:line="480" w:lineRule="exact"/>
        <w:ind w:right="-21" w:firstLine="210"/>
        <w:rPr>
          <w:rFonts w:hint="eastAsia" w:ascii="仿宋_GB2312" w:hAnsi="仿宋_GB2312" w:eastAsia="仿宋_GB2312" w:cs="仿宋_GB2312"/>
        </w:rPr>
      </w:pPr>
    </w:p>
    <w:p>
      <w:pPr>
        <w:spacing w:line="480" w:lineRule="exact"/>
        <w:rPr>
          <w:rFonts w:hint="eastAsia" w:ascii="仿宋_GB2312" w:hAnsi="仿宋_GB2312" w:eastAsia="仿宋_GB2312" w:cs="仿宋_GB2312"/>
          <w:sz w:val="24"/>
          <w:szCs w:val="28"/>
        </w:rPr>
      </w:pPr>
      <w:r>
        <w:rPr>
          <w:rFonts w:hint="eastAsia" w:ascii="仿宋_GB2312" w:hAnsi="仿宋_GB2312" w:eastAsia="仿宋_GB2312" w:cs="仿宋_GB2312"/>
          <w:b/>
          <w:bCs/>
          <w:sz w:val="24"/>
          <w:szCs w:val="28"/>
        </w:rPr>
        <w:t>授权代表（或法定代表人）联系方式：</w:t>
      </w:r>
      <w:r>
        <w:rPr>
          <w:rFonts w:hint="eastAsia" w:ascii="仿宋_GB2312" w:hAnsi="仿宋_GB2312" w:eastAsia="仿宋_GB2312" w:cs="仿宋_GB2312"/>
          <w:sz w:val="24"/>
          <w:szCs w:val="28"/>
          <w:u w:val="single"/>
        </w:rPr>
        <w:t xml:space="preserve">           </w:t>
      </w:r>
      <w:r>
        <w:rPr>
          <w:rFonts w:hint="eastAsia" w:ascii="仿宋_GB2312" w:hAnsi="仿宋_GB2312" w:eastAsia="仿宋_GB2312" w:cs="仿宋_GB2312"/>
          <w:sz w:val="24"/>
          <w:szCs w:val="28"/>
        </w:rPr>
        <w:t>（请填写手机号码）</w:t>
      </w:r>
    </w:p>
    <w:p>
      <w:pPr>
        <w:pStyle w:val="35"/>
        <w:spacing w:line="480" w:lineRule="exact"/>
        <w:jc w:val="right"/>
        <w:rPr>
          <w:rFonts w:hint="eastAsia" w:ascii="仿宋_GB2312" w:hAnsi="仿宋_GB2312" w:eastAsia="仿宋_GB2312" w:cs="仿宋_GB2312"/>
          <w:lang w:val="en-US" w:eastAsia="zh-CN" w:bidi="ar-SA"/>
        </w:rPr>
      </w:pPr>
    </w:p>
    <w:p>
      <w:pPr>
        <w:pStyle w:val="35"/>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投标人盖章： </w:t>
      </w:r>
    </w:p>
    <w:p>
      <w:pPr>
        <w:pStyle w:val="35"/>
        <w:spacing w:after="0" w:line="480" w:lineRule="exact"/>
        <w:jc w:val="right"/>
        <w:rPr>
          <w:rFonts w:hint="eastAsia" w:ascii="仿宋_GB2312" w:hAnsi="仿宋_GB2312" w:eastAsia="仿宋_GB2312" w:cs="仿宋_GB2312"/>
          <w:lang w:val="en-US" w:eastAsia="zh-CN" w:bidi="ar-SA"/>
        </w:rPr>
      </w:pPr>
    </w:p>
    <w:p>
      <w:pPr>
        <w:pStyle w:val="35"/>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p>
    <w:p>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r>
        <w:rPr>
          <w:rFonts w:hint="eastAsia" w:ascii="仿宋_GB2312" w:hAnsi="仿宋_GB2312" w:eastAsia="仿宋_GB2312" w:cs="仿宋_GB2312"/>
          <w:b/>
          <w:bCs/>
          <w:snapToGrid w:val="0"/>
          <w:color w:val="000000"/>
          <w:kern w:val="0"/>
        </w:rPr>
        <w:br w:type="page"/>
      </w:r>
    </w:p>
    <w:p>
      <w:pPr>
        <w:pStyle w:val="35"/>
        <w:spacing w:after="156" w:afterLines="50" w:line="480" w:lineRule="exact"/>
        <w:jc w:val="center"/>
        <w:rPr>
          <w:rFonts w:hint="eastAsia" w:ascii="仿宋_GB2312" w:hAnsi="仿宋_GB2312" w:eastAsia="仿宋_GB2312" w:cs="仿宋_GB2312"/>
          <w:b/>
          <w:bCs/>
          <w:snapToGrid w:val="0"/>
          <w:color w:val="000000"/>
          <w:kern w:val="0"/>
          <w:lang w:val="en-US" w:eastAsia="zh-CN"/>
        </w:rPr>
      </w:pPr>
      <w:bookmarkStart w:id="2" w:name="bookmark21"/>
      <w:bookmarkEnd w:id="2"/>
      <w:r>
        <w:rPr>
          <w:rFonts w:hint="eastAsia" w:ascii="仿宋_GB2312" w:hAnsi="仿宋_GB2312" w:eastAsia="仿宋_GB2312" w:cs="仿宋_GB2312"/>
          <w:b/>
          <w:bCs/>
          <w:snapToGrid w:val="0"/>
          <w:color w:val="000000"/>
          <w:kern w:val="0"/>
          <w:lang w:val="en-US" w:eastAsia="zh-CN"/>
        </w:rPr>
        <w:t>四、响应情况表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vAlign w:val="center"/>
          </w:tcPr>
          <w:p>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按采购文件规定填写</w:t>
            </w:r>
          </w:p>
        </w:tc>
        <w:tc>
          <w:tcPr>
            <w:tcW w:w="4200" w:type="dxa"/>
            <w:gridSpan w:val="2"/>
            <w:vAlign w:val="center"/>
          </w:tcPr>
          <w:p>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按</w:t>
            </w:r>
            <w:r>
              <w:rPr>
                <w:rFonts w:hint="eastAsia" w:ascii="仿宋_GB2312" w:hAnsi="仿宋_GB2312" w:eastAsia="仿宋_GB2312" w:cs="仿宋_GB2312"/>
                <w:b/>
                <w:sz w:val="28"/>
                <w:szCs w:val="22"/>
                <w:lang w:eastAsia="zh-CN"/>
              </w:rPr>
              <w:t>中标方</w:t>
            </w:r>
            <w:r>
              <w:rPr>
                <w:rFonts w:hint="eastAsia" w:ascii="仿宋_GB2312" w:hAnsi="仿宋_GB2312" w:eastAsia="仿宋_GB2312" w:cs="仿宋_GB2312"/>
                <w:b/>
                <w:sz w:val="28"/>
                <w:szCs w:val="22"/>
              </w:rPr>
              <w:t>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vAlign w:val="center"/>
          </w:tcPr>
          <w:p>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序号</w:t>
            </w:r>
          </w:p>
        </w:tc>
        <w:tc>
          <w:tcPr>
            <w:tcW w:w="1794" w:type="dxa"/>
            <w:vAlign w:val="center"/>
          </w:tcPr>
          <w:p>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内容</w:t>
            </w:r>
          </w:p>
        </w:tc>
        <w:tc>
          <w:tcPr>
            <w:tcW w:w="2196" w:type="dxa"/>
            <w:vAlign w:val="center"/>
          </w:tcPr>
          <w:p>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采购文件要求</w:t>
            </w:r>
          </w:p>
        </w:tc>
        <w:tc>
          <w:tcPr>
            <w:tcW w:w="2222" w:type="dxa"/>
            <w:vAlign w:val="center"/>
          </w:tcPr>
          <w:p>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响应承诺</w:t>
            </w:r>
          </w:p>
        </w:tc>
        <w:tc>
          <w:tcPr>
            <w:tcW w:w="1978" w:type="dxa"/>
            <w:vAlign w:val="center"/>
          </w:tcPr>
          <w:p>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1</w:t>
            </w:r>
          </w:p>
        </w:tc>
        <w:tc>
          <w:tcPr>
            <w:tcW w:w="1794" w:type="dxa"/>
            <w:vAlign w:val="center"/>
          </w:tcPr>
          <w:p>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技术响应</w:t>
            </w:r>
          </w:p>
        </w:tc>
        <w:tc>
          <w:tcPr>
            <w:tcW w:w="2196" w:type="dxa"/>
            <w:vAlign w:val="center"/>
          </w:tcPr>
          <w:p>
            <w:pPr>
              <w:spacing w:line="480" w:lineRule="exact"/>
              <w:rPr>
                <w:rFonts w:hint="eastAsia" w:ascii="仿宋_GB2312" w:hAnsi="仿宋_GB2312" w:eastAsia="仿宋_GB2312" w:cs="仿宋_GB2312"/>
                <w:sz w:val="28"/>
                <w:szCs w:val="22"/>
              </w:rPr>
            </w:pPr>
          </w:p>
        </w:tc>
        <w:tc>
          <w:tcPr>
            <w:tcW w:w="2222" w:type="dxa"/>
            <w:vAlign w:val="center"/>
          </w:tcPr>
          <w:p>
            <w:pPr>
              <w:spacing w:line="480" w:lineRule="exact"/>
              <w:rPr>
                <w:rFonts w:hint="eastAsia" w:ascii="仿宋_GB2312" w:hAnsi="仿宋_GB2312" w:eastAsia="仿宋_GB2312" w:cs="仿宋_GB2312"/>
                <w:sz w:val="28"/>
                <w:szCs w:val="22"/>
              </w:rPr>
            </w:pPr>
          </w:p>
        </w:tc>
        <w:tc>
          <w:tcPr>
            <w:tcW w:w="1978" w:type="dxa"/>
            <w:vAlign w:val="center"/>
          </w:tcPr>
          <w:p>
            <w:pPr>
              <w:spacing w:line="480" w:lineRule="exact"/>
              <w:rPr>
                <w:rFonts w:hint="eastAsia" w:ascii="仿宋_GB2312" w:hAnsi="仿宋_GB2312" w:eastAsia="仿宋_GB2312" w:cs="仿宋_GB2312"/>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2</w:t>
            </w:r>
          </w:p>
        </w:tc>
        <w:tc>
          <w:tcPr>
            <w:tcW w:w="1794" w:type="dxa"/>
            <w:vAlign w:val="center"/>
          </w:tcPr>
          <w:p>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付款响应</w:t>
            </w:r>
          </w:p>
        </w:tc>
        <w:tc>
          <w:tcPr>
            <w:tcW w:w="2196" w:type="dxa"/>
            <w:vAlign w:val="center"/>
          </w:tcPr>
          <w:p>
            <w:pPr>
              <w:spacing w:line="480" w:lineRule="exact"/>
              <w:rPr>
                <w:rFonts w:hint="eastAsia" w:ascii="仿宋_GB2312" w:hAnsi="仿宋_GB2312" w:eastAsia="仿宋_GB2312" w:cs="仿宋_GB2312"/>
                <w:sz w:val="28"/>
                <w:szCs w:val="22"/>
              </w:rPr>
            </w:pPr>
          </w:p>
        </w:tc>
        <w:tc>
          <w:tcPr>
            <w:tcW w:w="2222" w:type="dxa"/>
            <w:vAlign w:val="center"/>
          </w:tcPr>
          <w:p>
            <w:pPr>
              <w:spacing w:line="480" w:lineRule="exact"/>
              <w:rPr>
                <w:rFonts w:hint="eastAsia" w:ascii="仿宋_GB2312" w:hAnsi="仿宋_GB2312" w:eastAsia="仿宋_GB2312" w:cs="仿宋_GB2312"/>
                <w:sz w:val="28"/>
                <w:szCs w:val="22"/>
              </w:rPr>
            </w:pPr>
          </w:p>
        </w:tc>
        <w:tc>
          <w:tcPr>
            <w:tcW w:w="1978" w:type="dxa"/>
            <w:vAlign w:val="center"/>
          </w:tcPr>
          <w:p>
            <w:pPr>
              <w:spacing w:line="480" w:lineRule="exact"/>
              <w:rPr>
                <w:rFonts w:hint="eastAsia" w:ascii="仿宋_GB2312" w:hAnsi="仿宋_GB2312" w:eastAsia="仿宋_GB2312" w:cs="仿宋_GB2312"/>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3</w:t>
            </w:r>
          </w:p>
        </w:tc>
        <w:tc>
          <w:tcPr>
            <w:tcW w:w="1794" w:type="dxa"/>
            <w:vAlign w:val="center"/>
          </w:tcPr>
          <w:p>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服务期响应</w:t>
            </w:r>
          </w:p>
        </w:tc>
        <w:tc>
          <w:tcPr>
            <w:tcW w:w="2196" w:type="dxa"/>
            <w:vAlign w:val="center"/>
          </w:tcPr>
          <w:p>
            <w:pPr>
              <w:spacing w:line="480" w:lineRule="exact"/>
              <w:rPr>
                <w:rFonts w:hint="eastAsia" w:ascii="仿宋_GB2312" w:hAnsi="仿宋_GB2312" w:eastAsia="仿宋_GB2312" w:cs="仿宋_GB2312"/>
                <w:sz w:val="28"/>
                <w:szCs w:val="22"/>
              </w:rPr>
            </w:pPr>
          </w:p>
        </w:tc>
        <w:tc>
          <w:tcPr>
            <w:tcW w:w="2222" w:type="dxa"/>
            <w:vAlign w:val="center"/>
          </w:tcPr>
          <w:p>
            <w:pPr>
              <w:spacing w:line="480" w:lineRule="exact"/>
              <w:rPr>
                <w:rFonts w:hint="eastAsia" w:ascii="仿宋_GB2312" w:hAnsi="仿宋_GB2312" w:eastAsia="仿宋_GB2312" w:cs="仿宋_GB2312"/>
                <w:sz w:val="28"/>
                <w:szCs w:val="22"/>
              </w:rPr>
            </w:pPr>
          </w:p>
        </w:tc>
        <w:tc>
          <w:tcPr>
            <w:tcW w:w="1978" w:type="dxa"/>
            <w:vAlign w:val="center"/>
          </w:tcPr>
          <w:p>
            <w:pPr>
              <w:spacing w:line="480" w:lineRule="exact"/>
              <w:rPr>
                <w:rFonts w:hint="eastAsia" w:ascii="仿宋_GB2312" w:hAnsi="仿宋_GB2312" w:eastAsia="仿宋_GB2312" w:cs="仿宋_GB2312"/>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4</w:t>
            </w:r>
          </w:p>
        </w:tc>
        <w:tc>
          <w:tcPr>
            <w:tcW w:w="1794" w:type="dxa"/>
            <w:vAlign w:val="center"/>
          </w:tcPr>
          <w:p>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其他</w:t>
            </w:r>
          </w:p>
        </w:tc>
        <w:tc>
          <w:tcPr>
            <w:tcW w:w="2196" w:type="dxa"/>
            <w:vAlign w:val="center"/>
          </w:tcPr>
          <w:p>
            <w:pPr>
              <w:spacing w:line="480" w:lineRule="exact"/>
              <w:rPr>
                <w:rFonts w:hint="eastAsia" w:ascii="仿宋_GB2312" w:hAnsi="仿宋_GB2312" w:eastAsia="仿宋_GB2312" w:cs="仿宋_GB2312"/>
                <w:sz w:val="28"/>
                <w:szCs w:val="22"/>
              </w:rPr>
            </w:pPr>
          </w:p>
        </w:tc>
        <w:tc>
          <w:tcPr>
            <w:tcW w:w="2222" w:type="dxa"/>
            <w:vAlign w:val="center"/>
          </w:tcPr>
          <w:p>
            <w:pPr>
              <w:spacing w:line="480" w:lineRule="exact"/>
              <w:rPr>
                <w:rFonts w:hint="eastAsia" w:ascii="仿宋_GB2312" w:hAnsi="仿宋_GB2312" w:eastAsia="仿宋_GB2312" w:cs="仿宋_GB2312"/>
                <w:sz w:val="28"/>
                <w:szCs w:val="22"/>
              </w:rPr>
            </w:pPr>
          </w:p>
        </w:tc>
        <w:tc>
          <w:tcPr>
            <w:tcW w:w="1978" w:type="dxa"/>
            <w:vAlign w:val="center"/>
          </w:tcPr>
          <w:p>
            <w:pPr>
              <w:spacing w:line="480" w:lineRule="exact"/>
              <w:rPr>
                <w:rFonts w:hint="eastAsia" w:ascii="仿宋_GB2312" w:hAnsi="仿宋_GB2312" w:eastAsia="仿宋_GB2312" w:cs="仿宋_GB2312"/>
                <w:sz w:val="28"/>
                <w:szCs w:val="22"/>
              </w:rPr>
            </w:pPr>
          </w:p>
        </w:tc>
      </w:tr>
    </w:tbl>
    <w:p>
      <w:pPr>
        <w:spacing w:after="312" w:afterLines="100" w:line="480" w:lineRule="exact"/>
        <w:ind w:firstLine="562" w:firstLineChars="200"/>
        <w:rPr>
          <w:rFonts w:hint="eastAsia" w:ascii="仿宋_GB2312" w:hAnsi="仿宋_GB2312" w:eastAsia="仿宋_GB2312" w:cs="仿宋_GB2312"/>
          <w:sz w:val="28"/>
          <w:szCs w:val="32"/>
        </w:rPr>
      </w:pPr>
      <w:r>
        <w:rPr>
          <w:rFonts w:hint="eastAsia" w:ascii="仿宋_GB2312" w:hAnsi="仿宋_GB2312" w:eastAsia="仿宋_GB2312" w:cs="仿宋_GB2312"/>
          <w:b/>
          <w:sz w:val="28"/>
          <w:szCs w:val="28"/>
        </w:rPr>
        <w:t>注：</w:t>
      </w:r>
      <w:r>
        <w:rPr>
          <w:rFonts w:hint="eastAsia" w:ascii="仿宋_GB2312" w:hAnsi="仿宋_GB2312" w:eastAsia="仿宋_GB2312" w:cs="仿宋_GB2312"/>
          <w:sz w:val="28"/>
          <w:szCs w:val="32"/>
        </w:rPr>
        <w:t>技术响应（采购文件要求的</w:t>
      </w:r>
      <w:r>
        <w:rPr>
          <w:rFonts w:hint="eastAsia" w:ascii="仿宋_GB2312" w:hAnsi="仿宋_GB2312" w:eastAsia="仿宋_GB2312" w:cs="仿宋_GB2312"/>
          <w:bCs/>
          <w:sz w:val="28"/>
          <w:szCs w:val="32"/>
        </w:rPr>
        <w:t>所有实质性响应技术条款</w:t>
      </w:r>
      <w:r>
        <w:rPr>
          <w:rFonts w:hint="eastAsia" w:ascii="仿宋_GB2312" w:hAnsi="仿宋_GB2312" w:eastAsia="仿宋_GB2312" w:cs="仿宋_GB2312"/>
          <w:sz w:val="28"/>
          <w:szCs w:val="32"/>
        </w:rPr>
        <w:t>无重大偏离）、付款响应、服务期响应等须与询价文件要求无重大偏离，否则可能导致投标无效。</w:t>
      </w:r>
    </w:p>
    <w:p>
      <w:pPr>
        <w:pStyle w:val="35"/>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投标人盖章： </w:t>
      </w:r>
    </w:p>
    <w:p>
      <w:pPr>
        <w:pStyle w:val="35"/>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pPr>
        <w:spacing w:before="103" w:line="480" w:lineRule="exact"/>
        <w:rPr>
          <w:rFonts w:hint="eastAsia" w:ascii="仿宋_GB2312" w:hAnsi="仿宋_GB2312" w:eastAsia="仿宋_GB2312" w:cs="仿宋_GB2312"/>
          <w:sz w:val="28"/>
          <w:szCs w:val="28"/>
        </w:rPr>
      </w:pPr>
    </w:p>
    <w:p>
      <w:pPr>
        <w:spacing w:line="480" w:lineRule="exact"/>
        <w:rPr>
          <w:rFonts w:hint="eastAsia" w:ascii="仿宋_GB2312" w:hAnsi="仿宋_GB2312" w:eastAsia="仿宋_GB2312" w:cs="仿宋_GB2312"/>
          <w:sz w:val="28"/>
          <w:szCs w:val="28"/>
        </w:rPr>
      </w:pPr>
    </w:p>
    <w:p>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bookmarkStart w:id="3" w:name="bookmark24"/>
      <w:bookmarkEnd w:id="3"/>
      <w:r>
        <w:rPr>
          <w:rFonts w:hint="eastAsia" w:ascii="仿宋_GB2312" w:hAnsi="仿宋_GB2312" w:eastAsia="仿宋_GB2312" w:cs="仿宋_GB2312"/>
          <w:b/>
          <w:bCs/>
          <w:snapToGrid w:val="0"/>
          <w:color w:val="000000"/>
          <w:kern w:val="0"/>
        </w:rPr>
        <w:br w:type="page"/>
      </w:r>
    </w:p>
    <w:p>
      <w:pPr>
        <w:pStyle w:val="35"/>
        <w:spacing w:after="0" w:line="480" w:lineRule="exact"/>
        <w:jc w:val="center"/>
        <w:rPr>
          <w:rFonts w:hint="eastAsia" w:ascii="仿宋_GB2312" w:hAnsi="仿宋_GB2312" w:eastAsia="仿宋_GB2312" w:cs="仿宋_GB2312"/>
          <w:b/>
          <w:bCs/>
          <w:snapToGrid w:val="0"/>
          <w:color w:val="000000"/>
          <w:kern w:val="0"/>
          <w:lang w:val="en-US" w:eastAsia="zh-CN"/>
        </w:rPr>
      </w:pPr>
      <w:r>
        <w:rPr>
          <w:rFonts w:hint="eastAsia" w:ascii="仿宋_GB2312" w:hAnsi="仿宋_GB2312" w:eastAsia="仿宋_GB2312" w:cs="仿宋_GB2312"/>
          <w:b/>
          <w:bCs/>
          <w:snapToGrid w:val="0"/>
          <w:color w:val="000000"/>
          <w:kern w:val="0"/>
          <w:lang w:val="en-US" w:eastAsia="zh-CN"/>
        </w:rPr>
        <w:t>五、投标函</w:t>
      </w:r>
    </w:p>
    <w:p>
      <w:pPr>
        <w:pStyle w:val="7"/>
        <w:spacing w:after="0" w:line="480" w:lineRule="exac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致：__</w:t>
      </w:r>
      <w:r>
        <w:rPr>
          <w:rFonts w:hint="eastAsia" w:ascii="仿宋_GB2312" w:hAnsi="仿宋_GB2312" w:eastAsia="仿宋_GB2312" w:cs="仿宋_GB2312"/>
          <w:spacing w:val="-5"/>
          <w:sz w:val="28"/>
          <w:szCs w:val="28"/>
          <w:u w:val="none"/>
        </w:rPr>
        <w:t>__</w:t>
      </w:r>
      <w:r>
        <w:rPr>
          <w:rFonts w:hint="eastAsia" w:ascii="仿宋_GB2312" w:hAnsi="仿宋_GB2312" w:eastAsia="仿宋_GB2312" w:cs="仿宋_GB2312"/>
          <w:spacing w:val="-5"/>
          <w:sz w:val="28"/>
          <w:szCs w:val="28"/>
          <w:u w:val="single"/>
          <w:lang w:val="en-US" w:eastAsia="zh-CN"/>
        </w:rPr>
        <w:t xml:space="preserve">         </w:t>
      </w:r>
      <w:r>
        <w:rPr>
          <w:rFonts w:hint="eastAsia" w:ascii="仿宋_GB2312" w:hAnsi="仿宋_GB2312" w:eastAsia="仿宋_GB2312" w:cs="仿宋_GB2312"/>
          <w:spacing w:val="-5"/>
          <w:sz w:val="28"/>
          <w:szCs w:val="28"/>
          <w:u w:val="none"/>
        </w:rPr>
        <w:t>__</w:t>
      </w:r>
    </w:p>
    <w:p>
      <w:pPr>
        <w:pStyle w:val="7"/>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根据贵方“</w:t>
      </w:r>
      <w:r>
        <w:rPr>
          <w:rFonts w:hint="eastAsia" w:ascii="仿宋_GB2312" w:hAnsi="仿宋_GB2312" w:eastAsia="仿宋_GB2312" w:cs="仿宋_GB2312"/>
          <w:spacing w:val="-5"/>
          <w:sz w:val="28"/>
          <w:szCs w:val="28"/>
          <w:u w:val="single"/>
        </w:rPr>
        <w:t xml:space="preserve"> 某项目 </w:t>
      </w:r>
      <w:r>
        <w:rPr>
          <w:rFonts w:hint="eastAsia" w:ascii="仿宋_GB2312" w:hAnsi="仿宋_GB2312" w:eastAsia="仿宋_GB2312" w:cs="仿宋_GB2312"/>
          <w:spacing w:val="-5"/>
          <w:sz w:val="28"/>
          <w:szCs w:val="28"/>
        </w:rPr>
        <w:t>”的第</w:t>
      </w:r>
      <w:r>
        <w:rPr>
          <w:rFonts w:hint="eastAsia" w:ascii="仿宋_GB2312" w:hAnsi="仿宋_GB2312" w:eastAsia="仿宋_GB2312" w:cs="仿宋_GB2312"/>
          <w:spacing w:val="-5"/>
          <w:sz w:val="28"/>
          <w:szCs w:val="28"/>
          <w:u w:val="single"/>
        </w:rPr>
        <w:t xml:space="preserve"> 某编号 </w:t>
      </w:r>
      <w:r>
        <w:rPr>
          <w:rFonts w:hint="eastAsia" w:ascii="仿宋_GB2312" w:hAnsi="仿宋_GB2312" w:eastAsia="仿宋_GB2312" w:cs="仿宋_GB2312"/>
          <w:spacing w:val="-5"/>
          <w:sz w:val="28"/>
          <w:szCs w:val="28"/>
        </w:rPr>
        <w:t>招标公告，正式授权</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（姓名）代表投标人</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（投标人全称）。据此函，签字人兹宣布同意如下：</w:t>
      </w:r>
    </w:p>
    <w:p>
      <w:pPr>
        <w:pStyle w:val="7"/>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1、按询价文件规定提供交付的服务的投标报价详见报价表，并按要求进行二轮报价为我方的最终报价。</w:t>
      </w:r>
    </w:p>
    <w:p>
      <w:pPr>
        <w:pStyle w:val="7"/>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2、我方根据询价文件的规定，严格履行合同的责任和义务,并保证于采购人要求的日期内完成服务，并通过采购人验收。</w:t>
      </w:r>
    </w:p>
    <w:p>
      <w:pPr>
        <w:pStyle w:val="7"/>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3</w:t>
      </w:r>
      <w:r>
        <w:rPr>
          <w:rFonts w:hint="eastAsia" w:ascii="仿宋_GB2312" w:hAnsi="仿宋_GB2312" w:eastAsia="仿宋_GB2312" w:cs="仿宋_GB2312"/>
          <w:spacing w:val="-5"/>
          <w:sz w:val="28"/>
          <w:szCs w:val="28"/>
        </w:rPr>
        <w:t>、我方已详细审核全部询价文件，包括询价文件的答疑、澄清、变更或补充（如有），参考资料及有关附件，我方正式认可并遵守本次询价文件，并对询价文件各项条款（包括开标时间）、规定及要求均无异议。我方知道必须放弃提出含糊不清或误解的问题的权利。</w:t>
      </w:r>
    </w:p>
    <w:p>
      <w:pPr>
        <w:pStyle w:val="7"/>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4</w:t>
      </w:r>
      <w:r>
        <w:rPr>
          <w:rFonts w:hint="eastAsia" w:ascii="仿宋_GB2312" w:hAnsi="仿宋_GB2312" w:eastAsia="仿宋_GB2312" w:cs="仿宋_GB2312"/>
          <w:spacing w:val="-5"/>
          <w:sz w:val="28"/>
          <w:szCs w:val="28"/>
        </w:rPr>
        <w:t>、我方同意从询价文件规定的开标日期起遵循本投标文件，并在询价文件规定的投标有效期之前均具有约束力。</w:t>
      </w:r>
    </w:p>
    <w:p>
      <w:pPr>
        <w:pStyle w:val="7"/>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5</w:t>
      </w:r>
      <w:r>
        <w:rPr>
          <w:rFonts w:hint="eastAsia" w:ascii="仿宋_GB2312" w:hAnsi="仿宋_GB2312" w:eastAsia="仿宋_GB2312" w:cs="仿宋_GB2312"/>
          <w:spacing w:val="-5"/>
          <w:sz w:val="28"/>
          <w:szCs w:val="28"/>
        </w:rPr>
        <w:t>、我方声明投标文件所提供的一切资料均真实无误、及时、有效。企业运营正常（注册登记信息、年报信息可查），由于我方提供资料不实而造成的责任和后果由我方承担。我方同意按照贵方提出的要求，提供与投标有关的任何证据、数据或资料。</w:t>
      </w:r>
    </w:p>
    <w:p>
      <w:pPr>
        <w:pStyle w:val="7"/>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6</w:t>
      </w:r>
      <w:r>
        <w:rPr>
          <w:rFonts w:hint="eastAsia" w:ascii="仿宋_GB2312" w:hAnsi="仿宋_GB2312" w:eastAsia="仿宋_GB2312" w:cs="仿宋_GB2312"/>
          <w:spacing w:val="-5"/>
          <w:sz w:val="28"/>
          <w:szCs w:val="28"/>
        </w:rPr>
        <w:t>、我方完全理解贵方不一定接受最低报价的投标。</w:t>
      </w:r>
    </w:p>
    <w:p>
      <w:pPr>
        <w:pStyle w:val="7"/>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7</w:t>
      </w:r>
      <w:r>
        <w:rPr>
          <w:rFonts w:hint="eastAsia" w:ascii="仿宋_GB2312" w:hAnsi="仿宋_GB2312" w:eastAsia="仿宋_GB2312" w:cs="仿宋_GB2312"/>
          <w:spacing w:val="-5"/>
          <w:sz w:val="28"/>
          <w:szCs w:val="28"/>
        </w:rPr>
        <w:t>、我方同意询价文件规定的付款方式。</w:t>
      </w:r>
    </w:p>
    <w:p>
      <w:pPr>
        <w:pStyle w:val="7"/>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8</w:t>
      </w:r>
      <w:r>
        <w:rPr>
          <w:rFonts w:hint="eastAsia" w:ascii="仿宋_GB2312" w:hAnsi="仿宋_GB2312" w:eastAsia="仿宋_GB2312" w:cs="仿宋_GB2312"/>
          <w:spacing w:val="-5"/>
          <w:sz w:val="28"/>
          <w:szCs w:val="28"/>
        </w:rPr>
        <w:t xml:space="preserve">、与本投标有关的通讯地址：                                  </w:t>
      </w:r>
    </w:p>
    <w:p>
      <w:pPr>
        <w:pStyle w:val="7"/>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电    话：</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 xml:space="preserve">     传    真：</w:t>
      </w:r>
      <w:r>
        <w:rPr>
          <w:rFonts w:hint="eastAsia" w:ascii="仿宋_GB2312" w:hAnsi="仿宋_GB2312" w:eastAsia="仿宋_GB2312" w:cs="仿宋_GB2312"/>
          <w:spacing w:val="-5"/>
          <w:sz w:val="28"/>
          <w:szCs w:val="28"/>
          <w:u w:val="single"/>
        </w:rPr>
        <w:t xml:space="preserve">                 </w:t>
      </w:r>
    </w:p>
    <w:p>
      <w:pPr>
        <w:pStyle w:val="7"/>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投标人基本账户开户名：</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 xml:space="preserve">    </w:t>
      </w:r>
    </w:p>
    <w:p>
      <w:pPr>
        <w:pStyle w:val="7"/>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账号：</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 xml:space="preserve">   开户行：</w:t>
      </w:r>
      <w:r>
        <w:rPr>
          <w:rFonts w:hint="eastAsia" w:ascii="仿宋_GB2312" w:hAnsi="仿宋_GB2312" w:eastAsia="仿宋_GB2312" w:cs="仿宋_GB2312"/>
          <w:spacing w:val="-5"/>
          <w:sz w:val="28"/>
          <w:szCs w:val="28"/>
          <w:u w:val="single"/>
        </w:rPr>
        <w:t xml:space="preserve">                  </w:t>
      </w:r>
    </w:p>
    <w:p>
      <w:pPr>
        <w:pStyle w:val="35"/>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投标人盖章： </w:t>
      </w:r>
    </w:p>
    <w:p>
      <w:pPr>
        <w:pStyle w:val="35"/>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r>
        <w:rPr>
          <w:rFonts w:hint="eastAsia" w:ascii="仿宋_GB2312" w:hAnsi="仿宋_GB2312" w:eastAsia="仿宋_GB2312" w:cs="仿宋_GB2312"/>
          <w:b/>
          <w:bCs/>
          <w:snapToGrid w:val="0"/>
          <w:color w:val="000000"/>
          <w:kern w:val="0"/>
        </w:rPr>
        <w:br w:type="page"/>
      </w:r>
    </w:p>
    <w:p>
      <w:pPr>
        <w:pStyle w:val="35"/>
        <w:spacing w:after="0" w:line="480" w:lineRule="exact"/>
        <w:jc w:val="center"/>
        <w:rPr>
          <w:rFonts w:hint="eastAsia" w:ascii="仿宋_GB2312" w:hAnsi="仿宋_GB2312" w:eastAsia="仿宋_GB2312" w:cs="仿宋_GB2312"/>
          <w:b/>
          <w:bCs/>
          <w:snapToGrid w:val="0"/>
          <w:color w:val="000000"/>
          <w:kern w:val="0"/>
          <w:lang w:val="en-US" w:eastAsia="zh-CN"/>
        </w:rPr>
      </w:pPr>
      <w:r>
        <w:rPr>
          <w:rFonts w:hint="eastAsia" w:ascii="仿宋_GB2312" w:hAnsi="仿宋_GB2312" w:eastAsia="仿宋_GB2312" w:cs="仿宋_GB2312"/>
          <w:b/>
          <w:bCs/>
          <w:snapToGrid w:val="0"/>
          <w:color w:val="000000"/>
          <w:kern w:val="0"/>
          <w:lang w:val="en-US" w:eastAsia="zh-CN"/>
        </w:rPr>
        <w:t>六、询价文件要求和中标方认为需要提供的其它说明和资料</w:t>
      </w:r>
    </w:p>
    <w:p>
      <w:pPr>
        <w:pStyle w:val="7"/>
        <w:spacing w:before="147"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（根据采购相关要求提供）</w:t>
      </w:r>
    </w:p>
    <w:p>
      <w:pPr>
        <w:pStyle w:val="35"/>
        <w:spacing w:after="0" w:line="480" w:lineRule="exact"/>
        <w:jc w:val="center"/>
        <w:rPr>
          <w:rFonts w:hint="eastAsia" w:ascii="仿宋_GB2312" w:hAnsi="仿宋_GB2312" w:eastAsia="仿宋_GB2312" w:cs="仿宋_GB2312"/>
          <w:b/>
          <w:bCs/>
          <w:snapToGrid w:val="0"/>
          <w:color w:val="000000"/>
          <w:kern w:val="0"/>
          <w:lang w:val="en-US" w:eastAsia="zh-CN"/>
        </w:rPr>
      </w:pPr>
    </w:p>
    <w:p>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snapToGrid w:val="0"/>
          <w:color w:val="000000"/>
          <w:kern w:val="0"/>
          <w:lang w:val="en-US" w:eastAsia="zh-CN"/>
        </w:rPr>
        <w:t>七、六安市中医院临时发热门诊拆除及建材回收项目报价表</w:t>
      </w:r>
    </w:p>
    <w:tbl>
      <w:tblPr>
        <w:tblStyle w:val="15"/>
        <w:tblpPr w:leftFromText="180" w:rightFromText="180" w:vertAnchor="text" w:horzAnchor="page" w:tblpXSpec="center" w:tblpY="149"/>
        <w:tblOverlap w:val="never"/>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4"/>
        <w:gridCol w:w="1125"/>
        <w:gridCol w:w="3332"/>
        <w:gridCol w:w="1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74" w:type="dxa"/>
          </w:tcPr>
          <w:p>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工程名称</w:t>
            </w:r>
          </w:p>
        </w:tc>
        <w:tc>
          <w:tcPr>
            <w:tcW w:w="1125" w:type="dxa"/>
          </w:tcPr>
          <w:p>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单位</w:t>
            </w:r>
          </w:p>
        </w:tc>
        <w:tc>
          <w:tcPr>
            <w:tcW w:w="3332" w:type="dxa"/>
          </w:tcPr>
          <w:p>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报价（元）</w:t>
            </w:r>
          </w:p>
        </w:tc>
        <w:tc>
          <w:tcPr>
            <w:tcW w:w="1490" w:type="dxa"/>
          </w:tcPr>
          <w:p>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dxa"/>
          </w:tcPr>
          <w:p>
            <w:pPr>
              <w:pStyle w:val="35"/>
              <w:spacing w:after="0" w:line="480" w:lineRule="exact"/>
              <w:jc w:val="center"/>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临时发热门诊拆除及建材回收</w:t>
            </w:r>
            <w:bookmarkStart w:id="5" w:name="_GoBack"/>
            <w:bookmarkEnd w:id="5"/>
          </w:p>
        </w:tc>
        <w:tc>
          <w:tcPr>
            <w:tcW w:w="1125" w:type="dxa"/>
          </w:tcPr>
          <w:p>
            <w:pPr>
              <w:pStyle w:val="35"/>
              <w:spacing w:after="0" w:line="480" w:lineRule="exact"/>
              <w:jc w:val="center"/>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项</w:t>
            </w:r>
          </w:p>
        </w:tc>
        <w:tc>
          <w:tcPr>
            <w:tcW w:w="3332" w:type="dxa"/>
          </w:tcPr>
          <w:p>
            <w:pPr>
              <w:pStyle w:val="35"/>
              <w:spacing w:after="0" w:line="480" w:lineRule="exact"/>
              <w:jc w:val="center"/>
              <w:rPr>
                <w:rFonts w:hint="eastAsia" w:ascii="仿宋_GB2312" w:hAnsi="仿宋_GB2312" w:eastAsia="仿宋_GB2312" w:cs="仿宋_GB2312"/>
                <w:lang w:val="en-US" w:eastAsia="zh-CN" w:bidi="ar-SA"/>
              </w:rPr>
            </w:pPr>
          </w:p>
        </w:tc>
        <w:tc>
          <w:tcPr>
            <w:tcW w:w="1490" w:type="dxa"/>
          </w:tcPr>
          <w:p>
            <w:pPr>
              <w:pStyle w:val="35"/>
              <w:spacing w:after="0" w:line="480" w:lineRule="exact"/>
              <w:jc w:val="center"/>
              <w:rPr>
                <w:rFonts w:hint="eastAsia" w:ascii="仿宋_GB2312" w:hAnsi="仿宋_GB2312" w:eastAsia="仿宋_GB2312" w:cs="仿宋_GB231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1" w:type="dxa"/>
            <w:gridSpan w:val="4"/>
          </w:tcPr>
          <w:p>
            <w:pPr>
              <w:pStyle w:val="35"/>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 xml:space="preserve">合计金额（元）： </w:t>
            </w:r>
          </w:p>
        </w:tc>
      </w:tr>
    </w:tbl>
    <w:p>
      <w:pPr>
        <w:pStyle w:val="35"/>
        <w:spacing w:after="0" w:line="480" w:lineRule="exact"/>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（注：以上报价含施工费用、人工费、物流运输费、材料费(设备费)机械费、管理费、安全文明施工费、利润、规费以及有关文件规定的调价、税金、一定范围内的风险等全部费用。）</w:t>
      </w:r>
    </w:p>
    <w:p>
      <w:pPr>
        <w:pStyle w:val="35"/>
        <w:spacing w:line="480" w:lineRule="exact"/>
        <w:ind w:firstLine="5600" w:firstLineChars="2000"/>
        <w:jc w:val="both"/>
        <w:rPr>
          <w:rFonts w:hint="eastAsia" w:ascii="仿宋_GB2312" w:hAnsi="仿宋_GB2312" w:eastAsia="仿宋_GB2312" w:cs="仿宋_GB2312"/>
          <w:lang w:val="en-US" w:eastAsia="zh-CN" w:bidi="ar-SA"/>
        </w:rPr>
      </w:pPr>
      <w:bookmarkStart w:id="4" w:name="_Hlk148546489"/>
      <w:r>
        <w:rPr>
          <w:rFonts w:hint="eastAsia" w:ascii="仿宋_GB2312" w:hAnsi="仿宋_GB2312" w:eastAsia="仿宋_GB2312" w:cs="仿宋_GB2312"/>
          <w:lang w:val="en-US" w:eastAsia="zh-CN" w:bidi="ar-SA"/>
        </w:rPr>
        <w:t xml:space="preserve"> 投标人盖章： </w:t>
      </w:r>
    </w:p>
    <w:p>
      <w:pPr>
        <w:pStyle w:val="35"/>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bookmarkEnd w:id="4"/>
    </w:p>
    <w:sectPr>
      <w:headerReference r:id="rId3" w:type="default"/>
      <w:footerReference r:id="rId4" w:type="default"/>
      <w:pgSz w:w="11906" w:h="16838"/>
      <w:pgMar w:top="1361" w:right="1758" w:bottom="1361" w:left="1758" w:header="851" w:footer="794"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2</w: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67497F"/>
    <w:multiLevelType w:val="singleLevel"/>
    <w:tmpl w:val="E667497F"/>
    <w:lvl w:ilvl="0" w:tentative="0">
      <w:start w:val="1"/>
      <w:numFmt w:val="decimal"/>
      <w:lvlText w:val="%1."/>
      <w:lvlJc w:val="left"/>
      <w:pPr>
        <w:ind w:left="425" w:hanging="425"/>
      </w:pPr>
      <w:rPr>
        <w:rFonts w:hint="default"/>
      </w:rPr>
    </w:lvl>
  </w:abstractNum>
  <w:abstractNum w:abstractNumId="1">
    <w:nsid w:val="00000001"/>
    <w:multiLevelType w:val="singleLevel"/>
    <w:tmpl w:val="0000000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RkMjlkOTM0YzExMGZlMjNhMzBhMGI5MWNmYTM3YjQifQ=="/>
  </w:docVars>
  <w:rsids>
    <w:rsidRoot w:val="00000000"/>
    <w:rsid w:val="086A1097"/>
    <w:rsid w:val="095D3437"/>
    <w:rsid w:val="112041FA"/>
    <w:rsid w:val="19F53DD2"/>
    <w:rsid w:val="256B24DE"/>
    <w:rsid w:val="26DB5D7A"/>
    <w:rsid w:val="2F8329CC"/>
    <w:rsid w:val="3E2D4B12"/>
    <w:rsid w:val="456B5FCB"/>
    <w:rsid w:val="47E763C2"/>
    <w:rsid w:val="4BC76A5A"/>
    <w:rsid w:val="5B6A500E"/>
    <w:rsid w:val="6C9265BD"/>
    <w:rsid w:val="6F2E5F27"/>
    <w:rsid w:val="7FAA6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2"/>
    <w:basedOn w:val="1"/>
    <w:next w:val="1"/>
    <w:link w:val="21"/>
    <w:autoRedefine/>
    <w:qFormat/>
    <w:uiPriority w:val="0"/>
    <w:pPr>
      <w:keepNext/>
      <w:keepLines/>
      <w:spacing w:before="260" w:after="260" w:line="413" w:lineRule="auto"/>
      <w:outlineLvl w:val="1"/>
    </w:pPr>
    <w:rPr>
      <w:rFonts w:ascii="Arial" w:hAnsi="Arial" w:eastAsia="黑体"/>
      <w:b/>
      <w:sz w:val="32"/>
    </w:rPr>
  </w:style>
  <w:style w:type="character" w:default="1" w:styleId="16">
    <w:name w:val="Default Paragraph Font"/>
    <w:autoRedefine/>
    <w:qFormat/>
    <w:uiPriority w:val="1"/>
  </w:style>
  <w:style w:type="table" w:default="1" w:styleId="14">
    <w:name w:val="Normal Table"/>
    <w:autoRedefine/>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99"/>
    <w:pPr>
      <w:ind w:firstLine="420" w:firstLineChars="200"/>
    </w:pPr>
  </w:style>
  <w:style w:type="paragraph" w:styleId="3">
    <w:name w:val="Body Text Indent"/>
    <w:basedOn w:val="1"/>
    <w:next w:val="4"/>
    <w:autoRedefine/>
    <w:qFormat/>
    <w:uiPriority w:val="0"/>
    <w:pPr>
      <w:spacing w:line="480" w:lineRule="auto"/>
      <w:ind w:firstLine="600"/>
    </w:pPr>
    <w:rPr>
      <w:sz w:val="28"/>
      <w:szCs w:val="20"/>
    </w:rPr>
  </w:style>
  <w:style w:type="paragraph" w:styleId="4">
    <w:name w:val="annotation subject"/>
    <w:basedOn w:val="5"/>
    <w:next w:val="1"/>
    <w:autoRedefine/>
    <w:qFormat/>
    <w:uiPriority w:val="0"/>
    <w:rPr>
      <w:b/>
      <w:bCs/>
    </w:rPr>
  </w:style>
  <w:style w:type="paragraph" w:styleId="5">
    <w:name w:val="annotation text"/>
    <w:basedOn w:val="1"/>
    <w:autoRedefine/>
    <w:qFormat/>
    <w:uiPriority w:val="0"/>
    <w:pPr>
      <w:jc w:val="left"/>
    </w:pPr>
  </w:style>
  <w:style w:type="paragraph" w:styleId="7">
    <w:name w:val="Body Text"/>
    <w:basedOn w:val="1"/>
    <w:link w:val="40"/>
    <w:autoRedefine/>
    <w:qFormat/>
    <w:uiPriority w:val="0"/>
    <w:pPr>
      <w:spacing w:after="120"/>
    </w:pPr>
  </w:style>
  <w:style w:type="paragraph" w:styleId="8">
    <w:name w:val="Plain Text"/>
    <w:basedOn w:val="1"/>
    <w:link w:val="39"/>
    <w:autoRedefine/>
    <w:qFormat/>
    <w:uiPriority w:val="0"/>
    <w:rPr>
      <w:rFonts w:ascii="宋体" w:hAnsi="Courier New"/>
      <w:szCs w:val="20"/>
    </w:rPr>
  </w:style>
  <w:style w:type="paragraph" w:styleId="9">
    <w:name w:val="footer"/>
    <w:basedOn w:val="1"/>
    <w:link w:val="22"/>
    <w:autoRedefine/>
    <w:qFormat/>
    <w:uiPriority w:val="99"/>
    <w:pPr>
      <w:tabs>
        <w:tab w:val="center" w:pos="4153"/>
        <w:tab w:val="right" w:pos="8306"/>
      </w:tabs>
      <w:snapToGrid w:val="0"/>
      <w:jc w:val="left"/>
    </w:pPr>
    <w:rPr>
      <w:sz w:val="18"/>
      <w:szCs w:val="18"/>
    </w:rPr>
  </w:style>
  <w:style w:type="paragraph" w:styleId="10">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autoRedefine/>
    <w:qFormat/>
    <w:uiPriority w:val="0"/>
    <w:pPr>
      <w:adjustRightInd w:val="0"/>
      <w:snapToGrid w:val="0"/>
      <w:spacing w:line="360" w:lineRule="auto"/>
      <w:jc w:val="center"/>
    </w:pPr>
    <w:rPr>
      <w:rFonts w:ascii="黑体" w:eastAsia="黑体"/>
      <w:b/>
      <w:snapToGrid w:val="0"/>
      <w:kern w:val="0"/>
      <w:sz w:val="84"/>
    </w:rPr>
  </w:style>
  <w:style w:type="paragraph" w:styleId="12">
    <w:name w:val="Normal (Web)"/>
    <w:basedOn w:val="1"/>
    <w:autoRedefine/>
    <w:qFormat/>
    <w:uiPriority w:val="0"/>
    <w:pPr>
      <w:jc w:val="left"/>
    </w:pPr>
    <w:rPr>
      <w:kern w:val="0"/>
      <w:sz w:val="24"/>
    </w:rPr>
  </w:style>
  <w:style w:type="paragraph" w:styleId="13">
    <w:name w:val="Body Text First Indent"/>
    <w:basedOn w:val="7"/>
    <w:autoRedefine/>
    <w:qFormat/>
    <w:uiPriority w:val="99"/>
    <w:pPr>
      <w:spacing w:line="400" w:lineRule="atLeast"/>
      <w:ind w:firstLine="426"/>
    </w:pPr>
    <w:rPr>
      <w:rFonts w:ascii="Times New Roman" w:hAnsi="Times New Roman"/>
      <w:sz w:val="24"/>
      <w:szCs w:val="20"/>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autoRedefine/>
    <w:qFormat/>
    <w:uiPriority w:val="22"/>
    <w:rPr>
      <w:b/>
      <w:bCs/>
    </w:rPr>
  </w:style>
  <w:style w:type="character" w:styleId="18">
    <w:name w:val="page number"/>
    <w:basedOn w:val="16"/>
    <w:autoRedefine/>
    <w:qFormat/>
    <w:uiPriority w:val="0"/>
  </w:style>
  <w:style w:type="character" w:styleId="19">
    <w:name w:val="FollowedHyperlink"/>
    <w:autoRedefine/>
    <w:qFormat/>
    <w:uiPriority w:val="0"/>
    <w:rPr>
      <w:color w:val="000000"/>
      <w:u w:val="none"/>
    </w:rPr>
  </w:style>
  <w:style w:type="character" w:styleId="20">
    <w:name w:val="Hyperlink"/>
    <w:autoRedefine/>
    <w:qFormat/>
    <w:uiPriority w:val="0"/>
    <w:rPr>
      <w:color w:val="000000"/>
      <w:u w:val="none"/>
    </w:rPr>
  </w:style>
  <w:style w:type="character" w:customStyle="1" w:styleId="21">
    <w:name w:val="标题 2 字符"/>
    <w:link w:val="6"/>
    <w:autoRedefine/>
    <w:qFormat/>
    <w:uiPriority w:val="0"/>
    <w:rPr>
      <w:rFonts w:ascii="Arial" w:hAnsi="Arial" w:eastAsia="黑体"/>
      <w:b/>
      <w:sz w:val="32"/>
    </w:rPr>
  </w:style>
  <w:style w:type="character" w:customStyle="1" w:styleId="22">
    <w:name w:val="页脚 字符"/>
    <w:link w:val="9"/>
    <w:autoRedefine/>
    <w:qFormat/>
    <w:uiPriority w:val="99"/>
    <w:rPr>
      <w:rFonts w:ascii="Calibri" w:hAnsi="Calibri"/>
      <w:kern w:val="2"/>
      <w:sz w:val="18"/>
      <w:szCs w:val="18"/>
    </w:rPr>
  </w:style>
  <w:style w:type="character" w:customStyle="1" w:styleId="23">
    <w:name w:val="页眉 字符"/>
    <w:link w:val="10"/>
    <w:autoRedefine/>
    <w:qFormat/>
    <w:uiPriority w:val="0"/>
    <w:rPr>
      <w:rFonts w:ascii="Calibri" w:hAnsi="Calibri"/>
      <w:kern w:val="2"/>
      <w:sz w:val="18"/>
      <w:szCs w:val="18"/>
    </w:rPr>
  </w:style>
  <w:style w:type="character" w:customStyle="1" w:styleId="24">
    <w:name w:val="jbox-icon-success"/>
    <w:basedOn w:val="16"/>
    <w:autoRedefine/>
    <w:qFormat/>
    <w:uiPriority w:val="0"/>
  </w:style>
  <w:style w:type="character" w:customStyle="1" w:styleId="25">
    <w:name w:val="jbox-icon-loading"/>
    <w:basedOn w:val="16"/>
    <w:autoRedefine/>
    <w:qFormat/>
    <w:uiPriority w:val="0"/>
  </w:style>
  <w:style w:type="character" w:customStyle="1" w:styleId="26">
    <w:name w:val="jbox-icon-error"/>
    <w:basedOn w:val="16"/>
    <w:autoRedefine/>
    <w:qFormat/>
    <w:uiPriority w:val="0"/>
  </w:style>
  <w:style w:type="character" w:customStyle="1" w:styleId="27">
    <w:name w:val="jbox-icon-question"/>
    <w:basedOn w:val="16"/>
    <w:autoRedefine/>
    <w:qFormat/>
    <w:uiPriority w:val="0"/>
  </w:style>
  <w:style w:type="character" w:customStyle="1" w:styleId="28">
    <w:name w:val="jbox-icon"/>
    <w:basedOn w:val="16"/>
    <w:autoRedefine/>
    <w:qFormat/>
    <w:uiPriority w:val="0"/>
  </w:style>
  <w:style w:type="character" w:customStyle="1" w:styleId="29">
    <w:name w:val="jbox-icon-info"/>
    <w:basedOn w:val="16"/>
    <w:autoRedefine/>
    <w:qFormat/>
    <w:uiPriority w:val="0"/>
  </w:style>
  <w:style w:type="character" w:customStyle="1" w:styleId="30">
    <w:name w:val="jbox-icon-warning"/>
    <w:basedOn w:val="16"/>
    <w:autoRedefine/>
    <w:qFormat/>
    <w:uiPriority w:val="0"/>
  </w:style>
  <w:style w:type="character" w:customStyle="1" w:styleId="31">
    <w:name w:val="jbox-icon-none"/>
    <w:autoRedefine/>
    <w:qFormat/>
    <w:uiPriority w:val="0"/>
    <w:rPr>
      <w:vanish/>
    </w:rPr>
  </w:style>
  <w:style w:type="paragraph" w:customStyle="1" w:styleId="32">
    <w:name w:val="z-窗体底端1"/>
    <w:basedOn w:val="1"/>
    <w:next w:val="1"/>
    <w:autoRedefine/>
    <w:qFormat/>
    <w:uiPriority w:val="0"/>
    <w:pPr>
      <w:pBdr>
        <w:top w:val="single" w:color="auto" w:sz="6" w:space="1"/>
      </w:pBdr>
      <w:jc w:val="center"/>
    </w:pPr>
    <w:rPr>
      <w:rFonts w:ascii="Arial"/>
      <w:vanish/>
      <w:sz w:val="16"/>
    </w:rPr>
  </w:style>
  <w:style w:type="paragraph" w:customStyle="1" w:styleId="33">
    <w:name w:val="z-窗体顶端1"/>
    <w:basedOn w:val="1"/>
    <w:next w:val="1"/>
    <w:autoRedefine/>
    <w:qFormat/>
    <w:uiPriority w:val="0"/>
    <w:pPr>
      <w:pBdr>
        <w:bottom w:val="single" w:color="auto" w:sz="6" w:space="1"/>
      </w:pBdr>
      <w:jc w:val="center"/>
    </w:pPr>
    <w:rPr>
      <w:rFonts w:ascii="Arial"/>
      <w:vanish/>
      <w:sz w:val="16"/>
    </w:rPr>
  </w:style>
  <w:style w:type="character" w:customStyle="1" w:styleId="34">
    <w:name w:val="未处理的提及1"/>
    <w:autoRedefine/>
    <w:qFormat/>
    <w:uiPriority w:val="99"/>
    <w:rPr>
      <w:color w:val="605E5C"/>
      <w:shd w:val="clear" w:color="auto" w:fill="E1DFDD"/>
    </w:rPr>
  </w:style>
  <w:style w:type="paragraph" w:customStyle="1" w:styleId="35">
    <w:name w:val="Body text|1"/>
    <w:basedOn w:val="1"/>
    <w:autoRedefine/>
    <w:qFormat/>
    <w:uiPriority w:val="0"/>
    <w:pPr>
      <w:spacing w:after="50" w:line="480" w:lineRule="auto"/>
    </w:pPr>
    <w:rPr>
      <w:rFonts w:ascii="宋体" w:hAnsi="宋体" w:cs="宋体"/>
      <w:sz w:val="28"/>
      <w:szCs w:val="28"/>
      <w:lang w:val="zh-TW" w:eastAsia="zh-TW" w:bidi="zh-TW"/>
    </w:rPr>
  </w:style>
  <w:style w:type="paragraph" w:customStyle="1" w:styleId="36">
    <w:name w:val="Body text|2"/>
    <w:basedOn w:val="1"/>
    <w:autoRedefine/>
    <w:qFormat/>
    <w:uiPriority w:val="0"/>
    <w:pPr>
      <w:spacing w:after="100" w:line="180" w:lineRule="auto"/>
      <w:ind w:left="5360"/>
    </w:pPr>
    <w:rPr>
      <w:sz w:val="26"/>
      <w:szCs w:val="26"/>
    </w:rPr>
  </w:style>
  <w:style w:type="table" w:customStyle="1" w:styleId="37">
    <w:name w:val="Table Normal"/>
    <w:autoRedefine/>
    <w:qFormat/>
    <w:uiPriority w:val="0"/>
    <w:tblPr>
      <w:tblCellMar>
        <w:top w:w="0" w:type="dxa"/>
        <w:left w:w="0" w:type="dxa"/>
        <w:bottom w:w="0" w:type="dxa"/>
        <w:right w:w="0" w:type="dxa"/>
      </w:tblCellMar>
    </w:tblPr>
  </w:style>
  <w:style w:type="paragraph" w:customStyle="1" w:styleId="38">
    <w:name w:val="Char"/>
    <w:basedOn w:val="1"/>
    <w:autoRedefine/>
    <w:qFormat/>
    <w:uiPriority w:val="0"/>
  </w:style>
  <w:style w:type="character" w:customStyle="1" w:styleId="39">
    <w:name w:val="纯文本 字符"/>
    <w:basedOn w:val="16"/>
    <w:link w:val="8"/>
    <w:autoRedefine/>
    <w:qFormat/>
    <w:uiPriority w:val="0"/>
    <w:rPr>
      <w:rFonts w:ascii="宋体" w:hAnsi="Courier New"/>
      <w:kern w:val="2"/>
      <w:sz w:val="21"/>
    </w:rPr>
  </w:style>
  <w:style w:type="character" w:customStyle="1" w:styleId="40">
    <w:name w:val="正文文本 字符"/>
    <w:basedOn w:val="16"/>
    <w:link w:val="7"/>
    <w:autoRedefine/>
    <w:qFormat/>
    <w:uiPriority w:val="0"/>
    <w:rPr>
      <w:rFonts w:ascii="Calibri" w:hAnsi="Calibr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4358</Words>
  <Characters>4946</Characters>
  <Paragraphs>885</Paragraphs>
  <TotalTime>53</TotalTime>
  <ScaleCrop>false</ScaleCrop>
  <LinksUpToDate>false</LinksUpToDate>
  <CharactersWithSpaces>5342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2023-10-19T03:43:00Z</dcterms:created>
  <dc:creator>Administrator</dc:creator>
  <cp:lastModifiedBy>张淼</cp:lastModifiedBy>
  <cp:lastPrinted>2023-11-20T00:53:00Z</cp:lastPrinted>
  <dcterms:modified xsi:type="dcterms:W3CDTF">2024-03-06T07:10:35Z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F2E2A456B73A46C782C5933F4A772ADA_13</vt:lpwstr>
  </property>
</Properties>
</file>