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rightChars="0"/>
        <w:jc w:val="center"/>
        <w:rPr>
          <w:rFonts w:hint="default" w:ascii="宋体" w:hAnsi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检验科检验试剂及耗材带量采购技术参数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rightChars="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一、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项目分包如下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：</w:t>
      </w:r>
    </w:p>
    <w:p>
      <w:pPr>
        <w:rPr>
          <w:rFonts w:hint="eastAsia" w:eastAsia="宋体"/>
          <w:color w:val="auto"/>
          <w:sz w:val="21"/>
          <w:highlight w:val="none"/>
          <w:shd w:val="clear" w:color="auto" w:fill="auto"/>
          <w:lang w:eastAsia="zh-CN"/>
        </w:rPr>
      </w:pPr>
      <w:r>
        <w:rPr>
          <w:rFonts w:hint="eastAsia"/>
          <w:color w:val="auto"/>
          <w:sz w:val="21"/>
          <w:highlight w:val="none"/>
          <w:shd w:val="clear" w:color="auto" w:fill="auto"/>
        </w:rPr>
        <w:t>第1包</w:t>
      </w:r>
      <w:r>
        <w:rPr>
          <w:rFonts w:hint="eastAsia"/>
          <w:color w:val="auto"/>
          <w:sz w:val="21"/>
          <w:highlight w:val="none"/>
          <w:shd w:val="clear" w:color="auto" w:fill="auto"/>
        </w:rPr>
        <w:tab/>
      </w:r>
      <w:r>
        <w:rPr>
          <w:rFonts w:hint="eastAsia"/>
          <w:color w:val="auto"/>
          <w:sz w:val="21"/>
          <w:highlight w:val="none"/>
          <w:shd w:val="clear" w:color="auto" w:fill="auto"/>
        </w:rPr>
        <w:t>血凝试剂耗材包</w:t>
      </w:r>
    </w:p>
    <w:p>
      <w:pPr>
        <w:rPr>
          <w:rFonts w:hint="eastAsia"/>
          <w:color w:val="auto"/>
          <w:sz w:val="21"/>
          <w:highlight w:val="none"/>
          <w:shd w:val="clear" w:color="auto" w:fill="auto"/>
        </w:rPr>
      </w:pPr>
      <w:r>
        <w:rPr>
          <w:rFonts w:hint="eastAsia"/>
          <w:color w:val="auto"/>
          <w:sz w:val="21"/>
          <w:highlight w:val="none"/>
          <w:shd w:val="clear" w:color="auto" w:fill="auto"/>
        </w:rPr>
        <w:t>第</w:t>
      </w:r>
      <w:r>
        <w:rPr>
          <w:rFonts w:hint="eastAsia"/>
          <w:color w:val="auto"/>
          <w:sz w:val="21"/>
          <w:highlight w:val="none"/>
          <w:shd w:val="clear" w:color="auto" w:fill="auto"/>
          <w:lang w:val="en-US" w:eastAsia="zh-CN"/>
        </w:rPr>
        <w:t>2</w:t>
      </w:r>
      <w:r>
        <w:rPr>
          <w:rFonts w:hint="eastAsia"/>
          <w:color w:val="auto"/>
          <w:sz w:val="21"/>
          <w:highlight w:val="none"/>
          <w:shd w:val="clear" w:color="auto" w:fill="auto"/>
        </w:rPr>
        <w:t>包</w:t>
      </w:r>
      <w:r>
        <w:rPr>
          <w:rFonts w:hint="eastAsia"/>
          <w:color w:val="auto"/>
          <w:sz w:val="21"/>
          <w:highlight w:val="none"/>
          <w:shd w:val="clear" w:color="auto" w:fill="auto"/>
        </w:rPr>
        <w:tab/>
      </w:r>
      <w:r>
        <w:rPr>
          <w:rFonts w:hint="eastAsia"/>
          <w:color w:val="auto"/>
          <w:sz w:val="21"/>
          <w:highlight w:val="none"/>
          <w:shd w:val="clear" w:color="auto" w:fill="auto"/>
        </w:rPr>
        <w:t>血细胞分析试剂耗材包</w:t>
      </w:r>
    </w:p>
    <w:p>
      <w:pPr>
        <w:rPr>
          <w:rFonts w:hint="eastAsia"/>
          <w:color w:val="auto"/>
          <w:sz w:val="21"/>
          <w:highlight w:val="none"/>
          <w:shd w:val="clear" w:color="auto" w:fill="auto"/>
        </w:rPr>
      </w:pPr>
      <w:r>
        <w:rPr>
          <w:rFonts w:hint="eastAsia"/>
          <w:color w:val="auto"/>
          <w:sz w:val="21"/>
          <w:highlight w:val="none"/>
          <w:shd w:val="clear" w:color="auto" w:fill="auto"/>
        </w:rPr>
        <w:t>第</w:t>
      </w:r>
      <w:r>
        <w:rPr>
          <w:rFonts w:hint="eastAsia"/>
          <w:color w:val="auto"/>
          <w:sz w:val="21"/>
          <w:highlight w:val="none"/>
          <w:shd w:val="clear" w:color="auto" w:fill="auto"/>
          <w:lang w:val="en-US" w:eastAsia="zh-CN"/>
        </w:rPr>
        <w:t>3</w:t>
      </w:r>
      <w:r>
        <w:rPr>
          <w:rFonts w:hint="eastAsia"/>
          <w:color w:val="auto"/>
          <w:sz w:val="21"/>
          <w:highlight w:val="none"/>
          <w:shd w:val="clear" w:color="auto" w:fill="auto"/>
        </w:rPr>
        <w:t>包</w:t>
      </w:r>
      <w:r>
        <w:rPr>
          <w:rFonts w:hint="eastAsia"/>
          <w:color w:val="auto"/>
          <w:sz w:val="21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/>
          <w:color w:val="auto"/>
          <w:sz w:val="21"/>
          <w:highlight w:val="none"/>
          <w:shd w:val="clear" w:color="auto" w:fill="auto"/>
        </w:rPr>
        <w:t>化学发光</w:t>
      </w:r>
      <w:r>
        <w:rPr>
          <w:rFonts w:hint="eastAsia"/>
          <w:color w:val="auto"/>
          <w:sz w:val="21"/>
          <w:highlight w:val="none"/>
          <w:shd w:val="clear" w:color="auto" w:fill="auto"/>
          <w:lang w:val="en-US" w:eastAsia="zh-CN"/>
        </w:rPr>
        <w:t>试剂耗材</w:t>
      </w:r>
      <w:r>
        <w:rPr>
          <w:rFonts w:hint="eastAsia"/>
          <w:color w:val="auto"/>
          <w:sz w:val="21"/>
          <w:highlight w:val="none"/>
          <w:shd w:val="clear" w:color="auto" w:fill="auto"/>
        </w:rPr>
        <w:t>包</w:t>
      </w:r>
    </w:p>
    <w:p>
      <w:pPr>
        <w:rPr>
          <w:rFonts w:hint="eastAsia"/>
          <w:color w:val="auto"/>
          <w:sz w:val="21"/>
          <w:highlight w:val="none"/>
          <w:shd w:val="clear" w:color="auto" w:fill="auto"/>
        </w:rPr>
      </w:pPr>
      <w:r>
        <w:rPr>
          <w:rFonts w:hint="eastAsia"/>
          <w:color w:val="auto"/>
          <w:sz w:val="21"/>
          <w:highlight w:val="none"/>
          <w:shd w:val="clear" w:color="auto" w:fill="auto"/>
        </w:rPr>
        <w:t>第</w:t>
      </w:r>
      <w:r>
        <w:rPr>
          <w:rFonts w:hint="eastAsia"/>
          <w:color w:val="auto"/>
          <w:sz w:val="21"/>
          <w:highlight w:val="none"/>
          <w:shd w:val="clear" w:color="auto" w:fill="auto"/>
          <w:lang w:val="en-US" w:eastAsia="zh-CN"/>
        </w:rPr>
        <w:t>4</w:t>
      </w:r>
      <w:r>
        <w:rPr>
          <w:rFonts w:hint="eastAsia"/>
          <w:color w:val="auto"/>
          <w:sz w:val="21"/>
          <w:highlight w:val="none"/>
          <w:shd w:val="clear" w:color="auto" w:fill="auto"/>
        </w:rPr>
        <w:t>包</w:t>
      </w:r>
      <w:r>
        <w:rPr>
          <w:rFonts w:hint="eastAsia"/>
          <w:color w:val="auto"/>
          <w:sz w:val="21"/>
          <w:highlight w:val="none"/>
          <w:shd w:val="clear" w:color="auto" w:fill="auto"/>
        </w:rPr>
        <w:tab/>
      </w:r>
      <w:r>
        <w:rPr>
          <w:rFonts w:hint="eastAsia"/>
          <w:color w:val="auto"/>
          <w:sz w:val="21"/>
          <w:highlight w:val="none"/>
          <w:shd w:val="clear" w:color="auto" w:fill="auto"/>
        </w:rPr>
        <w:t>体液检验试剂耗材包</w:t>
      </w:r>
    </w:p>
    <w:p>
      <w:pPr>
        <w:rPr>
          <w:rFonts w:hint="eastAsia"/>
          <w:color w:val="auto"/>
          <w:sz w:val="21"/>
          <w:highlight w:val="none"/>
          <w:shd w:val="clear" w:color="auto" w:fill="auto"/>
        </w:rPr>
      </w:pPr>
      <w:r>
        <w:rPr>
          <w:rFonts w:hint="eastAsia"/>
          <w:color w:val="auto"/>
          <w:sz w:val="21"/>
          <w:highlight w:val="none"/>
          <w:shd w:val="clear" w:color="auto" w:fill="auto"/>
        </w:rPr>
        <w:t>第</w:t>
      </w:r>
      <w:r>
        <w:rPr>
          <w:rFonts w:hint="eastAsia"/>
          <w:color w:val="auto"/>
          <w:sz w:val="21"/>
          <w:highlight w:val="none"/>
          <w:shd w:val="clear" w:color="auto" w:fill="auto"/>
          <w:lang w:val="en-US" w:eastAsia="zh-CN"/>
        </w:rPr>
        <w:t>5</w:t>
      </w:r>
      <w:r>
        <w:rPr>
          <w:rFonts w:hint="eastAsia"/>
          <w:color w:val="auto"/>
          <w:sz w:val="21"/>
          <w:highlight w:val="none"/>
          <w:shd w:val="clear" w:color="auto" w:fill="auto"/>
        </w:rPr>
        <w:t>包</w:t>
      </w:r>
      <w:r>
        <w:rPr>
          <w:rFonts w:hint="eastAsia"/>
          <w:color w:val="auto"/>
          <w:sz w:val="21"/>
          <w:highlight w:val="none"/>
          <w:shd w:val="clear" w:color="auto" w:fill="auto"/>
        </w:rPr>
        <w:tab/>
      </w:r>
      <w:r>
        <w:rPr>
          <w:rFonts w:hint="eastAsia"/>
          <w:color w:val="auto"/>
          <w:sz w:val="21"/>
          <w:highlight w:val="none"/>
          <w:shd w:val="clear" w:color="auto" w:fill="auto"/>
        </w:rPr>
        <w:t>微生物试剂耗材包</w:t>
      </w:r>
    </w:p>
    <w:p>
      <w:pPr>
        <w:rPr>
          <w:rFonts w:hint="eastAsia" w:eastAsia="宋体"/>
          <w:color w:val="auto"/>
          <w:sz w:val="21"/>
          <w:highlight w:val="none"/>
          <w:shd w:val="clear" w:color="auto" w:fill="auto"/>
          <w:lang w:eastAsia="zh-CN"/>
        </w:rPr>
      </w:pPr>
      <w:r>
        <w:rPr>
          <w:rFonts w:hint="eastAsia"/>
          <w:color w:val="auto"/>
          <w:sz w:val="21"/>
          <w:highlight w:val="none"/>
          <w:shd w:val="clear" w:color="auto" w:fill="auto"/>
        </w:rPr>
        <w:t>第</w:t>
      </w:r>
      <w:r>
        <w:rPr>
          <w:rFonts w:hint="eastAsia"/>
          <w:color w:val="auto"/>
          <w:sz w:val="21"/>
          <w:highlight w:val="none"/>
          <w:shd w:val="clear" w:color="auto" w:fill="auto"/>
          <w:lang w:val="en-US" w:eastAsia="zh-CN"/>
        </w:rPr>
        <w:t>6</w:t>
      </w:r>
      <w:r>
        <w:rPr>
          <w:rFonts w:hint="eastAsia"/>
          <w:color w:val="auto"/>
          <w:sz w:val="21"/>
          <w:highlight w:val="none"/>
          <w:shd w:val="clear" w:color="auto" w:fill="auto"/>
        </w:rPr>
        <w:t>包</w:t>
      </w:r>
      <w:r>
        <w:rPr>
          <w:rFonts w:hint="eastAsia"/>
          <w:color w:val="auto"/>
          <w:sz w:val="21"/>
          <w:highlight w:val="none"/>
          <w:shd w:val="clear" w:color="auto" w:fill="auto"/>
        </w:rPr>
        <w:tab/>
      </w:r>
      <w:r>
        <w:rPr>
          <w:rFonts w:hint="eastAsia"/>
          <w:color w:val="auto"/>
          <w:sz w:val="21"/>
          <w:highlight w:val="none"/>
          <w:shd w:val="clear" w:color="auto" w:fill="auto"/>
        </w:rPr>
        <w:t>自身免疫及质控品试剂耗材包</w:t>
      </w:r>
    </w:p>
    <w:p>
      <w:pPr>
        <w:rPr>
          <w:rFonts w:hint="eastAsia"/>
          <w:color w:val="auto"/>
          <w:sz w:val="21"/>
          <w:highlight w:val="none"/>
          <w:shd w:val="clear" w:color="auto" w:fill="auto"/>
        </w:rPr>
      </w:pPr>
      <w:r>
        <w:rPr>
          <w:rFonts w:hint="eastAsia"/>
          <w:color w:val="auto"/>
          <w:sz w:val="21"/>
          <w:highlight w:val="none"/>
          <w:shd w:val="clear" w:color="auto" w:fill="auto"/>
        </w:rPr>
        <w:t>第</w:t>
      </w:r>
      <w:r>
        <w:rPr>
          <w:rFonts w:hint="eastAsia"/>
          <w:color w:val="auto"/>
          <w:sz w:val="21"/>
          <w:highlight w:val="none"/>
          <w:shd w:val="clear" w:color="auto" w:fill="auto"/>
          <w:lang w:val="en-US" w:eastAsia="zh-CN"/>
        </w:rPr>
        <w:t>7</w:t>
      </w:r>
      <w:r>
        <w:rPr>
          <w:rFonts w:hint="eastAsia"/>
          <w:color w:val="auto"/>
          <w:sz w:val="21"/>
          <w:highlight w:val="none"/>
          <w:shd w:val="clear" w:color="auto" w:fill="auto"/>
        </w:rPr>
        <w:t>包</w:t>
      </w:r>
      <w:r>
        <w:rPr>
          <w:rFonts w:hint="eastAsia"/>
          <w:color w:val="auto"/>
          <w:sz w:val="21"/>
          <w:highlight w:val="none"/>
          <w:shd w:val="clear" w:color="auto" w:fill="auto"/>
        </w:rPr>
        <w:tab/>
      </w:r>
      <w:r>
        <w:rPr>
          <w:rFonts w:hint="eastAsia"/>
          <w:color w:val="auto"/>
          <w:sz w:val="21"/>
          <w:highlight w:val="none"/>
          <w:shd w:val="clear" w:color="auto" w:fill="auto"/>
        </w:rPr>
        <w:t>急诊生化试剂耗材包</w:t>
      </w:r>
    </w:p>
    <w:p>
      <w:pPr>
        <w:rPr>
          <w:rFonts w:hint="eastAsia"/>
          <w:highlight w:val="green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二、采购需求(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技术参数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第1包 血凝试剂耗材包</w:t>
      </w:r>
    </w:p>
    <w:p>
      <w:pP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1.第1包报价清单见附表</w:t>
      </w:r>
    </w:p>
    <w:p>
      <w:pP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血凝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配套检测平台要求如下</w:t>
      </w:r>
    </w:p>
    <w:p>
      <w:pP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★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2.1 检测平台需配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流水线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一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套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和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线下单机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一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台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。</w:t>
      </w:r>
    </w:p>
    <w:p>
      <w:pP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★2.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 xml:space="preserve">2 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流水线由四部分组成：进出样模块</w:t>
      </w:r>
      <w:r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离心模块、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分析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模块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、轨道和数据管理系统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。</w:t>
      </w:r>
    </w:p>
    <w:p>
      <w:pP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3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进出样模块：进样速度≥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4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00管/小时；原始管上机，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智能条码阅读，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自动识别院内条码；具备急诊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优先功能。</w:t>
      </w:r>
    </w:p>
    <w:p>
      <w:pP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2.4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离心模块速度≥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300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管/小时，支持自动平衡和低温离心。</w:t>
      </w:r>
    </w:p>
    <w:p>
      <w:pP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2.5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具备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开盖脱帽模块或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闭盖穿刺功能，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降低生物安全风险。</w:t>
      </w:r>
    </w:p>
    <w:p>
      <w:pP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★2.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6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分析单元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速度要求：流水线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恒速≥800T/小时，单机检测恒速≥350T/小时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；线上单机互为备机，可单独使用。</w:t>
      </w:r>
    </w:p>
    <w:p>
      <w:pP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2.7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分析单元检测方法包括凝固法、发色底物法，免疫比浊法；检测项目包括且不限于PT、APTT、Fbg、TT、D-Dimer、FDP、ATⅢ、PC、PS、外源性凝血因子等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。</w:t>
      </w:r>
    </w:p>
    <w:p>
      <w:pP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2.8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分析单元具备HIL（溶血、黄疸、乳糜）及样本探测功能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，能够纠正HIL对检测结果的干扰。</w:t>
      </w:r>
    </w:p>
    <w:p>
      <w:pP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2.9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分析单元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具备自动复检功能，可自动稀释复测。</w:t>
      </w:r>
    </w:p>
    <w:p>
      <w:pP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2.10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分析单元可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不停机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添加试剂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、反应杯等耗材。</w:t>
      </w:r>
    </w:p>
    <w:p>
      <w:pP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2.11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分析单元定量校准品可溯源至全国标准，可提供相应的复合质控品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，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实时在线质控。</w:t>
      </w:r>
    </w:p>
    <w:p>
      <w:pP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2.12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分析单元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具备自动APTT纠正试验功能。</w:t>
      </w:r>
    </w:p>
    <w:p>
      <w:pP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13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轨道：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可对样本定位追踪，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可根据场地情况设计。</w:t>
      </w:r>
    </w:p>
    <w:p>
      <w:pP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14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数据管理系统：实时在线仪器运行状态监控；实时管理质控结果，支持自动重测和结果审核；支持LIS 双向通讯。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ab/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ab/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ab/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ab/>
      </w:r>
    </w:p>
    <w:p>
      <w:pP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2.15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单机参数：单机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须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与流水线上单机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品牌、型号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相同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2.16 配备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能保证仪器满负荷运转（≥1小时）要求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的UPS，并负责维护。</w:t>
      </w:r>
    </w:p>
    <w:p>
      <w:pPr>
        <w:numPr>
          <w:ilvl w:val="0"/>
          <w:numId w:val="0"/>
        </w:numP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第2包 血细胞分析试剂耗材包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1.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第2包报价清单见附表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ab/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2.血细胞分析配套检测平台要求如下：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★2.1血细胞分析配套检测平台包括：血细胞分析流水线一套和线下单机两台。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★2.2血细胞分析流水线由全自动五分类血液细胞分析仪、推片染色机和全自动细胞形态学分析仪（阅片机）通过轨道连接组成。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2.3流水线具有血常规五分类、有核红细胞、网织红细胞、CRP、体液常规检测、自动推片染色、自动阅片等功能；流水线检测速度（全血细胞计数+五分类+NRBC）≥300个样本/小时，流水线网织红整体检测速度≥150T/H， 线上单机检测速度（全血细胞计数+五分类+NRBC）≥100个样本/小时；线上单机互为备机，可单独使用；可随时插入急诊标本。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ab/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2.4检测方法及原理：血液分析采用半导体激光法、鞘流电阻抗法、荧光染色法和流式细胞技术原理，CRP检测采用免疫散射比浊法。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2.5体液检测可以对脑脊液、胸水、腹水、关节腔积液等体液进行红细胞和白细胞计数,并对白细胞进行分类；体液检测中具有通过高荧光体液细胞参数对肿瘤细胞进行提示功能。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2.6进样方式：静脉全血、末梢全血、末梢预稀释血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三种进样方式；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标配自动进样器，自动进样器内轨标配回退功能；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三种进样方式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均可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实现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自动批量进样或手动进样；有封闭进样急诊位，支持静脉血和末梢全血急诊进样。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2.7提供有溯源性的校准物，并有配套高、中、低3个水平质控物。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ab/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2.8血小板检测采用阻抗法和荧光染色法两种，具备低值血小板检测功能。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2.9推片机可独立工作；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2.10推片规则可以自定义。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2.11 阅片机适用于对外周血涂片血细胞的形态图像摄取、可视化观察及描述，包括白细胞单细胞图像摄取、初步分类，红细胞形态描述及血小板数目估算；单机处理能力：外周血涂片（100WBC+RBC+PLT）≥30张/小时。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2.12阅片机可与推染片机连接，自动接收推染片机制作好的涂片，并能接收外来血涂片。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2.13阅片机可以创建不同类型的数据库，通用分析数据库，扫描数据库，导出数据库满足不同标本的分析需要。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2.14阅片机有10倍，50倍和100倍三个放大倍数的物镜，并且具有10倍概览图可进行数字放大。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★2.15线下单机要求具有血常规五分类、有核红细胞、网织红细胞、CRP（可通过联机方式解决）、体液常规检测功能；静脉全血、末梢全血、末梢预稀释血均可自动批量进样或手动进样；品牌机型与流水线上相同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2.16实时在线仪器运行状态监控；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2.17实时管理质控结果；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2.18支持LIS 双向通讯。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2.19 配备能保证仪器满负荷运转要求（≥1小时）的UPS，并负责维护。</w:t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第3包 化学发光试剂耗材包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第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包报价清单见附表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2.配套检测平台要求：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★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2.1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配套检测平台包括：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进口品牌两套、国产品牌一套。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检测原理：化学发光。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检测方法：一步法、二步法、夹心法、竞争法。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检测速度：》600测试/小时，急诊检验用（进口品牌）可》200测试/小时。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进口品牌检测平台用于传染病八项和心肌标志物检测。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 xml:space="preserve"> HBsAg检测灵敏度≤0.05IU/ml。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 xml:space="preserve"> HIV检测要求抗原抗体联合检测。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 xml:space="preserve"> 具备液面感应、样本凝块和气泡检测。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 xml:space="preserve"> 加样针样本携带污染率要求＜0.1ppm。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 xml:space="preserve"> 试剂仓具备冷藏功能。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2.1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支持急诊样本优先处理。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2.1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具有样本自动稀释、自动重测功能。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2.1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无需停止检测可连续装载试剂、校准品、质控品和耗材。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2.1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在国家卫健委室间质评或安徽省室间质评中有单独分组（提供室间质评报告）。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 xml:space="preserve">2.15 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配备水处理系统和UPS（≥1小时），水处理产水量和UPS容量均能保证仪器满负荷运转要求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，并负责耗材更换和维护。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（四）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包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体液检验试剂耗材包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1.第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vertAlign w:val="baseline"/>
          <w:lang w:val="en-US" w:eastAsia="zh-CN"/>
        </w:rPr>
        <w:t>报价清单见附表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★2.配套检测平台要求：全自动粪便分析仪两台、尿液分析系统两套、尿液干化学一台、尿液生化（或特定蛋白）测定仪器一台。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3.全自动粪便分析仪要求：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3.1样本采集后运送、检测、回收全过程封闭。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3.2检测项目：全自动实现样本颜色与性状拍照与结果自动判读；样本有形成分（细胞、食物残留、细菌、病毒、寄生虫虫体及虫卵、原虫、结晶与其它颗粒等）显微镜检拍照与结果自动判读；样本免疫学项目（粪便隐血、轮状病毒等）免疫层析法（含金标法）检测与结果自动判读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3.3样本检测速度：≥75标本/小时。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3.4同时测试免疫学项目≥5个，具有自动送卡、不停机加卡功能。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3.5具有配套粪便形态学质控品、粪便隐血质控品，软件自带质控功能模块，可上机操作。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3.6能够与LIS实现双向通讯，样本可直接扫码上机测试。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4.配套尿液检测平台要求：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★4.1配套尿液检测平台包括尿液分析系统两套、尿液干化学一台、尿液生化（或特定蛋白）测定仪器一台。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★4.2一份样本即可完成尿液样本干化学以及尿液有形成分的定量分析。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4.3干化学测试项目≥13项，有形成分分析采用鞘流技术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及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图像自动识别原理。干化学测试模式≥2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0个/每小时；有形成分测试模式≥120个/每小时；联合测试模式≥120个/每小时。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4.4可进行单个样本的急诊测试。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4.5样本量检测：采用液面感应技术，当测试样本量不足时有报警提示。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4.6红细胞形态学检测功能：可通过红细胞形态的鉴定发出红细胞形态学报告。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4.7具备渗透压检测功能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4.8携带污染率：干化学除比重和PH外各测试项目最高浓度结果的阳性样本，随后检测阴性样本，阴性样本不得出现阳性；尿液有形成分≤0.05%。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4.9具有配套三个水平的尿干化学质控液，能提供尿有形成分质控液。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4.10能够与LIS实现双向通讯，样本可直接扫码上机测试。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5.配套尿液生化（或特定蛋白）测定仪器要求：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★5.1检测项目：尿肌酐、尿微量白蛋白、尿视黄醇结合蛋白、尿β2-微球蛋白、α1-微球蛋白、NAG、尿转铁蛋白等。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★5.2样本类型：尿液等。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5.3检测速度≥200测试/小时；支持原始管上机；具有急诊测试功能。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5.4样本针具备液面检测、自动清洗功能；携带污染率《0.5%。能够与LIS实现双向通讯，样本可直接扫码上机测试。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（五）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包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微生物试剂耗材包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1.第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包具体产品见招标公告附件处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★2.配套检测平台要求：全自动真菌药敏分析仪一台、正置荧光显微镜一台、全自动微生物真菌检测系统一台、BD-FX40血培养仪三台。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全自动真菌药敏分析仪参数：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.1适用范围：用于测定念珠菌、隐球菌和曲霉菌对于抗真菌药物的敏感性。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.2药敏试验方法及种类：采用 EUCAST以及 CLSI建议的微量肉汤稀释法，涵盖4大类至少5种以上抗真菌药物。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3仪器判读功能：可自动判读MIC值，根据最新CLSI标准、EUCAST标准及相关指导性文件分析MIC，能够报告MIC和S、I、R敏感度。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4数据传输：提供LIS连接端口，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.5支持LIS系统双向数据传送。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正置荧光显微镜技术参数：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.1荧光激发光波长范围  满足紫外蓝光（340-380nm波长）和紫外光（350-490nm波长），适用于真菌和抗酸杆酸的荧光染色。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2荧光激发光源为LED光源，使用寿命内光强稳定、无衰减输出&gt;40,000小时，光源启动后响应时间（达到100%预设强度）纳秒级，即开即用。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3透射光源为卤钨灯，平均使用时长  ≥1000小时，光源可连续调节。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4光学系统为无限远色差校正光学系统，手动物镜转换器，可同时装载4平场消色差个物镜，宽视野目镜2个。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5摄像系统：彩色300万CMOS,分辨率2048*1536有效像素。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6配套软件系统：镜下荧光图像实时显示，所见即所得；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7支持多路图像并行处理，支持普通拍摄和高分辨率拍摄功能；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.8支持多种基于照片的标记批注方式，可以方便地表示图像中的重点关注部位；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.9可与lis相连，准确快速的生成图文报告。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全自动微生物真菌检测系统技术参数：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.1仪器结构：全自动仪器，全自动完成样本前处理、加样、检测、报告等试验过程。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.2加样系统：可进行单次或连续加液；使用一次性加样吸头；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.3样本位和试剂位：有独立的样本位和试剂位。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.4检测项目：真菌(1,3)-β-D 葡聚糖检测（G 试验）、曲霉半乳甘露聚糖检测（GM 试验）、内毒素检测等。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）第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包自身免疫及质控品试剂耗材包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1.第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包具体产品见招标公告附件处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★2.自身免疫检验配套检测平台要求：检测平台为全自动设备，实现原始管上机，自动加样，自动检测，自动判读。可提供多品牌仪器组合方式以满足采购清单里的所有检测项目，但仪器不能超过三台。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2.1单台仪器检测速度:≥300T/小时。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 检测方法:化学发光法/流式荧光法。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 冷藏（2-8℃）试剂位，具备温控报警；可不停机装载试剂、反应杯等耗材。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★2.4 吸样系统：具备液面检测、气泡探测、凝块探测功能、标本携带污染率《1.0ppm。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2.5 可随时插入急诊样本，随到随检。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2.6 具备自动稀释自动重新测功能。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2.7 定量校准品可溯源至国际标准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2.8可提供相应的复合质控品。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2.9支持LIS双向通讯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2.10实现样本直接扫码上机检测。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2.11在国家卫健委室间质评或安徽省室间质评中有单独分组（提供室间质评报告）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2.12 配备水处理系统和UPS（≥1小时）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2.13水处理产水量和UPS容量均能保证仪器满负荷运转要求；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2.14并负责耗材更换和维护。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★3.投标供应商须提质控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管理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软件，能够接入LIS实现选择质控规则、绘制打印质控图、失控报警提示、进行质控分析等功能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）第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包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急诊生化试剂耗材包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1.第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7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包具体产品见招标公告附件处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★2.配套检测平台要求：全自动生化分析仪一台、糖化血红蛋白分析仪一台、免疫分析仪一台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2.1全自动生化分析仪要求：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★2.1.1工作速度：≥ 1200测试/小时，标配电解质模块。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2.1.2分光器：蚀刻凹面光栅、后分光系统。光源使用寿命≥1000小时。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2.1.3检测波长：单波长、双波长检测，波长范围340-800nm，波长≥12个。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2.1.4反应方法：终点法，速率法，固定时间法等。反应时间：测试项目反应时间可选。反应温度：控制精度37℃±0.1℃。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2.1.5可以监测整个反应过程，随时查阅到反应曲线；具有自动复查功能，能提供手工、自动复查方式。,超线性范围样品能自动稀释重检。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2.1.6样本条码：具有条码阅读器，可在每个连接单元对标本管条码进行自动扫描、注册、识别，具有全程跟踪样本管的能力, 条码阅读器可识别各种国际标准条码。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★2.1.7独立的样本针、试剂针、搅拌针。样本针、试剂针有内外壁自动冲洗、液面感应、自动安全防撞功能。样本针具备凝块识别功能。具有比色杯自动清洗功能。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2.1.8检测样品种类：可检测血清、血浆、尿液、胸腹水、脑脊液等。具有急诊随时插入功能，插入急诊后能够快速得出检测结果。配备水处理系统和UPS（≥1小时），水处理产水量和UPS容量均能保证仪器满负荷运转要求，并负责耗材更换和维护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 糖化血红蛋白分析仪要求：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★2.2.1分析原理:离子交换HPLC。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★2.2.2通过认证:通过IFCC/NGSP认证。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2.2.3 进样模式:自动全血、自动预稀释、封闭全血。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2.2.4 层析柱测量次数≥3000次。检测速度:≥50样本/小时。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2.2.5 急诊模式:有专用急诊样本位。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2.2.6 标本自动颠倒混匀、不停机更换试剂、无需更换过滤网。有试剂管理功能，自动维护功能，有自动报警和错误提示功能。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 免疫分析仪器技术参数：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★2.3.1 方法学：免疫荧光干式定量法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2.3.2 样本类型：全血，血清，血浆，末梢血及预稀释标本。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★2.3.3 检测项目：HBP、PCT、CRP、SAA、IL-6、HCG、NGAL等。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2.3.4 生物安全度高，全程封闭操作，钢针穿刺取样无需开盖，有效避免气溶胶污染，混匀无需开盖，封闭式废料仓，进一步保障检验实验室安全性。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2.3.5 测试速度：》100T/h，最快4min出报告。</w:t>
      </w:r>
    </w:p>
    <w:p>
      <w:pP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2.3.6 加样精度：CV≤2%；交叉污染＜10ppm。</w:t>
      </w:r>
    </w:p>
    <w:p>
      <w:pP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43"/>
          <w:szCs w:val="43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2.3.7 机上试剂冷藏：8-12℃；可不停机加载耗材。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39826FC5"/>
    <w:rsid w:val="013B4944"/>
    <w:rsid w:val="024912E2"/>
    <w:rsid w:val="034546C0"/>
    <w:rsid w:val="03863E70"/>
    <w:rsid w:val="06C54CB0"/>
    <w:rsid w:val="078A03D3"/>
    <w:rsid w:val="07F97307"/>
    <w:rsid w:val="08E43B13"/>
    <w:rsid w:val="0C4F74F5"/>
    <w:rsid w:val="0C5C7E99"/>
    <w:rsid w:val="0E3F345D"/>
    <w:rsid w:val="0FBC1346"/>
    <w:rsid w:val="1021738F"/>
    <w:rsid w:val="10417A9D"/>
    <w:rsid w:val="115F642C"/>
    <w:rsid w:val="14F0383F"/>
    <w:rsid w:val="14F3535D"/>
    <w:rsid w:val="15E6675C"/>
    <w:rsid w:val="17FB518D"/>
    <w:rsid w:val="1B6C6B7C"/>
    <w:rsid w:val="1BD20648"/>
    <w:rsid w:val="1C34578A"/>
    <w:rsid w:val="1D2642A2"/>
    <w:rsid w:val="1D293D92"/>
    <w:rsid w:val="20647C46"/>
    <w:rsid w:val="20AB47E4"/>
    <w:rsid w:val="22E64495"/>
    <w:rsid w:val="247E6772"/>
    <w:rsid w:val="25A641D2"/>
    <w:rsid w:val="25DB004C"/>
    <w:rsid w:val="26DA3C34"/>
    <w:rsid w:val="27703DD9"/>
    <w:rsid w:val="2A575322"/>
    <w:rsid w:val="2DCA6ECC"/>
    <w:rsid w:val="2E503C6D"/>
    <w:rsid w:val="30FC5BFA"/>
    <w:rsid w:val="317C228B"/>
    <w:rsid w:val="319216BE"/>
    <w:rsid w:val="33C37CFF"/>
    <w:rsid w:val="350F034E"/>
    <w:rsid w:val="37647A49"/>
    <w:rsid w:val="378E4A51"/>
    <w:rsid w:val="39826FC5"/>
    <w:rsid w:val="3CF47AC1"/>
    <w:rsid w:val="3E06185A"/>
    <w:rsid w:val="3E80523B"/>
    <w:rsid w:val="3FC86235"/>
    <w:rsid w:val="40D43E92"/>
    <w:rsid w:val="40F260C6"/>
    <w:rsid w:val="41D37F66"/>
    <w:rsid w:val="423050F8"/>
    <w:rsid w:val="43454BD3"/>
    <w:rsid w:val="46FC6152"/>
    <w:rsid w:val="47D55152"/>
    <w:rsid w:val="498C643A"/>
    <w:rsid w:val="49E470A7"/>
    <w:rsid w:val="4C384836"/>
    <w:rsid w:val="50721A00"/>
    <w:rsid w:val="556F5ADF"/>
    <w:rsid w:val="57F43117"/>
    <w:rsid w:val="594B6A9F"/>
    <w:rsid w:val="5C06634B"/>
    <w:rsid w:val="5D3A4FFF"/>
    <w:rsid w:val="5D4F6922"/>
    <w:rsid w:val="5D587DD4"/>
    <w:rsid w:val="5E317DD6"/>
    <w:rsid w:val="5E6957C1"/>
    <w:rsid w:val="5F3A715E"/>
    <w:rsid w:val="5FB759DB"/>
    <w:rsid w:val="62F747A0"/>
    <w:rsid w:val="63185A08"/>
    <w:rsid w:val="677056E6"/>
    <w:rsid w:val="67DA328C"/>
    <w:rsid w:val="682B7F8C"/>
    <w:rsid w:val="693115D2"/>
    <w:rsid w:val="693764BC"/>
    <w:rsid w:val="6A072723"/>
    <w:rsid w:val="6A4E61B3"/>
    <w:rsid w:val="6F347726"/>
    <w:rsid w:val="6F7B5355"/>
    <w:rsid w:val="700F0193"/>
    <w:rsid w:val="7322518C"/>
    <w:rsid w:val="734B3290"/>
    <w:rsid w:val="73BA21C4"/>
    <w:rsid w:val="75734D20"/>
    <w:rsid w:val="75ED6880"/>
    <w:rsid w:val="760C4B49"/>
    <w:rsid w:val="7860333A"/>
    <w:rsid w:val="78D43D28"/>
    <w:rsid w:val="796E08DD"/>
    <w:rsid w:val="7D102FF6"/>
    <w:rsid w:val="7FCA06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  <w:rPr>
      <w:rFonts w:ascii="宋体" w:hAnsi="Arial"/>
      <w:sz w:val="2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style4"/>
    <w:basedOn w:val="1"/>
    <w:next w:val="11"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11">
    <w:name w:val="2"/>
    <w:next w:val="1"/>
    <w:qFormat/>
    <w:uiPriority w:val="0"/>
    <w:pPr>
      <w:widowControl w:val="0"/>
      <w:jc w:val="both"/>
    </w:pPr>
    <w:rPr>
      <w:rFonts w:ascii="Calibri" w:hAnsi="Calibri" w:eastAsia="等线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6283</Words>
  <Characters>6914</Characters>
  <Lines>0</Lines>
  <Paragraphs>0</Paragraphs>
  <TotalTime>2</TotalTime>
  <ScaleCrop>false</ScaleCrop>
  <LinksUpToDate>false</LinksUpToDate>
  <CharactersWithSpaces>7187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2022-08-30T10:20:00Z</dcterms:created>
  <dc:creator>Administrator</dc:creator>
  <cp:lastModifiedBy>曹焱</cp:lastModifiedBy>
  <dcterms:modified xsi:type="dcterms:W3CDTF">2024-01-07T08:09:57Z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F89A37B165F447F9A7D74582B83E49F3_13</vt:lpwstr>
  </property>
</Properties>
</file>