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宋体" w:hAnsi="宋体"/>
          <w:b/>
          <w:w w:val="99"/>
          <w:sz w:val="24"/>
          <w:u w:val="single"/>
        </w:rPr>
        <w:t>便携式中医四诊仪</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0"/>
        <w:gridCol w:w="1297"/>
        <w:gridCol w:w="2016"/>
        <w:gridCol w:w="1029"/>
        <w:gridCol w:w="788"/>
        <w:gridCol w:w="1949"/>
        <w:gridCol w:w="190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2"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88"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949"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06"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297"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01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29"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88" w:type="dxa"/>
            <w:vMerge w:val="continue"/>
          </w:tcPr>
          <w:p>
            <w:pPr>
              <w:spacing w:line="320" w:lineRule="exact"/>
              <w:rPr>
                <w:rFonts w:ascii="仿宋" w:hAnsi="仿宋" w:eastAsia="仿宋"/>
                <w:b w:val="0"/>
                <w:bCs/>
                <w:szCs w:val="21"/>
              </w:rPr>
            </w:pPr>
          </w:p>
        </w:tc>
        <w:tc>
          <w:tcPr>
            <w:tcW w:w="1949" w:type="dxa"/>
            <w:vMerge w:val="continue"/>
          </w:tcPr>
          <w:p>
            <w:pPr>
              <w:spacing w:line="320" w:lineRule="exact"/>
              <w:rPr>
                <w:rFonts w:ascii="仿宋" w:hAnsi="仿宋" w:eastAsia="仿宋"/>
                <w:b w:val="0"/>
                <w:bCs/>
                <w:szCs w:val="21"/>
              </w:rPr>
            </w:pPr>
          </w:p>
        </w:tc>
        <w:tc>
          <w:tcPr>
            <w:tcW w:w="1906"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ascii="仿宋" w:hAnsi="仿宋" w:eastAsia="仿宋"/>
                <w:b w:val="0"/>
                <w:bCs/>
                <w:szCs w:val="21"/>
              </w:rPr>
            </w:pPr>
          </w:p>
        </w:tc>
        <w:tc>
          <w:tcPr>
            <w:tcW w:w="201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硬件配置：投标产品应包含舌面脉信息采集管理平台、腕带式脉诊采集设备、望诊采集设备、无线蓝牙键鼠、内部电源续航等硬件配置。</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ascii="仿宋" w:hAnsi="仿宋" w:eastAsia="仿宋"/>
                <w:b w:val="0"/>
                <w:bCs/>
                <w:szCs w:val="21"/>
              </w:rPr>
            </w:pPr>
          </w:p>
        </w:tc>
        <w:tc>
          <w:tcPr>
            <w:tcW w:w="201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软件配置：投标产品应配有健康信息录入、望诊检测、脉诊检测、检测报告、系统设置等软件功能。</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ascii="仿宋" w:hAnsi="仿宋" w:eastAsia="仿宋"/>
                <w:b w:val="0"/>
                <w:bCs/>
                <w:szCs w:val="21"/>
              </w:rPr>
            </w:pPr>
          </w:p>
        </w:tc>
        <w:tc>
          <w:tcPr>
            <w:tcW w:w="201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主机要求：应不低于CPU：I5；内存：8G；硬盘128G；</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ascii="仿宋" w:hAnsi="仿宋" w:eastAsia="仿宋"/>
                <w:b w:val="0"/>
                <w:bCs/>
                <w:szCs w:val="21"/>
              </w:rPr>
            </w:pPr>
          </w:p>
        </w:tc>
        <w:tc>
          <w:tcPr>
            <w:tcW w:w="201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外观要求：投标产品为便携式手提设计，尺寸不大于410*437*103mm，外壳采用ABS材质坚固耐用，表面经过哑光磨砂处理。</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hint="eastAsia" w:ascii="仿宋" w:hAnsi="仿宋" w:eastAsia="仿宋" w:cs="仿宋"/>
                <w:b w:val="0"/>
                <w:bCs w:val="0"/>
                <w:kern w:val="2"/>
                <w:sz w:val="24"/>
                <w:szCs w:val="24"/>
                <w:lang w:val="en-US" w:eastAsia="zh-CN" w:bidi="ar-SA"/>
              </w:rPr>
            </w:pPr>
          </w:p>
        </w:tc>
        <w:tc>
          <w:tcPr>
            <w:tcW w:w="201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投标产品应包括望诊信息采集、脉诊信息采集主要功能模块。</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望诊信息采集单元</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光源，采用LED阵列光源，性能稳定无闪烁；照射均匀。</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照度，在拍摄窗口，照度应为1100lx，允许误差±10%</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相关色温，照明的相关色温应在4500K～6200K之间。</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显色指数（Ra）应大于85。</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辐射照度，设备在300nm-2500nm光谱范围内的最大照度时的辐射照度应不超过350W/m2。</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紫外辐射照度，设备在200nm-400nm光谱范围内的最大照度时的有效紫外辐射照度应不超过0.008W/m²。</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分辨率，不小于5 lp/mm。</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彩色还原，成像能对色彩准确还原，使标准色卡上色彩得到重现，各色在CIE LAB色空间的色差（</w:t>
            </w:r>
            <w:r>
              <w:rPr>
                <w:rFonts w:hint="eastAsia" w:ascii="仿宋" w:hAnsi="仿宋" w:eastAsia="仿宋" w:cs="仿宋"/>
                <w:b w:val="0"/>
                <w:bCs w:val="0"/>
                <w:kern w:val="2"/>
                <w:sz w:val="24"/>
                <w:szCs w:val="24"/>
                <w:lang w:val="en-US" w:eastAsia="zh-CN" w:bidi="ar-SA"/>
              </w:rPr>
              <w:object>
                <v:shape id="_x0000_i1026" o:spt="75" type="#_x0000_t75" style="height:18.3pt;width:30.3pt;" o:ole="t" filled="f" o:preferrelative="t" stroked="f" coordsize="21600,21600">
                  <v:path/>
                  <v:fill on="f" focussize="0,0"/>
                  <v:stroke on="f"/>
                  <v:imagedata r:id="rId6" o:title=""/>
                  <o:lock v:ext="edit" aspectratio="t"/>
                  <w10:wrap type="none"/>
                  <w10:anchorlock/>
                </v:shape>
                <o:OLEObject Type="Embed" ProgID="Equation.DSMT4" ShapeID="_x0000_i1026" DrawAspect="Content" ObjectID="_1468075725" r:id="rId5">
                  <o:LockedField>false</o:LockedField>
                </o:OLEObject>
              </w:object>
            </w:r>
            <w:r>
              <w:rPr>
                <w:rFonts w:hint="eastAsia" w:ascii="仿宋" w:hAnsi="仿宋" w:eastAsia="仿宋" w:cs="仿宋"/>
                <w:b w:val="0"/>
                <w:bCs w:val="0"/>
                <w:kern w:val="2"/>
                <w:sz w:val="24"/>
                <w:szCs w:val="24"/>
                <w:lang w:val="en-US" w:eastAsia="zh-CN" w:bidi="ar-SA"/>
              </w:rPr>
              <w:t>）不得超过20。</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相对畸变不得超过±5%。</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望诊信息采集设备传输方式为无线传输，包含补光灯，拍摄模块。</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望诊信息采集单元不大于92*150*31.5 mm。</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望诊采集模块支持触控操作，软件通过无线的方式将采集到的信息上传至舌面脉信息采集管理平台。</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脉诊信息采集单元</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脉诊信息采集单元尺寸不大于38*52*73mm。</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脉诊信息采集单元为无线蓝牙传输，含有电量显示功能。</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外加力学量准确性，设备可设定外加力学量范围30g-300g，设定值的最大允许误差为±15%。设备的外加力学量显示范围为30g-300g,显示值的最大允许误差为±15%。</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外加力学量施加装置的安全限值，自动加载的外加力学量施加装置，在正常工作状态下及单一故障状态下最大外加力学量不应超过88kPa。</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脉压准确性，脉压采集范围为5-20g，显示值的允差为±10%。</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脉率准确性，显示范围为35次/min到240次/min，分辨率为1次/min，显示值允差±3次/min。</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传感器的有效几何尺寸，传感器的有效表面与脉管垂直的尺寸应在7mm-9mm之间。</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工作噪声，设备在正常工作时的噪声应不大于60dB(A)。</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产品功能要求</w:t>
            </w:r>
          </w:p>
        </w:tc>
        <w:tc>
          <w:tcPr>
            <w:tcW w:w="2016" w:type="dxa"/>
            <w:vAlign w:val="top"/>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投标产品应具有用户创建、舌面信息采集、切脉信息采集、报告查看、系统设置等单元。</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用户创建单元</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健康信息录入功能：可创建病例，录入被检者的基本信息、健康档案等。</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pStyle w:val="17"/>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支持录入患者姓名、出生日期、手机号、性别、民族等基本信息。</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pStyle w:val="17"/>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支持录入身高、体重等一般情况信息。</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pStyle w:val="17"/>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包含不少于40种慢性病，支持从其中选择内容，录入信息。</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pStyle w:val="17"/>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支持录入吸烟、饮酒、饮食习惯、运动情况等生活方式信息。</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pStyle w:val="17"/>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支持录入职业特点、职业习惯等职业信息。</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pStyle w:val="17"/>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支持录入主诉、现病史、既往史等病史信息。</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检索功能：支持查找历史病例，查看既往病例报告。</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pStyle w:val="17"/>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档案管理功能：具备病例档案管理系统功能，能为每一位被检者建立可追溯的个人病例档案，保存被检者不同时期检测结果。</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pStyle w:val="17"/>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舌面信息采集单元</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望诊检测包含面诊与舌诊两部分内容，可在网络连接状态下将望诊信息采集设备拍摄得到的舌面图像上传至舌面脉信息采集管理平台进行查看和分析。支持扫码快速连接网络</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舌诊模块</w:t>
            </w:r>
          </w:p>
        </w:tc>
        <w:tc>
          <w:tcPr>
            <w:tcW w:w="2016"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投标产品应可手动选取舌体轮廓，能提供不少于120种舌象分类（其中至少包括两种舌神、七种舌态一级分类，10种舌态二级分类，5种舌色一级分类，17种舌色二级分类、三种舌苔颜色一级分类，18种舌苔颜色二级分类、15种苔质一级分类，18种苔质二级分类、8种舌形一级分类，20种舌形二级分类）供医生选择，支持舌下络脉的采集与特征分析。</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pStyle w:val="17"/>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当医生选择的舌象特征互相冲突时，系统可自动做出判别提示。</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pStyle w:val="17"/>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能对所有舌体特征自动给出临床意义选择项，供医生备选。</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016" w:type="dxa"/>
            <w:vAlign w:val="top"/>
          </w:tcPr>
          <w:p>
            <w:pPr>
              <w:pStyle w:val="17"/>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支持上传多张局部望诊图片。</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面诊模块</w:t>
            </w:r>
          </w:p>
        </w:tc>
        <w:tc>
          <w:tcPr>
            <w:tcW w:w="2016" w:type="dxa"/>
            <w:vAlign w:val="top"/>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投标产品支持分析整体面色、鼻色、唇色、人中形态、人中颜色等6类特征。</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能自动分析整体面色，唇色。</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能提供人中形态、人中颜色的选择并自动给出备选临床意义。</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支持查看既往的望诊信息</w:t>
            </w:r>
          </w:p>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spacing w:line="320" w:lineRule="exact"/>
              <w:rPr>
                <w:rFonts w:hint="eastAsia" w:ascii="仿宋" w:hAnsi="仿宋" w:eastAsia="仿宋" w:cs="仿宋"/>
                <w:b w:val="0"/>
                <w:bCs w:val="0"/>
                <w:kern w:val="2"/>
                <w:sz w:val="24"/>
                <w:szCs w:val="24"/>
                <w:lang w:val="en-US" w:eastAsia="zh-CN" w:bidi="ar-SA"/>
              </w:rPr>
            </w:pP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切脉信息采集单元</w:t>
            </w:r>
          </w:p>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可将腕带式脉诊设备采集的脉图数据通过蓝牙上传至舌面脉信息采集管理平台进行查看和分析。</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可分别选取左、右手，寸、关、尺6组脉图，自动根据浮、中、沉三种取脉压力，自动加压取脉并描绘实时脉图。系统自动判断存储采集的脉图信息，自动保存浮、中、沉三个压力段下的最佳脉图与连续脉图。</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每组脉象根据三条脉图数据自动提取脉象数据特征参数，自动给出该种脉象的中医临床意义，中医临床意义种类不少于22种。脉型判断结果支持医生手动修改。</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操作简便，同时采用电动推进的方式，实现缓慢加压，持续稳定性好，使得传感器对患者手腕施加的压力更加均匀。</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可智能提取并分析脉图的脉力、脉位、脉型、脉率、紧张度、脉力规律等不少于8个要素的变化和相兼等特征信息，自动判断脉图结果。</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支持智能提取主波上升期、主波幅高、主波夹角、主波入射角、主波上部周期、脉力方差等数值化数据。</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支持查看既往的脉诊信息。</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报告单元</w:t>
            </w:r>
          </w:p>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pStyle w:val="17"/>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能输出涵盖被检者基本信息、检测参数、检测结果与养生建议等的标准化报告。</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pStyle w:val="17"/>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支持自定义编辑养生建议。</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pStyle w:val="17"/>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标准化报告支持保存PDF报告、保存并上传。</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设置单元</w:t>
            </w:r>
          </w:p>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可根据需要自由选择信息录入的内容，包括一般情况（身高、体重、血压等）、生活方式（运动情况、吸烟情况等）、职业特点等。</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根据需要自由选择报告展示的内容，包括个人健康档案（一般情况、饮食习惯、吸烟情况、饮酒情况等）、中医体检报告（健康评估、舌面评估、脉象评估、体质评估）、健康管理方案（运动指导、节气指导等）、评估解析。</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支持新建管理员及普通用户。</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支持客户自行添加养生建议分类及具体的建议内容。</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支持导出病人信息、望诊数据或脉诊数据。</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hint="eastAsia" w:ascii="仿宋" w:hAnsi="仿宋" w:eastAsia="仿宋" w:cs="仿宋"/>
                <w:b w:val="0"/>
                <w:bCs w:val="0"/>
                <w:kern w:val="2"/>
                <w:sz w:val="24"/>
                <w:szCs w:val="24"/>
                <w:lang w:val="en-US" w:eastAsia="zh-CN" w:bidi="ar-SA"/>
              </w:rPr>
            </w:pPr>
          </w:p>
        </w:tc>
        <w:tc>
          <w:tcPr>
            <w:tcW w:w="20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整机及配套提供物资免费保修不少于三年（含所有零部件，包括须定期更换零部件）；</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ascii="仿宋" w:hAnsi="仿宋" w:eastAsia="仿宋"/>
                <w:b w:val="0"/>
                <w:bCs/>
                <w:szCs w:val="21"/>
              </w:rPr>
            </w:pPr>
          </w:p>
        </w:tc>
        <w:tc>
          <w:tcPr>
            <w:tcW w:w="2016"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整机及配套提供物资若需与医院信息系统对接，接口费用由中标方承担；</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297" w:type="dxa"/>
          </w:tcPr>
          <w:p>
            <w:pPr>
              <w:spacing w:line="320" w:lineRule="exact"/>
              <w:rPr>
                <w:rFonts w:ascii="仿宋" w:hAnsi="仿宋" w:eastAsia="仿宋"/>
                <w:b w:val="0"/>
                <w:bCs/>
                <w:szCs w:val="21"/>
              </w:rPr>
            </w:pPr>
          </w:p>
        </w:tc>
        <w:tc>
          <w:tcPr>
            <w:tcW w:w="2016"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提供同机型设备国内医院用户合同2家及以上，标书内提供清晰的合同原件扫描件并加盖公章（遮盖认定为无效业绩）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9" w:type="dxa"/>
          </w:tcPr>
          <w:p>
            <w:pPr>
              <w:spacing w:line="320" w:lineRule="exact"/>
              <w:rPr>
                <w:rFonts w:ascii="仿宋" w:hAnsi="仿宋" w:eastAsia="仿宋"/>
                <w:b w:val="0"/>
                <w:bCs/>
                <w:szCs w:val="21"/>
              </w:rPr>
            </w:pPr>
          </w:p>
        </w:tc>
        <w:tc>
          <w:tcPr>
            <w:tcW w:w="1906"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D97B7"/>
    <w:multiLevelType w:val="singleLevel"/>
    <w:tmpl w:val="BC1D97B7"/>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C59AB"/>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8A4D29"/>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customStyle="1" w:styleId="3">
    <w:name w:val="style4"/>
    <w:basedOn w:val="1"/>
    <w:next w:val="4"/>
    <w:autoRedefine/>
    <w:qFormat/>
    <w:uiPriority w:val="0"/>
    <w:pPr>
      <w:widowControl/>
      <w:spacing w:before="280" w:after="280"/>
    </w:pPr>
    <w:rPr>
      <w:rFonts w:ascii="宋体" w:hAnsi="Times New Roman" w:eastAsia="宋体" w:cs="Times New Roman"/>
      <w:sz w:val="18"/>
    </w:rPr>
  </w:style>
  <w:style w:type="paragraph" w:customStyle="1" w:styleId="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Body Text First Indent"/>
    <w:basedOn w:val="2"/>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autoRedefine/>
    <w:semiHidden/>
    <w:qFormat/>
    <w:uiPriority w:val="99"/>
    <w:rPr>
      <w:sz w:val="18"/>
      <w:szCs w:val="18"/>
    </w:rPr>
  </w:style>
  <w:style w:type="character" w:customStyle="1" w:styleId="13">
    <w:name w:val="页脚 Char"/>
    <w:basedOn w:val="11"/>
    <w:link w:val="5"/>
    <w:autoRedefine/>
    <w:qFormat/>
    <w:uiPriority w:val="99"/>
    <w:rPr>
      <w:sz w:val="18"/>
      <w:szCs w:val="18"/>
    </w:rPr>
  </w:style>
  <w:style w:type="paragraph" w:customStyle="1" w:styleId="14">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autoRedefine/>
    <w:qFormat/>
    <w:uiPriority w:val="0"/>
  </w:style>
  <w:style w:type="paragraph" w:customStyle="1" w:styleId="16">
    <w:name w:val="表格文字"/>
    <w:basedOn w:val="1"/>
    <w:autoRedefine/>
    <w:qFormat/>
    <w:uiPriority w:val="1624"/>
    <w:pPr>
      <w:spacing w:line="420" w:lineRule="atLeast"/>
      <w:textAlignment w:val="baseline"/>
    </w:pPr>
    <w:rPr>
      <w:szCs w:val="24"/>
    </w:rPr>
  </w:style>
  <w:style w:type="paragraph" w:customStyle="1" w:styleId="17">
    <w:name w:val="中等深浅网格 1 - 着色 2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1</TotalTime>
  <ScaleCrop>false</ScaleCrop>
  <LinksUpToDate>false</LinksUpToDate>
  <CharactersWithSpaces>1386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2024-01-05T08:42:49Z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