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bookmarkStart w:id="0" w:name="_GoBack"/>
      <w:r>
        <w:rPr>
          <w:rFonts w:hint="eastAsia" w:asciiTheme="majorEastAsia" w:hAnsiTheme="majorEastAsia" w:eastAsiaTheme="majorEastAsia"/>
          <w:b/>
          <w:sz w:val="32"/>
          <w:szCs w:val="32"/>
          <w:u w:val="single"/>
        </w:rPr>
        <w:t>耳内镜</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6"/>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9"/>
        <w:gridCol w:w="1121"/>
        <w:gridCol w:w="2036"/>
        <w:gridCol w:w="1053"/>
        <w:gridCol w:w="803"/>
        <w:gridCol w:w="2009"/>
        <w:gridCol w:w="19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79"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03"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09"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54"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21"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03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53"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03" w:type="dxa"/>
            <w:vMerge w:val="continue"/>
          </w:tcPr>
          <w:p>
            <w:pPr>
              <w:spacing w:line="320" w:lineRule="exact"/>
              <w:rPr>
                <w:rFonts w:ascii="仿宋" w:hAnsi="仿宋" w:eastAsia="仿宋"/>
                <w:b w:val="0"/>
                <w:bCs/>
                <w:szCs w:val="21"/>
              </w:rPr>
            </w:pPr>
          </w:p>
        </w:tc>
        <w:tc>
          <w:tcPr>
            <w:tcW w:w="2009" w:type="dxa"/>
            <w:vMerge w:val="continue"/>
          </w:tcPr>
          <w:p>
            <w:pPr>
              <w:spacing w:line="320" w:lineRule="exact"/>
              <w:rPr>
                <w:rFonts w:ascii="仿宋" w:hAnsi="仿宋" w:eastAsia="仿宋"/>
                <w:b w:val="0"/>
                <w:bCs/>
                <w:szCs w:val="21"/>
              </w:rPr>
            </w:pPr>
          </w:p>
        </w:tc>
        <w:tc>
          <w:tcPr>
            <w:tcW w:w="1954"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tcPr>
          <w:p>
            <w:pPr>
              <w:numPr>
                <w:ilvl w:val="0"/>
                <w:numId w:val="2"/>
              </w:numPr>
              <w:spacing w:line="320" w:lineRule="exact"/>
              <w:ind w:left="425" w:leftChars="0" w:hanging="425" w:firstLineChars="0"/>
              <w:rPr>
                <w:rFonts w:ascii="仿宋" w:hAnsi="仿宋" w:eastAsia="仿宋"/>
                <w:b w:val="0"/>
                <w:bCs/>
                <w:szCs w:val="21"/>
              </w:rPr>
            </w:pPr>
          </w:p>
        </w:tc>
        <w:tc>
          <w:tcPr>
            <w:tcW w:w="112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耳内镜专用手件及耳内镜</w:t>
            </w:r>
          </w:p>
        </w:tc>
        <w:tc>
          <w:tcPr>
            <w:tcW w:w="20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锈钢水阀，彻底根除了水阀维护繁琐，易损坏的弊病；</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tcPr>
          <w:p>
            <w:pPr>
              <w:numPr>
                <w:ilvl w:val="0"/>
                <w:numId w:val="2"/>
              </w:numPr>
              <w:spacing w:line="320" w:lineRule="exact"/>
              <w:ind w:left="425" w:leftChars="0" w:hanging="425" w:firstLineChars="0"/>
              <w:rPr>
                <w:rFonts w:ascii="仿宋" w:hAnsi="仿宋" w:eastAsia="仿宋"/>
                <w:b w:val="0"/>
                <w:bCs/>
                <w:szCs w:val="21"/>
              </w:rPr>
            </w:pPr>
          </w:p>
        </w:tc>
        <w:tc>
          <w:tcPr>
            <w:tcW w:w="112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0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手件插入部分外径：≤Ø3.5mm  工作长度：100mm   手件总长：120mm</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tcPr>
          <w:p>
            <w:pPr>
              <w:numPr>
                <w:ilvl w:val="0"/>
                <w:numId w:val="2"/>
              </w:numPr>
              <w:spacing w:line="320" w:lineRule="exact"/>
              <w:ind w:left="425" w:leftChars="0" w:hanging="425" w:firstLineChars="0"/>
              <w:rPr>
                <w:rFonts w:ascii="仿宋" w:hAnsi="仿宋" w:eastAsia="仿宋"/>
                <w:b w:val="0"/>
                <w:bCs/>
                <w:szCs w:val="21"/>
              </w:rPr>
            </w:pPr>
          </w:p>
        </w:tc>
        <w:tc>
          <w:tcPr>
            <w:tcW w:w="112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0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镜体外径：Ø3mm  视向角：0度/45度</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tcPr>
          <w:p>
            <w:pPr>
              <w:numPr>
                <w:ilvl w:val="0"/>
                <w:numId w:val="2"/>
              </w:numPr>
              <w:spacing w:line="320" w:lineRule="exact"/>
              <w:ind w:left="425" w:leftChars="0" w:hanging="425" w:firstLineChars="0"/>
              <w:rPr>
                <w:rFonts w:ascii="仿宋" w:hAnsi="仿宋" w:eastAsia="仿宋"/>
                <w:b w:val="0"/>
                <w:bCs/>
                <w:szCs w:val="21"/>
              </w:rPr>
            </w:pPr>
          </w:p>
        </w:tc>
        <w:tc>
          <w:tcPr>
            <w:tcW w:w="112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0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耳内镜手术专用单阀灌注设计，可适用于传统膨腔泵的灌流接口，也适用于等离子专用灌注泵接口。</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tcPr>
          <w:p>
            <w:pPr>
              <w:numPr>
                <w:ilvl w:val="0"/>
                <w:numId w:val="2"/>
              </w:numPr>
              <w:spacing w:line="320" w:lineRule="exact"/>
              <w:ind w:left="425" w:leftChars="0" w:hanging="425" w:firstLineChars="0"/>
              <w:rPr>
                <w:rFonts w:ascii="仿宋" w:hAnsi="仿宋" w:eastAsia="仿宋"/>
                <w:b w:val="0"/>
                <w:bCs/>
                <w:szCs w:val="21"/>
              </w:rPr>
            </w:pPr>
          </w:p>
        </w:tc>
        <w:tc>
          <w:tcPr>
            <w:tcW w:w="112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20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鲁尔接口设计，管路直径小，轻便，一次性使用，无需反复消毒，便于术者长时间手术操作需要。</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tcPr>
          <w:p>
            <w:pPr>
              <w:numPr>
                <w:ilvl w:val="0"/>
                <w:numId w:val="2"/>
              </w:numPr>
              <w:spacing w:line="320" w:lineRule="exact"/>
              <w:ind w:left="425" w:leftChars="0" w:hanging="425" w:firstLineChars="0"/>
              <w:rPr>
                <w:rFonts w:ascii="仿宋" w:hAnsi="仿宋" w:eastAsia="仿宋"/>
                <w:b w:val="0"/>
                <w:bCs/>
                <w:szCs w:val="21"/>
              </w:rPr>
            </w:pPr>
          </w:p>
        </w:tc>
        <w:tc>
          <w:tcPr>
            <w:tcW w:w="112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耳内镜专用灌注泵</w:t>
            </w:r>
          </w:p>
        </w:tc>
        <w:tc>
          <w:tcPr>
            <w:tcW w:w="20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配开展耳内镜手术的灌注泵，流量调节0-280ml/min。通过调节灌注泵后面板的转速调节旋钮，可以设置流量大小，旋钮无极调速，左旋流量减小，右旋流量变大。当左旋至尽头时泵头停止转动，运行状态指示灯熄灭，设备停止工作。</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tcPr>
          <w:p>
            <w:pPr>
              <w:numPr>
                <w:ilvl w:val="0"/>
                <w:numId w:val="2"/>
              </w:numPr>
              <w:spacing w:line="320" w:lineRule="exact"/>
              <w:ind w:left="425" w:leftChars="0" w:hanging="425" w:firstLineChars="0"/>
              <w:rPr>
                <w:rFonts w:ascii="仿宋" w:hAnsi="仿宋" w:eastAsia="仿宋"/>
                <w:b w:val="0"/>
                <w:bCs/>
                <w:szCs w:val="21"/>
              </w:rPr>
            </w:pPr>
          </w:p>
        </w:tc>
        <w:tc>
          <w:tcPr>
            <w:tcW w:w="1121"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耳内镜专用等离子刀头</w:t>
            </w:r>
          </w:p>
        </w:tc>
        <w:tc>
          <w:tcPr>
            <w:tcW w:w="2036"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刀杆长度100mm，刀杆直径最细端1.4mm，最粗端3mm，前端有勾状、圆环状、剥离子等形状构成，满足皮瓣及组织剥离，瘤体切除等用途。</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tcPr>
          <w:p>
            <w:pPr>
              <w:numPr>
                <w:ilvl w:val="0"/>
                <w:numId w:val="2"/>
              </w:numPr>
              <w:spacing w:line="320" w:lineRule="exact"/>
              <w:ind w:left="425" w:leftChars="0" w:hanging="425" w:firstLineChars="0"/>
              <w:rPr>
                <w:rFonts w:ascii="仿宋" w:hAnsi="仿宋" w:eastAsia="仿宋"/>
                <w:b w:val="0"/>
                <w:bCs/>
                <w:szCs w:val="21"/>
              </w:rPr>
            </w:pPr>
          </w:p>
        </w:tc>
        <w:tc>
          <w:tcPr>
            <w:tcW w:w="1121" w:type="dxa"/>
          </w:tcPr>
          <w:p>
            <w:pPr>
              <w:spacing w:line="320" w:lineRule="exact"/>
              <w:rPr>
                <w:rFonts w:ascii="仿宋" w:hAnsi="仿宋" w:eastAsia="仿宋"/>
                <w:b w:val="0"/>
                <w:bCs/>
                <w:szCs w:val="21"/>
              </w:rPr>
            </w:pPr>
          </w:p>
        </w:tc>
        <w:tc>
          <w:tcPr>
            <w:tcW w:w="203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tcPr>
          <w:p>
            <w:pPr>
              <w:numPr>
                <w:ilvl w:val="0"/>
                <w:numId w:val="2"/>
              </w:numPr>
              <w:spacing w:line="320" w:lineRule="exact"/>
              <w:ind w:left="425" w:leftChars="0" w:hanging="425" w:firstLineChars="0"/>
              <w:rPr>
                <w:rFonts w:ascii="仿宋" w:hAnsi="仿宋" w:eastAsia="仿宋"/>
                <w:b w:val="0"/>
                <w:bCs/>
                <w:szCs w:val="21"/>
              </w:rPr>
            </w:pPr>
          </w:p>
        </w:tc>
        <w:tc>
          <w:tcPr>
            <w:tcW w:w="1121" w:type="dxa"/>
          </w:tcPr>
          <w:p>
            <w:pPr>
              <w:spacing w:line="320" w:lineRule="exact"/>
              <w:rPr>
                <w:rFonts w:ascii="仿宋" w:hAnsi="仿宋" w:eastAsia="仿宋"/>
                <w:b w:val="0"/>
                <w:bCs/>
                <w:szCs w:val="21"/>
              </w:rPr>
            </w:pPr>
          </w:p>
        </w:tc>
        <w:tc>
          <w:tcPr>
            <w:tcW w:w="2036"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9" w:type="dxa"/>
          </w:tcPr>
          <w:p>
            <w:pPr>
              <w:numPr>
                <w:ilvl w:val="0"/>
                <w:numId w:val="2"/>
              </w:numPr>
              <w:spacing w:line="320" w:lineRule="exact"/>
              <w:ind w:left="425" w:leftChars="0" w:hanging="425" w:firstLineChars="0"/>
              <w:rPr>
                <w:rFonts w:ascii="仿宋" w:hAnsi="仿宋" w:eastAsia="仿宋"/>
                <w:b w:val="0"/>
                <w:bCs/>
                <w:szCs w:val="21"/>
              </w:rPr>
            </w:pPr>
          </w:p>
        </w:tc>
        <w:tc>
          <w:tcPr>
            <w:tcW w:w="1121" w:type="dxa"/>
          </w:tcPr>
          <w:p>
            <w:pPr>
              <w:spacing w:line="320" w:lineRule="exact"/>
              <w:rPr>
                <w:rFonts w:ascii="仿宋" w:hAnsi="仿宋" w:eastAsia="仿宋"/>
                <w:b w:val="0"/>
                <w:bCs/>
                <w:szCs w:val="21"/>
              </w:rPr>
            </w:pPr>
          </w:p>
        </w:tc>
        <w:tc>
          <w:tcPr>
            <w:tcW w:w="203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53" w:type="dxa"/>
          </w:tcPr>
          <w:p>
            <w:pPr>
              <w:spacing w:line="320" w:lineRule="exact"/>
              <w:rPr>
                <w:rFonts w:ascii="仿宋" w:hAnsi="仿宋" w:eastAsia="仿宋"/>
                <w:b w:val="0"/>
                <w:bCs/>
                <w:szCs w:val="21"/>
              </w:rPr>
            </w:pPr>
          </w:p>
        </w:tc>
        <w:tc>
          <w:tcPr>
            <w:tcW w:w="803" w:type="dxa"/>
          </w:tcPr>
          <w:p>
            <w:pPr>
              <w:spacing w:line="320" w:lineRule="exact"/>
              <w:rPr>
                <w:rFonts w:ascii="仿宋" w:hAnsi="仿宋" w:eastAsia="仿宋"/>
                <w:b w:val="0"/>
                <w:bCs/>
                <w:szCs w:val="21"/>
              </w:rPr>
            </w:pPr>
          </w:p>
        </w:tc>
        <w:tc>
          <w:tcPr>
            <w:tcW w:w="2009" w:type="dxa"/>
          </w:tcPr>
          <w:p>
            <w:pPr>
              <w:spacing w:line="320" w:lineRule="exact"/>
              <w:rPr>
                <w:rFonts w:ascii="仿宋" w:hAnsi="仿宋" w:eastAsia="仿宋"/>
                <w:b w:val="0"/>
                <w:bCs/>
                <w:szCs w:val="21"/>
              </w:rPr>
            </w:pPr>
          </w:p>
        </w:tc>
        <w:tc>
          <w:tcPr>
            <w:tcW w:w="1954"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6"/>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BF9EBD7"/>
    <w:multiLevelType w:val="singleLevel"/>
    <w:tmpl w:val="0BF9EBD7"/>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982D7F"/>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style>
  <w:style w:type="paragraph" w:styleId="6">
    <w:name w:val="Body Text First Indent"/>
    <w:basedOn w:val="2"/>
    <w:unhideWhenUsed/>
    <w:qFormat/>
    <w:uiPriority w:val="99"/>
    <w:pPr>
      <w:ind w:firstLine="420" w:firstLineChars="100"/>
    </w:pPr>
    <w:rPr>
      <w:rFonts w:ascii="Times New Roman" w:hAnsi="Times New Roman"/>
      <w:kern w:val="0"/>
      <w:sz w:val="20"/>
      <w:szCs w:val="20"/>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4"/>
    <w:semiHidden/>
    <w:qFormat/>
    <w:uiPriority w:val="99"/>
    <w:rPr>
      <w:sz w:val="18"/>
      <w:szCs w:val="18"/>
    </w:rPr>
  </w:style>
  <w:style w:type="character" w:customStyle="1" w:styleId="13">
    <w:name w:val="页脚 Char"/>
    <w:basedOn w:val="9"/>
    <w:link w:val="3"/>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2023-11-17T08:12:51Z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