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等离子电切镜</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9"/>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等离子体主机</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1台，必须与电切内窥镜为同一厂家生产，以利最佳兼容和售后服务。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主机输出频率要求：</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主机输出频率大于等于360khz。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主机输出功率要求</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主机切割最大输出功率为200W；主机电凝最大输出功率为120W。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全智能型功率设置功能：</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要求能自动识别电极并开机即自动智能设置输出模式和功率，首次开机无须手动设置输出模式及功率参数</w:t>
            </w:r>
            <w:r>
              <w:rPr>
                <w:rFonts w:hint="eastAsia" w:ascii="仿宋" w:hAnsi="仿宋" w:eastAsia="仿宋" w:cs="仿宋"/>
                <w:b w:val="0"/>
                <w:bCs w:val="0"/>
                <w:sz w:val="24"/>
                <w:szCs w:val="24"/>
                <w:lang w:val="zh-CN" w:eastAsia="zh-CN"/>
              </w:rPr>
              <w:t>。</w:t>
            </w:r>
            <w:r>
              <w:rPr>
                <w:rFonts w:hint="eastAsia" w:ascii="仿宋" w:hAnsi="仿宋" w:eastAsia="仿宋" w:cs="仿宋"/>
                <w:b w:val="0"/>
                <w:bCs w:val="0"/>
                <w:sz w:val="24"/>
                <w:szCs w:val="24"/>
                <w:lang w:val="en-US" w:eastAsia="zh-CN"/>
              </w:rPr>
              <w:t>输出模式不少于9种。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LED液晶显示屏功能：</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触屏操作，可实时反馈电极连接状态，电极型号，电极使用次数，切凝功率数值等，可在主面板直接调节切割、电凝功率。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安全保护</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具有故障识别、自动停机保护，完整故障代码系统。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脚踏开关</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1个，双踏板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电切镜</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1套，可连续进出水冲洗对流，必须与主机为同一品牌。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硬性内窥镜</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1支，4mm/30°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工作手件</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1个，被动式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外鞘和内鞘</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内鞘和外鞘各一支，配套规格标准为26 Fr，必须带进、出水通道和控制开关，可360°自由旋转。内鞘进水接头1个，遇尿道狭窄时可配合内鞘实现腔内进水，实施单鞘手术。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标准鞘芯</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可视操作鞘</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1个，能够配合临床上激光光纤或者本厂适配柱状电极联合使用。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冲洗接头及附件</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冲洗接头1个，7.5mm，并且必须配备有吸引冲洗器、密封帽、冲洗管路以及加压冲洗管路等附件（相关专利附件需提供专利证明）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等离子专用双极电极</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2支,要求配备专用电极连接线一根，并且具备各种型号电极，适应临床需求。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电极安装状态的主机警示功能</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具有电极安装状态显示。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电极型号及使用次数显示</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电极正确连接时会显示正在使用的电极型号及电极使用次数。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电极与主机连接的安全特性要求</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电极正负极系全封闭绝缘经电缆与主机相连，而非电极负极直接插入操作手柄，致手件带电形成回路形成重大人身安全隐患。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分类管理级别</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主机、电切镜、电极都是三类医疗器械（依据注册证）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7"/>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9"/>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à.ā">
    <w:altName w:val="黑体"/>
    <w:panose1 w:val="00000000000000000000"/>
    <w:charset w:val="86"/>
    <w:family w:val="moder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BB1C8"/>
    <w:multiLevelType w:val="singleLevel"/>
    <w:tmpl w:val="972BB1C8"/>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23052D"/>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6"/>
    <w:pPr>
      <w:widowControl w:val="0"/>
      <w:autoSpaceDE w:val="0"/>
    </w:pPr>
    <w:rPr>
      <w:rFonts w:ascii="楷体à.ā" w:hAnsi="楷体à.ā" w:eastAsia="楷体à.ā" w:cs="Cambria"/>
      <w:color w:val="000000"/>
      <w:sz w:val="24"/>
      <w:szCs w:val="22"/>
      <w:lang w:val="en-US" w:eastAsia="zh-CN" w:bidi="ar-SA"/>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Body Text First Indent"/>
    <w:basedOn w:val="3"/>
    <w:unhideWhenUsed/>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2023-10-27T08:48:32Z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