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外科手术床</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7"/>
          <w:rFonts w:hint="eastAsia" w:ascii="仿宋" w:hAnsi="仿宋" w:eastAsia="仿宋" w:cs="仿宋"/>
          <w:b w:val="0"/>
          <w:bCs/>
          <w:color w:val="auto"/>
          <w:sz w:val="21"/>
          <w:szCs w:val="21"/>
          <w:lang w:eastAsia="zh-CN"/>
        </w:rPr>
        <w:t>具备</w:t>
      </w:r>
      <w:r>
        <w:rPr>
          <w:rStyle w:val="17"/>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7"/>
          <w:rFonts w:hint="eastAsia" w:ascii="仿宋" w:hAnsi="仿宋" w:eastAsia="仿宋" w:cs="仿宋"/>
          <w:b/>
          <w:bCs w:val="0"/>
          <w:color w:val="auto"/>
          <w:sz w:val="21"/>
          <w:szCs w:val="21"/>
          <w:lang w:eastAsia="zh-CN"/>
        </w:rPr>
        <w:t>或具备</w:t>
      </w:r>
      <w:r>
        <w:rPr>
          <w:rStyle w:val="17"/>
          <w:rFonts w:hint="eastAsia" w:ascii="仿宋" w:hAnsi="仿宋" w:eastAsia="仿宋" w:cs="仿宋"/>
          <w:b/>
          <w:bCs w:val="0"/>
          <w:color w:val="auto"/>
          <w:sz w:val="21"/>
          <w:szCs w:val="21"/>
          <w:lang w:val="en-US" w:eastAsia="zh-CN"/>
        </w:rPr>
        <w:t>CMA【或CNAS】资质检测机构）</w:t>
      </w:r>
      <w:r>
        <w:rPr>
          <w:rStyle w:val="17"/>
          <w:rFonts w:hint="eastAsia" w:ascii="仿宋" w:hAnsi="仿宋" w:eastAsia="仿宋" w:cs="仿宋"/>
          <w:b w:val="0"/>
          <w:bCs/>
          <w:color w:val="auto"/>
          <w:sz w:val="21"/>
          <w:szCs w:val="21"/>
          <w:lang w:val="en-US" w:eastAsia="zh-CN"/>
        </w:rPr>
        <w:t>出具的</w:t>
      </w:r>
      <w:r>
        <w:rPr>
          <w:rStyle w:val="17"/>
          <w:rFonts w:hint="eastAsia" w:ascii="仿宋" w:hAnsi="仿宋" w:eastAsia="仿宋" w:cs="仿宋"/>
          <w:b w:val="0"/>
          <w:bCs/>
          <w:color w:val="auto"/>
          <w:sz w:val="21"/>
          <w:szCs w:val="21"/>
        </w:rPr>
        <w:t>质检报告原件扫描件</w:t>
      </w:r>
      <w:r>
        <w:rPr>
          <w:rStyle w:val="17"/>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7"/>
          <w:rFonts w:hint="eastAsia" w:ascii="仿宋" w:hAnsi="仿宋" w:eastAsia="仿宋" w:cs="仿宋"/>
          <w:b w:val="0"/>
          <w:bCs/>
          <w:color w:val="auto"/>
          <w:sz w:val="21"/>
          <w:szCs w:val="21"/>
        </w:rPr>
        <w:t>食药监局</w:t>
      </w:r>
      <w:r>
        <w:rPr>
          <w:rStyle w:val="17"/>
          <w:rFonts w:hint="eastAsia" w:ascii="仿宋" w:hAnsi="仿宋" w:eastAsia="仿宋" w:cs="仿宋"/>
          <w:b w:val="0"/>
          <w:bCs/>
          <w:color w:val="auto"/>
          <w:sz w:val="21"/>
          <w:szCs w:val="21"/>
          <w:lang w:eastAsia="zh-CN"/>
        </w:rPr>
        <w:t>或</w:t>
      </w:r>
      <w:r>
        <w:rPr>
          <w:rStyle w:val="17"/>
          <w:rFonts w:hint="eastAsia" w:ascii="仿宋" w:hAnsi="仿宋" w:eastAsia="仿宋" w:cs="仿宋"/>
          <w:b w:val="0"/>
          <w:bCs/>
          <w:color w:val="auto"/>
          <w:sz w:val="21"/>
          <w:szCs w:val="21"/>
        </w:rPr>
        <w:t>其下属单位</w:t>
      </w:r>
      <w:r>
        <w:rPr>
          <w:rStyle w:val="17"/>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10"/>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2"/>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适用于普通外科、骨科、泌尿科、肛肠科、妇产科、脑外科等各类手术；能取坐位、平卧、俯卧位、侧卧位、截石位、头低足高位等。</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pStyle w:val="18"/>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采用全电动控制，必须具备电动升降、电动左右倾斜、前后倾斜、电动双纵向平移、电动背板上下、电动腰上腰下（即V型与反V型）、电动一键刹车、电动一键复位、电动水平定位等装置功能，缺一不可；使用安全可靠。</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手术床床板由头板、背板、臀板及可分开式腿板等五部分组成。头板可拆卸，采用气弹簧组件助力；腿板可拆卸、可分叉，采用气弹簧组件助力，可在+15°/-90°范围内任意上下折；独立电动液压控制刹车，能够轻松将手术床固定或移动，确保手术床稳定性。</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pStyle w:val="18"/>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手术床台面采用可透X光材料制作。手术床采用中心柱设计，底座为T型底座，侧面有内凹方便医生站位。</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pStyle w:val="18"/>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床面须具备双纵向平移≥320mm（头部平移160mm，腿部平移160mm），方便胸外科、腔镜等手术操作使用，C臂透视无任何死角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pStyle w:val="18"/>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手术床需配电动腰桥功能，腰桥高度≥100mm，且腰桥为隐藏式无不方便清洁的外凸及链条结构，电动操作避免术中操作需要医生让位及手动操作的不方便。</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pStyle w:val="18"/>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手术床身、外壳、底座必须为304不锈钢包覆，防腐蚀、易清洁保养，使用寿命长，防护等级至少为IPX4级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pStyle w:val="18"/>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具有头板和腿板前后互换功能，满足不同手术的C型臂透视需求。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pStyle w:val="18"/>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手术床配备万向转动轮，可单独360°旋转，方便在复杂地形内灵活移动.采用电动刹车，可一键解锁刹车。且配备全机械式手动刹车释放系统。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手术床配有高性能充电电池，可满足≥50次手术需要，确保手术床在无交流电源供电状态下工作。充电电池无需保养和维护,可长时间使用。同时具有交流电源供电功能，确保最大的安全性。</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具有手持有线控制器和立柱应急控制面板（立柱应急面板位于立柱上方便操作，拒绝放在底座上）两套功能一致、且相互独立的控制系统。确保手术床在一套控制系统发生故障时，另一套仍能可靠运行。</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手术床床垫由质地柔软的记忆海绵整体制成，厚度≥75mm。床垫表面采用无缝烫接技术，防水透气易清洗，防静电。</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手术床腿板及头板采用按钮式一键拆卸，方便快捷</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pStyle w:val="18"/>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电动腰上／下功能装置即V型与反V型的体位驱动装置。一键复位功能。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pStyle w:val="18"/>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手术床边轨须能兼容手术室现有手术体位架使用，边轨尺寸须为25*10mm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numPr>
                <w:ilvl w:val="0"/>
                <w:numId w:val="0"/>
              </w:numPr>
              <w:spacing w:line="24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台面长度：≥2050mm.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numPr>
                <w:ilvl w:val="0"/>
                <w:numId w:val="0"/>
              </w:numPr>
              <w:spacing w:line="24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台面宽度：≥510mm.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numPr>
                <w:ilvl w:val="0"/>
                <w:numId w:val="0"/>
              </w:numPr>
              <w:spacing w:line="24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台面高度最高：≥900mm.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numPr>
                <w:ilvl w:val="0"/>
                <w:numId w:val="0"/>
              </w:numPr>
              <w:spacing w:line="24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台面高度最低：≤600mm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numPr>
                <w:ilvl w:val="0"/>
                <w:numId w:val="0"/>
              </w:numPr>
              <w:spacing w:line="24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台面双纵向平移：≥320mm.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numPr>
                <w:ilvl w:val="0"/>
                <w:numId w:val="0"/>
              </w:numPr>
              <w:spacing w:line="24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床体前倾、后倾：≥25°</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numPr>
                <w:ilvl w:val="0"/>
                <w:numId w:val="0"/>
              </w:numPr>
              <w:spacing w:line="24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床面左倾、右倾：≥20°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numPr>
                <w:ilvl w:val="0"/>
                <w:numId w:val="0"/>
              </w:numPr>
              <w:spacing w:line="24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头板（上、下）：≥45°/45°</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numPr>
                <w:ilvl w:val="0"/>
                <w:numId w:val="0"/>
              </w:numPr>
              <w:spacing w:line="24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背板（上、下）：≥80°/40°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numPr>
                <w:ilvl w:val="0"/>
                <w:numId w:val="0"/>
              </w:numPr>
              <w:spacing w:line="24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脚板（上、下）：≥15°/90°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numPr>
                <w:ilvl w:val="0"/>
                <w:numId w:val="0"/>
              </w:numPr>
              <w:spacing w:line="24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腰部（上升/下降）：220°/100°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numPr>
                <w:ilvl w:val="0"/>
                <w:numId w:val="0"/>
              </w:numPr>
              <w:spacing w:line="24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最大安全载重：≥250KG</w:t>
            </w:r>
          </w:p>
          <w:p>
            <w:pPr>
              <w:numPr>
                <w:ilvl w:val="0"/>
                <w:numId w:val="0"/>
              </w:numPr>
              <w:spacing w:line="240" w:lineRule="auto"/>
              <w:ind w:left="480" w:leftChars="0"/>
              <w:jc w:val="center"/>
              <w:rPr>
                <w:rFonts w:hint="eastAsia" w:ascii="仿宋" w:hAnsi="仿宋" w:eastAsia="仿宋" w:cs="仿宋"/>
                <w:b w:val="0"/>
                <w:bCs w:val="0"/>
                <w:kern w:val="2"/>
                <w:sz w:val="24"/>
                <w:szCs w:val="24"/>
                <w:lang w:val="en-US" w:eastAsia="zh-CN" w:bidi="ar-SA"/>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pStyle w:val="9"/>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right="0" w:rightChars="0"/>
              <w:jc w:val="left"/>
              <w:textAlignment w:val="auto"/>
              <w:rPr>
                <w:rFonts w:hint="eastAsia" w:ascii="仿宋" w:hAnsi="仿宋" w:eastAsia="仿宋" w:cs="仿宋"/>
                <w:b w:val="0"/>
                <w:bCs w:val="0"/>
                <w:kern w:val="2"/>
                <w:sz w:val="24"/>
                <w:szCs w:val="24"/>
                <w:lang w:val="en-US" w:eastAsia="zh-CN" w:bidi="ar-SA"/>
              </w:rPr>
            </w:pPr>
            <w:bookmarkStart w:id="0" w:name="_GoBack"/>
            <w:r>
              <w:rPr>
                <w:rFonts w:hint="eastAsia" w:ascii="仿宋" w:hAnsi="仿宋" w:eastAsia="仿宋" w:cs="仿宋"/>
                <w:b w:val="0"/>
                <w:bCs w:val="0"/>
                <w:kern w:val="2"/>
                <w:sz w:val="24"/>
                <w:szCs w:val="24"/>
                <w:lang w:val="en-US" w:eastAsia="zh-CN" w:bidi="ar-SA"/>
              </w:rPr>
              <w:t>主床体：1台</w:t>
            </w:r>
          </w:p>
          <w:p>
            <w:pPr>
              <w:pStyle w:val="9"/>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right="0" w:righ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头板：1副</w:t>
            </w:r>
          </w:p>
          <w:p>
            <w:pPr>
              <w:pStyle w:val="9"/>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right="0" w:righ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手臂板：1副</w:t>
            </w:r>
          </w:p>
          <w:p>
            <w:pPr>
              <w:pStyle w:val="9"/>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right="0" w:righ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腿板：1副</w:t>
            </w:r>
          </w:p>
          <w:p>
            <w:pPr>
              <w:pStyle w:val="9"/>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right="0" w:righ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手按控制器：1组</w:t>
            </w:r>
          </w:p>
          <w:p>
            <w:pPr>
              <w:pStyle w:val="9"/>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right="0" w:righ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手术专用抗静电床垫：1副</w:t>
            </w:r>
          </w:p>
          <w:p>
            <w:pPr>
              <w:pStyle w:val="9"/>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right="0" w:righ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麻醉布帘架：1副（含固定器）</w:t>
            </w:r>
          </w:p>
          <w:p>
            <w:pPr>
              <w:pStyle w:val="9"/>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right="0" w:righ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手脚绑带及束体带：1套</w:t>
            </w:r>
          </w:p>
          <w:p>
            <w:pPr>
              <w:pStyle w:val="9"/>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right="0" w:righ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侧卧位手架：1组（含固定器）</w:t>
            </w:r>
          </w:p>
          <w:p>
            <w:pPr>
              <w:pStyle w:val="9"/>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right="0" w:righ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侧卧耻骨支撑杆组：1组（含固定器）</w:t>
            </w:r>
          </w:p>
          <w:p>
            <w:pPr>
              <w:pStyle w:val="9"/>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right="0" w:righ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侧卧背腰部支撑杆组：1组（含固定器）</w:t>
            </w:r>
          </w:p>
          <w:bookmarkEnd w:id="0"/>
          <w:p>
            <w:pPr>
              <w:numPr>
                <w:ilvl w:val="0"/>
                <w:numId w:val="0"/>
              </w:numPr>
              <w:spacing w:line="240" w:lineRule="auto"/>
              <w:ind w:left="480" w:leftChars="0"/>
              <w:jc w:val="center"/>
              <w:rPr>
                <w:rFonts w:hint="eastAsia" w:ascii="仿宋" w:hAnsi="仿宋" w:eastAsia="仿宋" w:cs="仿宋"/>
                <w:b w:val="0"/>
                <w:bCs w:val="0"/>
                <w:kern w:val="2"/>
                <w:sz w:val="24"/>
                <w:szCs w:val="24"/>
                <w:lang w:val="en-US" w:eastAsia="zh-CN" w:bidi="ar-SA"/>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2"/>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2"/>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10"/>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1"/>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1"/>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1"/>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1"/>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15F25"/>
    <w:multiLevelType w:val="singleLevel"/>
    <w:tmpl w:val="F4C15F25"/>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6"/>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CC54B8"/>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C44A80"/>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ABA5974"/>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1624"/>
    <w:pPr>
      <w:spacing w:line="420" w:lineRule="atLeast"/>
      <w:textAlignment w:val="baseline"/>
    </w:pPr>
    <w:rPr>
      <w:szCs w:val="24"/>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3"/>
    <w:unhideWhenUsed/>
    <w:qFormat/>
    <w:uiPriority w:val="99"/>
    <w:pPr>
      <w:ind w:firstLine="420" w:firstLineChars="100"/>
    </w:pPr>
    <w:rPr>
      <w:rFonts w:ascii="Times New Roman" w:hAnsi="Times New Roman"/>
      <w:kern w:val="0"/>
      <w:sz w:val="20"/>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4">
    <w:name w:val="页眉 Char"/>
    <w:basedOn w:val="13"/>
    <w:link w:val="7"/>
    <w:semiHidden/>
    <w:qFormat/>
    <w:uiPriority w:val="99"/>
    <w:rPr>
      <w:sz w:val="18"/>
      <w:szCs w:val="18"/>
    </w:rPr>
  </w:style>
  <w:style w:type="character" w:customStyle="1" w:styleId="15">
    <w:name w:val="页脚 Char"/>
    <w:basedOn w:val="13"/>
    <w:link w:val="6"/>
    <w:qFormat/>
    <w:uiPriority w:val="99"/>
    <w:rPr>
      <w:sz w:val="18"/>
      <w:szCs w:val="18"/>
    </w:rPr>
  </w:style>
  <w:style w:type="paragraph" w:customStyle="1" w:styleId="16">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7">
    <w:name w:val="NormalCharacter"/>
    <w:qFormat/>
    <w:uiPriority w:val="0"/>
  </w:style>
  <w:style w:type="paragraph" w:styleId="1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0</TotalTime>
  <ScaleCrop>false</ScaleCrop>
  <LinksUpToDate>false</LinksUpToDate>
  <CharactersWithSpaces>1386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Administrator</cp:lastModifiedBy>
  <dcterms:modified xsi:type="dcterms:W3CDTF">2023-11-10T08:27:59Z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