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宋体" w:hAnsi="宋体" w:eastAsia="宋体" w:cs="宋体"/>
          <w:b/>
          <w:bCs/>
          <w:sz w:val="30"/>
          <w:szCs w:val="30"/>
          <w:u w:val="single"/>
        </w:rPr>
        <w:t>肛肠压力检测仪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肛肠动力主机：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独立式可自由移动台车，模块化数字主机及数字接口，可和任意计算机进行数字连接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压力换能器:进口新型专用灌注式压力传感器，使用寿命长，不易堵塞;灵敏度： 25μV/mmHg（5V电源）;定标压力15kpa</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测压通道数： 8</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水灌注装置系统:灌注压力范围： 4—10psi，可设置</w:t>
            </w:r>
            <w:r>
              <w:rPr>
                <w:rFonts w:hint="eastAsia" w:ascii="仿宋" w:hAnsi="仿宋" w:eastAsia="仿宋" w:cs="仿宋"/>
                <w:b w:val="0"/>
                <w:bCs w:val="0"/>
                <w:sz w:val="24"/>
                <w:szCs w:val="24"/>
                <w:lang w:val="en-US" w:eastAsia="zh-CN"/>
              </w:rPr>
              <w:cr/>
            </w:r>
            <w:r>
              <w:rPr>
                <w:rFonts w:hint="eastAsia" w:ascii="仿宋" w:hAnsi="仿宋" w:eastAsia="仿宋" w:cs="仿宋"/>
                <w:b w:val="0"/>
                <w:bCs w:val="0"/>
                <w:sz w:val="24"/>
                <w:szCs w:val="24"/>
                <w:lang w:val="en-US" w:eastAsia="zh-CN"/>
              </w:rPr>
              <w:t xml:space="preserve">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灌注泵加压自动恒压控制，数字显示，另配表头指示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配灌注压力表头，灌注压力数字、表头双显示，有过压保护功能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高强度2.0L聚碳酸酯灌注专用型储水罐，密封性好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cr/>
            </w:r>
            <w:r>
              <w:rPr>
                <w:rFonts w:hint="eastAsia" w:ascii="仿宋" w:hAnsi="仿宋" w:eastAsia="仿宋" w:cs="仿宋"/>
                <w:b w:val="0"/>
                <w:bCs w:val="0"/>
                <w:sz w:val="24"/>
                <w:szCs w:val="24"/>
                <w:lang w:val="en-US" w:eastAsia="zh-CN"/>
              </w:rPr>
              <w:t xml:space="preserve"> 泄漏检测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水灌注式测压导管（9腔），有成人型和儿童专用型二种规格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采用柱状囊球，有成人型和儿童专用型二种规格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牵引仪由软件控制回位、牵拉，高低可调节，有二端限位保护（自动停止）功能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一体式多联分液板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测压专用连接延长管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肛肠测压软件包（可免费升级）</w:t>
            </w:r>
            <w:r>
              <w:rPr>
                <w:rFonts w:hint="eastAsia" w:ascii="仿宋" w:hAnsi="仿宋" w:eastAsia="仿宋" w:cs="仿宋"/>
                <w:b w:val="0"/>
                <w:bCs w:val="0"/>
                <w:sz w:val="24"/>
                <w:szCs w:val="24"/>
                <w:lang w:val="en-US" w:eastAsia="zh-CN"/>
              </w:rPr>
              <w:cr/>
            </w:r>
            <w:r>
              <w:rPr>
                <w:rFonts w:hint="eastAsia" w:ascii="仿宋" w:hAnsi="仿宋" w:eastAsia="仿宋" w:cs="仿宋"/>
                <w:b w:val="0"/>
                <w:bCs w:val="0"/>
                <w:sz w:val="24"/>
                <w:szCs w:val="24"/>
                <w:lang w:val="en-US" w:eastAsia="zh-CN"/>
              </w:rPr>
              <w:t xml:space="preserve">  建立在Windows软件环境，大视野宽屏高清软件界面</w:t>
            </w:r>
            <w:r>
              <w:rPr>
                <w:rFonts w:hint="eastAsia" w:ascii="仿宋" w:hAnsi="仿宋" w:eastAsia="仿宋" w:cs="仿宋"/>
                <w:b w:val="0"/>
                <w:bCs w:val="0"/>
                <w:sz w:val="24"/>
                <w:szCs w:val="24"/>
                <w:lang w:val="en-US" w:eastAsia="zh-CN"/>
              </w:rPr>
              <w:cr/>
            </w:r>
            <w:r>
              <w:rPr>
                <w:rFonts w:hint="eastAsia" w:ascii="仿宋" w:hAnsi="仿宋" w:eastAsia="仿宋" w:cs="仿宋"/>
                <w:b w:val="0"/>
                <w:bCs w:val="0"/>
                <w:sz w:val="24"/>
                <w:szCs w:val="24"/>
                <w:lang w:val="en-US" w:eastAsia="zh-CN"/>
              </w:rPr>
              <w:t xml:space="preserve">  ;多项参数自定义，个性化操作、自动导航指示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独特的软件通道零点定位功能和参数自校准功能，各通道可单独或同时进行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测压过程中有操作向导提示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实时压力数值和导管深度显示，二种压力单位（mmHg/kPa）可切换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全自动分析压力事件图标，专家自动诊断模式，根据分析数据，给出诊断意见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患者信息数据库式管理，压力数据自动存储，多方位检索，可全部或单个导入、导出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ARM报告（包含文字和波形，自定义报告格式）一页式打印，可给出Word文档格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全面肛肠动力检测项目：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直肠静息压力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肛管静息压力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肛门最大收缩压、最大收缩时间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肛管、直肠排便压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直肠肛门反射(RAIR)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肛管功能长度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直肠感觉阈值</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直肠蠕动波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肛管蠕动波</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支持自定义测压项目（如咳嗽反射等）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78A47"/>
    <w:multiLevelType w:val="singleLevel"/>
    <w:tmpl w:val="FA978A47"/>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A216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2023-09-14T03:31:57Z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