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智能肛肠综合检查治疗机</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52"/>
        <w:gridCol w:w="1072"/>
        <w:gridCol w:w="2376"/>
        <w:gridCol w:w="1009"/>
        <w:gridCol w:w="776"/>
        <w:gridCol w:w="1898"/>
        <w:gridCol w:w="1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9"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76"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898"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862"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072"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37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09"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76" w:type="dxa"/>
            <w:vMerge w:val="continue"/>
          </w:tcPr>
          <w:p>
            <w:pPr>
              <w:spacing w:line="320" w:lineRule="exact"/>
              <w:rPr>
                <w:rFonts w:ascii="仿宋" w:hAnsi="仿宋" w:eastAsia="仿宋"/>
                <w:b w:val="0"/>
                <w:bCs/>
                <w:szCs w:val="21"/>
              </w:rPr>
            </w:pPr>
          </w:p>
        </w:tc>
        <w:tc>
          <w:tcPr>
            <w:tcW w:w="1898" w:type="dxa"/>
            <w:vMerge w:val="continue"/>
          </w:tcPr>
          <w:p>
            <w:pPr>
              <w:spacing w:line="320" w:lineRule="exact"/>
              <w:rPr>
                <w:rFonts w:ascii="仿宋" w:hAnsi="仿宋" w:eastAsia="仿宋"/>
                <w:b w:val="0"/>
                <w:bCs/>
                <w:szCs w:val="21"/>
              </w:rPr>
            </w:pPr>
          </w:p>
        </w:tc>
        <w:tc>
          <w:tcPr>
            <w:tcW w:w="1862"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tcPr>
          <w:p>
            <w:pPr>
              <w:spacing w:line="320" w:lineRule="exact"/>
              <w:jc w:val="left"/>
              <w:rPr>
                <w:rFonts w:ascii="仿宋" w:hAnsi="仿宋" w:eastAsia="仿宋"/>
                <w:b w:val="0"/>
                <w:bCs/>
                <w:szCs w:val="21"/>
              </w:rPr>
            </w:pPr>
            <w:r>
              <w:rPr>
                <w:rFonts w:hint="eastAsia" w:ascii="仿宋" w:hAnsi="仿宋" w:eastAsia="仿宋" w:cs="仿宋"/>
                <w:b/>
                <w:sz w:val="24"/>
              </w:rPr>
              <w:t>电子高清晰手持式内窥镜系统检查部分：</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tcPr>
          <w:p>
            <w:pPr>
              <w:spacing w:line="320" w:lineRule="exact"/>
              <w:jc w:val="left"/>
              <w:rPr>
                <w:rFonts w:ascii="仿宋" w:hAnsi="仿宋" w:eastAsia="仿宋"/>
                <w:b w:val="0"/>
                <w:bCs/>
                <w:szCs w:val="21"/>
              </w:rPr>
            </w:pPr>
            <w:r>
              <w:rPr>
                <w:rFonts w:hint="eastAsia" w:ascii="仿宋" w:hAnsi="仿宋" w:eastAsia="仿宋" w:cs="仿宋"/>
                <w:sz w:val="24"/>
              </w:rPr>
              <w:t>视频制式PAL,该内窥镜全密封防水、防污物、防雾、防磁、防震、抗压配合一次性全封闭无交叉感染直乙镜使用。</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tcPr>
          <w:p>
            <w:pPr>
              <w:spacing w:line="320" w:lineRule="exact"/>
              <w:jc w:val="left"/>
              <w:rPr>
                <w:rFonts w:ascii="仿宋" w:hAnsi="仿宋" w:eastAsia="仿宋"/>
                <w:b w:val="0"/>
                <w:bCs/>
                <w:szCs w:val="21"/>
              </w:rPr>
            </w:pPr>
            <w:r>
              <w:rPr>
                <w:rFonts w:hint="eastAsia" w:ascii="仿宋" w:hAnsi="仿宋" w:eastAsia="仿宋" w:cs="仿宋"/>
                <w:b/>
                <w:kern w:val="0"/>
                <w:sz w:val="24"/>
              </w:rPr>
              <w:t>高清晰摄像机、适配器</w:t>
            </w:r>
            <w:r>
              <w:rPr>
                <w:rFonts w:hint="eastAsia" w:ascii="仿宋" w:hAnsi="仿宋" w:eastAsia="仿宋" w:cs="仿宋"/>
                <w:b/>
                <w:sz w:val="24"/>
              </w:rPr>
              <w:t>：</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tcPr>
          <w:p>
            <w:pPr>
              <w:spacing w:line="320" w:lineRule="exact"/>
              <w:jc w:val="left"/>
              <w:rPr>
                <w:rFonts w:ascii="仿宋" w:hAnsi="仿宋" w:eastAsia="仿宋"/>
                <w:b w:val="0"/>
                <w:bCs/>
                <w:szCs w:val="21"/>
              </w:rPr>
            </w:pPr>
            <w:r>
              <w:rPr>
                <w:rFonts w:hint="eastAsia" w:ascii="仿宋" w:hAnsi="仿宋" w:eastAsia="仿宋" w:cs="仿宋"/>
                <w:sz w:val="24"/>
              </w:rPr>
              <w:t>手持式高清晰数码摄像系统：自带高亮度LED灯光源连续工作时间＞10万时多点分布，实现无反光真彩效果、自动白平衡、自动聚焦。</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tcPr>
          <w:p>
            <w:pPr>
              <w:spacing w:line="320" w:lineRule="exact"/>
              <w:jc w:val="left"/>
              <w:rPr>
                <w:rFonts w:ascii="仿宋" w:hAnsi="仿宋" w:eastAsia="仿宋"/>
                <w:b w:val="0"/>
                <w:bCs/>
                <w:szCs w:val="21"/>
              </w:rPr>
            </w:pPr>
            <w:r>
              <w:rPr>
                <w:rFonts w:hint="eastAsia" w:ascii="仿宋" w:hAnsi="仿宋" w:eastAsia="仿宋" w:cs="仿宋"/>
                <w:sz w:val="24"/>
              </w:rPr>
              <w:t>图像感应：500万像素；</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tcPr>
          <w:p>
            <w:pPr>
              <w:spacing w:line="320" w:lineRule="exact"/>
              <w:jc w:val="left"/>
              <w:rPr>
                <w:rFonts w:ascii="仿宋" w:hAnsi="仿宋" w:eastAsia="仿宋"/>
                <w:b w:val="0"/>
                <w:bCs/>
                <w:szCs w:val="21"/>
              </w:rPr>
            </w:pPr>
            <w:r>
              <w:rPr>
                <w:rFonts w:hint="eastAsia" w:ascii="仿宋" w:hAnsi="仿宋" w:eastAsia="仿宋" w:cs="仿宋"/>
                <w:sz w:val="24"/>
              </w:rPr>
              <w:t xml:space="preserve">传感器：1/12VGA OLYMPUS    supcrHAD   cmos/olympus  水度:800TVL </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tcPr>
          <w:p>
            <w:pPr>
              <w:spacing w:line="320" w:lineRule="exact"/>
              <w:jc w:val="left"/>
              <w:rPr>
                <w:rFonts w:ascii="仿宋" w:hAnsi="仿宋" w:eastAsia="仿宋"/>
                <w:b w:val="0"/>
                <w:bCs/>
                <w:szCs w:val="21"/>
              </w:rPr>
            </w:pPr>
            <w:r>
              <w:rPr>
                <w:rFonts w:hint="eastAsia" w:ascii="仿宋" w:hAnsi="仿宋" w:eastAsia="仿宋" w:cs="仿宋"/>
                <w:sz w:val="24"/>
              </w:rPr>
              <w:t>最低照度：0.01LUX／F1.4</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tcPr>
          <w:p>
            <w:pPr>
              <w:spacing w:line="320" w:lineRule="exact"/>
              <w:jc w:val="left"/>
              <w:rPr>
                <w:rFonts w:ascii="仿宋" w:hAnsi="仿宋" w:eastAsia="仿宋"/>
                <w:b w:val="0"/>
                <w:bCs/>
                <w:szCs w:val="21"/>
              </w:rPr>
            </w:pPr>
            <w:r>
              <w:rPr>
                <w:rFonts w:hint="eastAsia" w:ascii="仿宋" w:hAnsi="仿宋" w:eastAsia="仿宋" w:cs="仿宋"/>
                <w:sz w:val="24"/>
              </w:rPr>
              <w:t>功率：</w:t>
            </w:r>
            <w:r>
              <w:rPr>
                <w:rFonts w:hint="eastAsia" w:ascii="仿宋" w:hAnsi="仿宋" w:eastAsia="仿宋" w:cs="仿宋"/>
                <w:sz w:val="24"/>
                <w:lang w:eastAsia="zh-CN"/>
              </w:rPr>
              <w:t>≤</w:t>
            </w:r>
            <w:r>
              <w:rPr>
                <w:rFonts w:hint="eastAsia" w:ascii="仿宋" w:hAnsi="仿宋" w:eastAsia="仿宋" w:cs="仿宋"/>
                <w:sz w:val="24"/>
              </w:rPr>
              <w:t>600mw(w/whiteLED)</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sz w:val="24"/>
              </w:rPr>
              <w:t>电源：DC3.6V</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vAlign w:val="top"/>
          </w:tcPr>
          <w:p>
            <w:pPr>
              <w:spacing w:line="320" w:lineRule="exact"/>
              <w:jc w:val="left"/>
              <w:rPr>
                <w:rFonts w:ascii="仿宋" w:hAnsi="仿宋" w:eastAsia="仿宋"/>
                <w:b w:val="0"/>
                <w:bCs/>
                <w:szCs w:val="21"/>
              </w:rPr>
            </w:pPr>
            <w:r>
              <w:rPr>
                <w:rFonts w:hint="eastAsia" w:ascii="仿宋" w:hAnsi="仿宋" w:eastAsia="仿宋" w:cs="仿宋"/>
                <w:sz w:val="24"/>
              </w:rPr>
              <w:t>分辨率：1024Hx768</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vAlign w:val="top"/>
          </w:tcPr>
          <w:p>
            <w:pPr>
              <w:spacing w:line="320" w:lineRule="exact"/>
              <w:jc w:val="left"/>
              <w:rPr>
                <w:rFonts w:ascii="仿宋" w:hAnsi="仿宋" w:eastAsia="仿宋"/>
                <w:b w:val="0"/>
                <w:bCs/>
                <w:szCs w:val="21"/>
              </w:rPr>
            </w:pPr>
            <w:r>
              <w:rPr>
                <w:rFonts w:hint="eastAsia" w:ascii="仿宋" w:hAnsi="仿宋" w:eastAsia="仿宋" w:cs="仿宋"/>
                <w:sz w:val="24"/>
              </w:rPr>
              <w:t xml:space="preserve">放大倍数： 30倍采用零度镜全视野成像，无死角图像不变形 </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tcPr>
          <w:p>
            <w:pPr>
              <w:spacing w:line="320" w:lineRule="exact"/>
              <w:jc w:val="left"/>
              <w:rPr>
                <w:rFonts w:ascii="仿宋" w:hAnsi="仿宋" w:eastAsia="仿宋"/>
                <w:b w:val="0"/>
                <w:bCs/>
                <w:szCs w:val="21"/>
              </w:rPr>
            </w:pPr>
            <w:r>
              <w:rPr>
                <w:rFonts w:hint="eastAsia" w:ascii="仿宋" w:hAnsi="仿宋" w:eastAsia="仿宋" w:cs="仿宋"/>
                <w:sz w:val="24"/>
              </w:rPr>
              <w:t xml:space="preserve">信噪比：＞60(db)  </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tcPr>
          <w:p>
            <w:pPr>
              <w:spacing w:line="320" w:lineRule="exact"/>
              <w:jc w:val="left"/>
              <w:rPr>
                <w:rFonts w:ascii="仿宋" w:hAnsi="仿宋" w:eastAsia="仿宋"/>
                <w:b w:val="0"/>
                <w:bCs/>
                <w:szCs w:val="21"/>
              </w:rPr>
            </w:pPr>
            <w:r>
              <w:rPr>
                <w:rFonts w:hint="eastAsia" w:ascii="仿宋" w:hAnsi="仿宋" w:eastAsia="仿宋" w:cs="仿宋"/>
                <w:sz w:val="24"/>
              </w:rPr>
              <w:t>信号传输：应用数字信号处理器</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tcPr>
          <w:p>
            <w:pPr>
              <w:spacing w:line="320" w:lineRule="exact"/>
              <w:jc w:val="left"/>
              <w:rPr>
                <w:rFonts w:ascii="仿宋" w:hAnsi="仿宋" w:eastAsia="仿宋"/>
                <w:b w:val="0"/>
                <w:bCs/>
                <w:szCs w:val="21"/>
              </w:rPr>
            </w:pPr>
            <w:r>
              <w:rPr>
                <w:rFonts w:hint="eastAsia" w:ascii="仿宋" w:hAnsi="仿宋" w:eastAsia="仿宋" w:cs="仿宋"/>
                <w:sz w:val="24"/>
              </w:rPr>
              <w:t>焦距：2cm—10cm</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tcPr>
          <w:p>
            <w:pPr>
              <w:spacing w:line="320" w:lineRule="exact"/>
              <w:jc w:val="left"/>
              <w:rPr>
                <w:rFonts w:ascii="仿宋" w:hAnsi="仿宋" w:eastAsia="仿宋"/>
                <w:b w:val="0"/>
                <w:bCs/>
                <w:szCs w:val="21"/>
              </w:rPr>
            </w:pPr>
            <w:r>
              <w:rPr>
                <w:rFonts w:hint="eastAsia" w:ascii="仿宋" w:hAnsi="仿宋" w:eastAsia="仿宋" w:cs="仿宋"/>
                <w:sz w:val="24"/>
              </w:rPr>
              <w:t xml:space="preserve">温度：-10ºC  to  +60 ºC </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tcPr>
          <w:p>
            <w:pPr>
              <w:spacing w:line="320" w:lineRule="exact"/>
              <w:jc w:val="left"/>
              <w:rPr>
                <w:rFonts w:ascii="仿宋" w:hAnsi="仿宋" w:eastAsia="仿宋"/>
                <w:b w:val="0"/>
                <w:bCs/>
                <w:szCs w:val="21"/>
              </w:rPr>
            </w:pPr>
            <w:r>
              <w:rPr>
                <w:rFonts w:hint="eastAsia" w:ascii="仿宋" w:hAnsi="仿宋" w:eastAsia="仿宋" w:cs="仿宋"/>
                <w:sz w:val="24"/>
              </w:rPr>
              <w:t>湿度：30%—90%Rh</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tcPr>
          <w:p>
            <w:pPr>
              <w:spacing w:line="320" w:lineRule="exact"/>
              <w:jc w:val="left"/>
              <w:rPr>
                <w:rFonts w:ascii="仿宋" w:hAnsi="仿宋" w:eastAsia="仿宋"/>
                <w:b w:val="0"/>
                <w:bCs/>
                <w:szCs w:val="21"/>
              </w:rPr>
            </w:pPr>
            <w:r>
              <w:rPr>
                <w:rFonts w:hint="eastAsia" w:ascii="仿宋" w:hAnsi="仿宋" w:eastAsia="仿宋" w:cs="仿宋"/>
                <w:sz w:val="24"/>
              </w:rPr>
              <w:t>直乙镜长度：250mm</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tcPr>
          <w:p>
            <w:pPr>
              <w:spacing w:line="320" w:lineRule="exact"/>
              <w:jc w:val="left"/>
              <w:rPr>
                <w:rFonts w:ascii="仿宋" w:hAnsi="仿宋" w:eastAsia="仿宋"/>
                <w:b w:val="0"/>
                <w:bCs/>
                <w:szCs w:val="21"/>
              </w:rPr>
            </w:pPr>
            <w:r>
              <w:rPr>
                <w:rFonts w:hint="eastAsia" w:ascii="仿宋" w:hAnsi="仿宋" w:eastAsia="仿宋" w:cs="仿宋"/>
                <w:sz w:val="24"/>
              </w:rPr>
              <w:t>直乙镜有效工作长度：250mm</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tcPr>
          <w:p>
            <w:pPr>
              <w:spacing w:line="320" w:lineRule="exact"/>
              <w:jc w:val="left"/>
              <w:rPr>
                <w:rFonts w:ascii="仿宋" w:hAnsi="仿宋" w:eastAsia="仿宋"/>
                <w:b w:val="0"/>
                <w:bCs/>
                <w:szCs w:val="21"/>
              </w:rPr>
            </w:pPr>
            <w:r>
              <w:rPr>
                <w:rFonts w:hint="eastAsia" w:ascii="仿宋" w:hAnsi="仿宋" w:eastAsia="仿宋" w:cs="仿宋"/>
                <w:sz w:val="24"/>
              </w:rPr>
              <w:t>一次性无交叉感染直乙镜：Ø19mm</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sz w:val="24"/>
              </w:rPr>
              <w:t>镜下取活检</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vAlign w:val="top"/>
          </w:tcPr>
          <w:p>
            <w:pPr>
              <w:spacing w:line="320" w:lineRule="exact"/>
              <w:jc w:val="left"/>
              <w:rPr>
                <w:rFonts w:ascii="仿宋" w:hAnsi="仿宋" w:eastAsia="仿宋"/>
                <w:b w:val="0"/>
                <w:bCs/>
                <w:szCs w:val="21"/>
              </w:rPr>
            </w:pPr>
            <w:r>
              <w:rPr>
                <w:rFonts w:hint="eastAsia" w:ascii="仿宋" w:hAnsi="仿宋" w:eastAsia="仿宋" w:cs="仿宋"/>
                <w:sz w:val="24"/>
              </w:rPr>
              <w:t>具有镜下充气、镜下电凝功能</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vAlign w:val="top"/>
          </w:tcPr>
          <w:p>
            <w:pPr>
              <w:spacing w:line="320" w:lineRule="exact"/>
              <w:jc w:val="left"/>
              <w:rPr>
                <w:rFonts w:ascii="仿宋" w:hAnsi="仿宋" w:eastAsia="仿宋"/>
                <w:b w:val="0"/>
                <w:bCs/>
                <w:szCs w:val="21"/>
              </w:rPr>
            </w:pPr>
            <w:r>
              <w:rPr>
                <w:rFonts w:hint="eastAsia" w:ascii="仿宋" w:hAnsi="仿宋" w:eastAsia="仿宋" w:cs="仿宋"/>
                <w:b/>
                <w:sz w:val="24"/>
              </w:rPr>
              <w:t>软件功能具有</w:t>
            </w:r>
            <w:r>
              <w:rPr>
                <w:rFonts w:hint="eastAsia" w:ascii="仿宋" w:hAnsi="仿宋" w:eastAsia="仿宋" w:cs="仿宋"/>
                <w:sz w:val="24"/>
              </w:rPr>
              <w:t>：将病灶部位在显示器上进行观察、放大、图像冻结、病案管理、储存、再现、测量出病灶部位尺寸并可对病变部位进行图文标注，实现治疗前后对比分析，将观察到的病灶部位进行彩色图片打印。</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tcPr>
          <w:p>
            <w:pPr>
              <w:spacing w:line="320" w:lineRule="exact"/>
              <w:jc w:val="left"/>
              <w:rPr>
                <w:rFonts w:ascii="仿宋" w:hAnsi="仿宋" w:eastAsia="仿宋"/>
                <w:b w:val="0"/>
                <w:bCs/>
                <w:szCs w:val="21"/>
              </w:rPr>
            </w:pPr>
            <w:r>
              <w:rPr>
                <w:rFonts w:hint="eastAsia" w:ascii="仿宋" w:hAnsi="仿宋" w:eastAsia="仿宋" w:cs="仿宋"/>
                <w:b/>
                <w:sz w:val="24"/>
              </w:rPr>
              <w:t>治疗部分：</w:t>
            </w:r>
            <w:r>
              <w:rPr>
                <w:rFonts w:hint="eastAsia" w:ascii="仿宋" w:hAnsi="仿宋" w:eastAsia="仿宋" w:cs="仿宋"/>
                <w:sz w:val="24"/>
              </w:rPr>
              <w:t>采用高频电容场消融技术，内置过载、过压、过流保护装置，治疗完毕报警提示。</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tcPr>
          <w:p>
            <w:pPr>
              <w:numPr>
                <w:ilvl w:val="0"/>
                <w:numId w:val="3"/>
              </w:numPr>
              <w:spacing w:line="320" w:lineRule="exact"/>
              <w:ind w:left="600" w:leftChars="0" w:hanging="360" w:firstLineChars="0"/>
              <w:jc w:val="left"/>
              <w:rPr>
                <w:rFonts w:ascii="仿宋" w:hAnsi="仿宋" w:eastAsia="仿宋"/>
                <w:b w:val="0"/>
                <w:bCs/>
                <w:szCs w:val="21"/>
              </w:rPr>
            </w:pPr>
            <w:r>
              <w:rPr>
                <w:rFonts w:hint="eastAsia" w:ascii="仿宋" w:hAnsi="仿宋" w:eastAsia="仿宋" w:cs="仿宋"/>
                <w:sz w:val="24"/>
              </w:rPr>
              <w:t>治疗功能：电钳、电切、混切、电镊。</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tcPr>
          <w:p>
            <w:pPr>
              <w:numPr>
                <w:ilvl w:val="0"/>
                <w:numId w:val="3"/>
              </w:numPr>
              <w:spacing w:line="320" w:lineRule="exact"/>
              <w:ind w:left="600" w:leftChars="0" w:hanging="360" w:firstLineChars="0"/>
              <w:jc w:val="left"/>
              <w:rPr>
                <w:rFonts w:ascii="仿宋" w:hAnsi="仿宋" w:eastAsia="仿宋"/>
                <w:b w:val="0"/>
                <w:bCs/>
                <w:szCs w:val="21"/>
              </w:rPr>
            </w:pPr>
            <w:r>
              <w:rPr>
                <w:rFonts w:hint="eastAsia" w:ascii="仿宋" w:hAnsi="仿宋" w:eastAsia="仿宋" w:cs="仿宋"/>
                <w:sz w:val="24"/>
              </w:rPr>
              <w:t>电钳、电镊输出功率自动控制，电切、混切连续可调。</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tcPr>
          <w:p>
            <w:pPr>
              <w:numPr>
                <w:ilvl w:val="0"/>
                <w:numId w:val="3"/>
              </w:numPr>
              <w:spacing w:line="320" w:lineRule="exact"/>
              <w:ind w:left="600" w:leftChars="0" w:hanging="360" w:firstLineChars="0"/>
              <w:jc w:val="left"/>
              <w:rPr>
                <w:rFonts w:ascii="仿宋" w:hAnsi="仿宋" w:eastAsia="仿宋"/>
                <w:b w:val="0"/>
                <w:bCs/>
                <w:szCs w:val="21"/>
              </w:rPr>
            </w:pPr>
            <w:r>
              <w:rPr>
                <w:rFonts w:hint="eastAsia" w:ascii="仿宋" w:hAnsi="仿宋" w:eastAsia="仿宋" w:cs="仿宋"/>
                <w:sz w:val="24"/>
              </w:rPr>
              <w:t>治疗各期的内痔、外痔、混合痔、肛裂、脓肿、肛乳头纤维瘤等。</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tcPr>
          <w:p>
            <w:pPr>
              <w:spacing w:line="320" w:lineRule="exact"/>
              <w:ind w:firstLine="240" w:firstLineChars="100"/>
              <w:jc w:val="left"/>
              <w:rPr>
                <w:rFonts w:ascii="仿宋" w:hAnsi="仿宋" w:eastAsia="仿宋"/>
                <w:b w:val="0"/>
                <w:bCs/>
                <w:szCs w:val="21"/>
              </w:rPr>
            </w:pPr>
            <w:r>
              <w:rPr>
                <w:rFonts w:hint="eastAsia" w:ascii="仿宋" w:hAnsi="仿宋" w:eastAsia="仿宋" w:cs="仿宋"/>
                <w:sz w:val="24"/>
              </w:rPr>
              <w:t>d) 具有治疗时间短、不碳化、不结痂、不水肿，术后出血量少、易操作（每枚痔核3～6秒）等特点。</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tcPr>
          <w:p>
            <w:pPr>
              <w:spacing w:line="320" w:lineRule="exact"/>
              <w:jc w:val="left"/>
              <w:rPr>
                <w:rFonts w:ascii="仿宋" w:hAnsi="仿宋" w:eastAsia="仿宋"/>
                <w:b w:val="0"/>
                <w:bCs/>
                <w:szCs w:val="21"/>
              </w:rPr>
            </w:pPr>
            <w:r>
              <w:rPr>
                <w:rFonts w:hint="eastAsia" w:ascii="仿宋" w:hAnsi="仿宋" w:eastAsia="仿宋" w:cs="仿宋"/>
                <w:sz w:val="24"/>
              </w:rPr>
              <w:t>输出功率0—55W连续可调；2、电切输出频率：180KHZ—220KHZ;混切输出频率：160KHZ—200KHZ；3、电钳输出频率：210KHZ—240KHZ;4、电镊输出频率：280KHZ—350KHZ。</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tcPr>
          <w:p>
            <w:pPr>
              <w:spacing w:line="320" w:lineRule="exact"/>
              <w:jc w:val="left"/>
              <w:rPr>
                <w:rFonts w:ascii="仿宋" w:hAnsi="仿宋" w:eastAsia="仿宋"/>
                <w:b w:val="0"/>
                <w:bCs/>
                <w:szCs w:val="21"/>
              </w:rPr>
            </w:pPr>
            <w:r>
              <w:rPr>
                <w:rFonts w:hint="eastAsia" w:ascii="仿宋" w:hAnsi="仿宋" w:eastAsia="仿宋" w:cs="仿宋"/>
                <w:b/>
                <w:sz w:val="24"/>
              </w:rPr>
              <w:t>工作条件：</w:t>
            </w:r>
            <w:r>
              <w:rPr>
                <w:rFonts w:hint="eastAsia" w:ascii="仿宋" w:hAnsi="仿宋" w:eastAsia="仿宋" w:cs="仿宋"/>
                <w:sz w:val="24"/>
              </w:rPr>
              <w:t>a)整机功率：＜400W；b)环境温度：5ºC—40 ºC；c)相对湿度：＜80%；d）大气压力范围：70kpa—106kpa；e)电源：AC220±22V       50HZ±1HZ。</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72" w:type="dxa"/>
          </w:tcPr>
          <w:p>
            <w:pPr>
              <w:spacing w:line="320" w:lineRule="exact"/>
              <w:rPr>
                <w:rFonts w:ascii="仿宋" w:hAnsi="仿宋" w:eastAsia="仿宋"/>
                <w:b w:val="0"/>
                <w:bCs/>
                <w:szCs w:val="21"/>
              </w:rPr>
            </w:pPr>
          </w:p>
        </w:tc>
        <w:tc>
          <w:tcPr>
            <w:tcW w:w="2376"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spacing w:line="320" w:lineRule="exact"/>
              <w:rPr>
                <w:rFonts w:ascii="仿宋" w:hAnsi="仿宋" w:eastAsia="仿宋"/>
                <w:b w:val="0"/>
                <w:bCs/>
                <w:szCs w:val="21"/>
              </w:rPr>
            </w:pPr>
            <w:r>
              <w:rPr>
                <w:rFonts w:hint="eastAsia" w:ascii="仿宋" w:hAnsi="仿宋" w:eastAsia="仿宋" w:cs="仿宋"/>
                <w:kern w:val="0"/>
                <w:sz w:val="24"/>
              </w:rPr>
              <w:t>万向环保豪华高档专用台车一台</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spacing w:line="320" w:lineRule="exact"/>
              <w:jc w:val="left"/>
              <w:rPr>
                <w:rFonts w:ascii="仿宋" w:hAnsi="仿宋" w:eastAsia="仿宋"/>
                <w:b w:val="0"/>
                <w:bCs/>
                <w:szCs w:val="21"/>
              </w:rPr>
            </w:pPr>
            <w:r>
              <w:rPr>
                <w:rFonts w:hint="eastAsia" w:ascii="仿宋" w:hAnsi="仿宋" w:eastAsia="仿宋" w:cs="仿宋"/>
                <w:kern w:val="0"/>
                <w:sz w:val="24"/>
              </w:rPr>
              <w:t xml:space="preserve">电脑高保真视频接收卡一套  </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widowControl/>
              <w:tabs>
                <w:tab w:val="left" w:pos="4080"/>
              </w:tabs>
              <w:spacing w:line="320" w:lineRule="exact"/>
              <w:jc w:val="left"/>
              <w:rPr>
                <w:rFonts w:ascii="仿宋" w:hAnsi="仿宋" w:eastAsia="仿宋"/>
                <w:b w:val="0"/>
                <w:bCs/>
                <w:szCs w:val="21"/>
              </w:rPr>
            </w:pPr>
            <w:r>
              <w:rPr>
                <w:rFonts w:hint="eastAsia" w:ascii="仿宋" w:hAnsi="仿宋" w:eastAsia="仿宋" w:cs="仿宋"/>
                <w:kern w:val="0"/>
                <w:sz w:val="24"/>
              </w:rPr>
              <w:t xml:space="preserve">彩色显示器一台    </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widowControl/>
              <w:spacing w:line="320" w:lineRule="exact"/>
              <w:jc w:val="left"/>
              <w:rPr>
                <w:rFonts w:ascii="仿宋" w:hAnsi="仿宋" w:eastAsia="仿宋"/>
                <w:b w:val="0"/>
                <w:bCs/>
                <w:szCs w:val="21"/>
              </w:rPr>
            </w:pPr>
            <w:r>
              <w:rPr>
                <w:rFonts w:hint="eastAsia" w:ascii="仿宋" w:hAnsi="仿宋" w:eastAsia="仿宋" w:cs="仿宋"/>
                <w:kern w:val="0"/>
                <w:sz w:val="24"/>
              </w:rPr>
              <w:t xml:space="preserve">高性能计算机系统一套 </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spacing w:line="320" w:lineRule="exact"/>
              <w:jc w:val="left"/>
              <w:rPr>
                <w:rFonts w:ascii="仿宋" w:hAnsi="仿宋" w:eastAsia="仿宋"/>
                <w:b w:val="0"/>
                <w:bCs/>
                <w:szCs w:val="21"/>
              </w:rPr>
            </w:pPr>
            <w:r>
              <w:rPr>
                <w:rFonts w:hint="eastAsia" w:ascii="仿宋" w:hAnsi="仿宋" w:eastAsia="仿宋" w:cs="仿宋"/>
                <w:kern w:val="0"/>
                <w:sz w:val="24"/>
              </w:rPr>
              <w:t xml:space="preserve">高清晰彩色喷墨打印机一台  </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spacing w:line="320" w:lineRule="exact"/>
              <w:jc w:val="left"/>
              <w:rPr>
                <w:rFonts w:ascii="仿宋" w:hAnsi="仿宋" w:eastAsia="仿宋"/>
                <w:b w:val="0"/>
                <w:bCs/>
                <w:szCs w:val="21"/>
              </w:rPr>
            </w:pPr>
            <w:r>
              <w:rPr>
                <w:rFonts w:hint="eastAsia" w:ascii="仿宋" w:hAnsi="仿宋" w:eastAsia="仿宋" w:cs="仿宋"/>
                <w:kern w:val="0"/>
                <w:sz w:val="24"/>
              </w:rPr>
              <w:t>专用病案管理软件一套；</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spacing w:line="320" w:lineRule="exact"/>
              <w:jc w:val="left"/>
              <w:rPr>
                <w:rFonts w:ascii="仿宋" w:hAnsi="仿宋" w:eastAsia="仿宋"/>
                <w:b w:val="0"/>
                <w:bCs/>
                <w:szCs w:val="21"/>
              </w:rPr>
            </w:pPr>
            <w:r>
              <w:rPr>
                <w:rFonts w:hint="eastAsia" w:ascii="仿宋" w:hAnsi="仿宋" w:eastAsia="仿宋" w:cs="仿宋"/>
                <w:kern w:val="0"/>
                <w:sz w:val="24"/>
              </w:rPr>
              <w:t>高清晰手持式进口带LED光源内窥镜检查系统一套</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spacing w:line="320" w:lineRule="exact"/>
              <w:jc w:val="left"/>
              <w:rPr>
                <w:rFonts w:ascii="仿宋" w:hAnsi="仿宋" w:eastAsia="仿宋"/>
                <w:b w:val="0"/>
                <w:bCs/>
                <w:szCs w:val="21"/>
              </w:rPr>
            </w:pPr>
            <w:r>
              <w:rPr>
                <w:rFonts w:hint="eastAsia" w:ascii="仿宋" w:hAnsi="仿宋" w:eastAsia="仿宋" w:cs="仿宋"/>
                <w:kern w:val="0"/>
                <w:sz w:val="24"/>
              </w:rPr>
              <w:t>高清晰摄像机适配器一台（外置）</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spacing w:line="320" w:lineRule="exact"/>
              <w:jc w:val="left"/>
              <w:rPr>
                <w:rFonts w:ascii="仿宋" w:hAnsi="仿宋" w:eastAsia="仿宋"/>
                <w:b w:val="0"/>
                <w:bCs/>
                <w:szCs w:val="21"/>
              </w:rPr>
            </w:pPr>
            <w:r>
              <w:rPr>
                <w:rFonts w:hint="eastAsia" w:ascii="仿宋" w:hAnsi="仿宋" w:eastAsia="仿宋" w:cs="仿宋"/>
                <w:kern w:val="0"/>
                <w:sz w:val="24"/>
              </w:rPr>
              <w:t>图像捕捉脚控开关一只</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spacing w:line="320" w:lineRule="exact"/>
              <w:jc w:val="left"/>
              <w:rPr>
                <w:rFonts w:ascii="仿宋" w:hAnsi="仿宋" w:eastAsia="仿宋"/>
                <w:b w:val="0"/>
                <w:bCs/>
                <w:szCs w:val="21"/>
              </w:rPr>
            </w:pPr>
            <w:r>
              <w:rPr>
                <w:rFonts w:hint="eastAsia" w:ascii="仿宋" w:hAnsi="仿宋" w:eastAsia="仿宋" w:cs="仿宋"/>
                <w:kern w:val="0"/>
                <w:sz w:val="24"/>
              </w:rPr>
              <w:t>一次性无交叉感染直乙镜5只（250mm)</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spacing w:line="320" w:lineRule="exact"/>
              <w:jc w:val="left"/>
              <w:rPr>
                <w:rFonts w:ascii="仿宋" w:hAnsi="仿宋" w:eastAsia="仿宋"/>
                <w:b w:val="0"/>
                <w:bCs/>
                <w:szCs w:val="21"/>
              </w:rPr>
            </w:pPr>
            <w:r>
              <w:rPr>
                <w:rFonts w:hint="eastAsia" w:ascii="仿宋" w:hAnsi="仿宋" w:eastAsia="仿宋" w:cs="仿宋"/>
                <w:kern w:val="0"/>
                <w:sz w:val="24"/>
              </w:rPr>
              <w:t>内置高性能治疗机一台</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spacing w:line="320" w:lineRule="exact"/>
              <w:jc w:val="left"/>
              <w:rPr>
                <w:rFonts w:ascii="仿宋" w:hAnsi="仿宋" w:eastAsia="仿宋"/>
                <w:b w:val="0"/>
                <w:bCs/>
                <w:szCs w:val="21"/>
              </w:rPr>
            </w:pPr>
            <w:r>
              <w:rPr>
                <w:rFonts w:hint="eastAsia" w:ascii="仿宋" w:hAnsi="仿宋" w:eastAsia="仿宋" w:cs="仿宋"/>
                <w:kern w:val="0"/>
                <w:sz w:val="24"/>
              </w:rPr>
              <w:t>治疗电钳两把</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spacing w:line="320" w:lineRule="exact"/>
              <w:jc w:val="left"/>
              <w:rPr>
                <w:rFonts w:ascii="仿宋" w:hAnsi="仿宋" w:eastAsia="仿宋"/>
                <w:b w:val="0"/>
                <w:bCs/>
                <w:szCs w:val="21"/>
              </w:rPr>
            </w:pPr>
            <w:r>
              <w:rPr>
                <w:rFonts w:hint="eastAsia" w:ascii="仿宋" w:hAnsi="仿宋" w:eastAsia="仿宋" w:cs="仿宋"/>
                <w:kern w:val="0"/>
                <w:sz w:val="24"/>
              </w:rPr>
              <w:t>治疗电摄一把</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spacing w:line="320" w:lineRule="exact"/>
              <w:jc w:val="left"/>
              <w:rPr>
                <w:rFonts w:hint="eastAsia" w:ascii="仿宋" w:hAnsi="仿宋" w:eastAsia="仿宋" w:cs="仿宋"/>
                <w:kern w:val="0"/>
                <w:sz w:val="24"/>
              </w:rPr>
            </w:pPr>
            <w:r>
              <w:rPr>
                <w:rFonts w:hint="eastAsia" w:ascii="仿宋" w:hAnsi="仿宋" w:eastAsia="仿宋" w:cs="仿宋"/>
                <w:kern w:val="0"/>
                <w:sz w:val="24"/>
              </w:rPr>
              <w:t>治疗电笔一只</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spacing w:line="320" w:lineRule="exact"/>
              <w:jc w:val="left"/>
              <w:rPr>
                <w:rFonts w:hint="eastAsia" w:ascii="仿宋" w:hAnsi="仿宋" w:eastAsia="仿宋" w:cs="仿宋"/>
                <w:kern w:val="0"/>
                <w:sz w:val="24"/>
              </w:rPr>
            </w:pPr>
            <w:r>
              <w:rPr>
                <w:rFonts w:hint="eastAsia" w:ascii="仿宋" w:hAnsi="仿宋" w:eastAsia="仿宋" w:cs="仿宋"/>
                <w:kern w:val="0"/>
                <w:sz w:val="24"/>
              </w:rPr>
              <w:t>治疗探头4只</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spacing w:line="320" w:lineRule="exact"/>
              <w:jc w:val="left"/>
              <w:rPr>
                <w:rFonts w:hint="eastAsia" w:ascii="仿宋" w:hAnsi="仿宋" w:eastAsia="仿宋" w:cs="仿宋"/>
                <w:kern w:val="0"/>
                <w:sz w:val="24"/>
              </w:rPr>
            </w:pPr>
            <w:r>
              <w:rPr>
                <w:rFonts w:hint="eastAsia" w:ascii="仿宋" w:hAnsi="仿宋" w:eastAsia="仿宋" w:cs="仿宋"/>
                <w:kern w:val="0"/>
                <w:sz w:val="24"/>
              </w:rPr>
              <w:t>治疗脚控开关一只</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spacing w:line="320" w:lineRule="exact"/>
              <w:jc w:val="left"/>
              <w:rPr>
                <w:rFonts w:hint="eastAsia" w:ascii="仿宋" w:hAnsi="仿宋" w:eastAsia="仿宋" w:cs="仿宋"/>
                <w:kern w:val="0"/>
                <w:sz w:val="24"/>
              </w:rPr>
            </w:pPr>
            <w:r>
              <w:rPr>
                <w:rFonts w:hint="eastAsia" w:ascii="仿宋" w:hAnsi="仿宋" w:eastAsia="仿宋" w:cs="仿宋"/>
                <w:kern w:val="0"/>
                <w:sz w:val="24"/>
              </w:rPr>
              <w:t>活检钳二把</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spacing w:line="320" w:lineRule="exact"/>
              <w:jc w:val="left"/>
              <w:rPr>
                <w:rFonts w:hint="eastAsia" w:ascii="仿宋" w:hAnsi="仿宋" w:eastAsia="仿宋" w:cs="仿宋"/>
                <w:kern w:val="0"/>
                <w:sz w:val="24"/>
              </w:rPr>
            </w:pPr>
            <w:r>
              <w:rPr>
                <w:rFonts w:hint="eastAsia" w:ascii="仿宋" w:hAnsi="仿宋" w:eastAsia="仿宋" w:cs="仿宋"/>
                <w:kern w:val="0"/>
                <w:sz w:val="24"/>
              </w:rPr>
              <w:t>充气系统一套</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3060" w:type="dxa"/>
          </w:tcPr>
          <w:p>
            <w:pPr>
              <w:spacing w:line="320" w:lineRule="exact"/>
              <w:jc w:val="left"/>
              <w:rPr>
                <w:rFonts w:hint="eastAsia" w:ascii="仿宋" w:hAnsi="仿宋" w:eastAsia="仿宋" w:cs="仿宋"/>
                <w:kern w:val="0"/>
                <w:sz w:val="24"/>
              </w:rPr>
            </w:pPr>
            <w:r>
              <w:rPr>
                <w:rFonts w:hint="eastAsia" w:ascii="仿宋" w:hAnsi="仿宋" w:eastAsia="仿宋" w:cs="仿宋"/>
                <w:kern w:val="0"/>
                <w:sz w:val="24"/>
              </w:rPr>
              <w:t>电凝一把</w:t>
            </w: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BED3F8"/>
    <w:multiLevelType w:val="singleLevel"/>
    <w:tmpl w:val="C1BED3F8"/>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DE12198"/>
    <w:multiLevelType w:val="multilevel"/>
    <w:tmpl w:val="6DE12198"/>
    <w:lvl w:ilvl="0" w:tentative="0">
      <w:start w:val="1"/>
      <w:numFmt w:val="lowerLetter"/>
      <w:lvlText w:val="%1)"/>
      <w:lvlJc w:val="left"/>
      <w:pPr>
        <w:ind w:left="600" w:hanging="36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CC5208"/>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First Indent"/>
    <w:basedOn w:val="2"/>
    <w:unhideWhenUsed/>
    <w:qFormat/>
    <w:uiPriority w:val="99"/>
    <w:pPr>
      <w:ind w:firstLine="420" w:firstLineChars="100"/>
    </w:pPr>
    <w:rPr>
      <w:rFonts w:ascii="Times New Roman" w:hAnsi="Times New Roman"/>
      <w:kern w:val="0"/>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semiHidden/>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1</TotalTime>
  <ScaleCrop>false</ScaleCrop>
  <LinksUpToDate>false</LinksUpToDate>
  <CharactersWithSpaces>1386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2023-09-14T03:21:32Z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