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eastAsiaTheme="majorEastAsia"/>
          <w:sz w:val="32"/>
          <w:szCs w:val="40"/>
          <w:u w:val="single"/>
          <w:lang w:val="en-US" w:eastAsia="zh-CN"/>
        </w:rPr>
        <w:t>水光针</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适用范围：与已获得注册证的一次性使用无菌注射器和一次性使用无菌注射针配合使用，供医疗机构用于患者面部真皮层的定量控制注射。不用于镇痛药、化疗药物、胰岛素的输注；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操作模式：4种(自动感应；自动脚踏；单次脚踏；连续脚踏)；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触摸屏：10.1英寸电容触摸屏；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负压等级：0～9级别(0表示无压力，数字越大负压越大；误差±20%范围内)；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最高注射总次数：120次，实时显示已注射次数；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最小单次注射量：0.0067ml；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注射准确性：±3%范围内；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注射速度：慢速、中速、快速；最快推进速度：3.5mm/s (±10%)；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操作界面语言：两种(中文、英文)；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预存配置：≥5种记忆模式；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可选注射器种类：可选指定的1ml、2.5ml、3ml、5ml注射器；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电源额定输入功率：电源额定输入功率：≤75VA；</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操作手柄：手柄托盘自动磁吸功能，防止手柄摔落；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自动报警装置：当遇到阻塞、电源中断、负压不足等问题时设备会自动报警；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手柄：手柄一体化设计(气管不外露)；</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配置台车、脚踏开关、自动清洗装置。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17</w:t>
            </w: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b w:val="0"/>
                <w:bCs/>
                <w:szCs w:val="21"/>
                <w:lang w:val="en-US"/>
              </w:rPr>
            </w:pPr>
            <w:r>
              <w:rPr>
                <w:rFonts w:hint="eastAsia" w:ascii="仿宋" w:hAnsi="仿宋" w:eastAsia="仿宋" w:cs="仿宋"/>
                <w:b w:val="0"/>
                <w:bCs w:val="0"/>
                <w:sz w:val="24"/>
                <w:szCs w:val="24"/>
                <w:lang w:val="en-US" w:eastAsia="zh-CN"/>
              </w:rPr>
              <w:t>配套耗材价格等相关信息请在附件表2填写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19</w:t>
            </w: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789"/>
        <w:gridCol w:w="1319"/>
        <w:gridCol w:w="1306"/>
        <w:gridCol w:w="688"/>
        <w:gridCol w:w="662"/>
        <w:gridCol w:w="1788"/>
        <w:gridCol w:w="2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789"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1319"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30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68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662"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1788" w:type="dxa"/>
            <w:noWrap w:val="0"/>
            <w:vAlign w:val="center"/>
          </w:tcPr>
          <w:p>
            <w:pPr>
              <w:spacing w:line="280" w:lineRule="exact"/>
              <w:jc w:val="center"/>
              <w:rPr>
                <w:rFonts w:hint="eastAsia" w:ascii="仿宋" w:hAnsi="仿宋" w:eastAsia="仿宋"/>
                <w:szCs w:val="21"/>
              </w:rPr>
            </w:pPr>
            <w:r>
              <w:rPr>
                <w:rFonts w:hint="eastAsia" w:ascii="仿宋" w:hAnsi="仿宋" w:eastAsia="仿宋"/>
                <w:szCs w:val="21"/>
              </w:rPr>
              <w:t>省医保编码</w:t>
            </w:r>
          </w:p>
        </w:tc>
        <w:tc>
          <w:tcPr>
            <w:tcW w:w="2537" w:type="dxa"/>
            <w:noWrap w:val="0"/>
            <w:vAlign w:val="center"/>
          </w:tcPr>
          <w:p>
            <w:pPr>
              <w:spacing w:line="280" w:lineRule="exact"/>
              <w:jc w:val="center"/>
              <w:rPr>
                <w:rFonts w:hint="eastAsia" w:ascii="仿宋" w:hAnsi="仿宋" w:eastAsia="仿宋"/>
                <w:szCs w:val="21"/>
              </w:rPr>
            </w:pPr>
            <w:r>
              <w:rPr>
                <w:rFonts w:hint="eastAsia" w:ascii="仿宋" w:hAnsi="仿宋" w:eastAsia="仿宋"/>
                <w:szCs w:val="21"/>
              </w:rPr>
              <w:t>医疗器械注册证或备 免费质案凭证号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numPr>
                <w:ilvl w:val="0"/>
                <w:numId w:val="2"/>
              </w:numPr>
              <w:spacing w:line="280" w:lineRule="exact"/>
              <w:ind w:left="425" w:leftChars="0" w:hanging="425" w:firstLineChars="0"/>
              <w:jc w:val="center"/>
              <w:rPr>
                <w:rFonts w:ascii="仿宋" w:hAnsi="仿宋" w:eastAsia="仿宋"/>
                <w:szCs w:val="21"/>
              </w:rPr>
            </w:pPr>
          </w:p>
        </w:tc>
        <w:tc>
          <w:tcPr>
            <w:tcW w:w="789" w:type="dxa"/>
            <w:noWrap w:val="0"/>
            <w:vAlign w:val="center"/>
          </w:tcPr>
          <w:p>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皮肤科</w:t>
            </w:r>
          </w:p>
        </w:tc>
        <w:tc>
          <w:tcPr>
            <w:tcW w:w="1319" w:type="dxa"/>
            <w:noWrap w:val="0"/>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液体伤口敷料</w:t>
            </w:r>
          </w:p>
        </w:tc>
        <w:tc>
          <w:tcPr>
            <w:tcW w:w="1306" w:type="dxa"/>
            <w:noWrap w:val="0"/>
            <w:vAlign w:val="center"/>
          </w:tcPr>
          <w:p>
            <w:pPr>
              <w:spacing w:line="280" w:lineRule="exact"/>
              <w:jc w:val="center"/>
              <w:rPr>
                <w:rFonts w:hint="default" w:ascii="仿宋" w:hAnsi="仿宋" w:eastAsia="仿宋"/>
                <w:szCs w:val="21"/>
                <w:lang w:val="en-US" w:eastAsia="zh-CN"/>
              </w:rPr>
            </w:pPr>
            <w:bookmarkStart w:id="0" w:name="_GoBack"/>
            <w:bookmarkEnd w:id="0"/>
            <w:r>
              <w:rPr>
                <w:rFonts w:hint="eastAsia" w:ascii="仿宋" w:hAnsi="仿宋" w:eastAsia="仿宋"/>
                <w:szCs w:val="21"/>
                <w:lang w:val="en-US" w:eastAsia="zh-CN"/>
              </w:rPr>
              <w:t>5ml</w:t>
            </w:r>
          </w:p>
        </w:tc>
        <w:tc>
          <w:tcPr>
            <w:tcW w:w="688" w:type="dxa"/>
            <w:noWrap w:val="0"/>
            <w:vAlign w:val="center"/>
          </w:tcPr>
          <w:p>
            <w:pPr>
              <w:spacing w:line="280" w:lineRule="exact"/>
              <w:jc w:val="center"/>
              <w:rPr>
                <w:rFonts w:ascii="仿宋" w:hAnsi="仿宋" w:eastAsia="仿宋"/>
                <w:szCs w:val="21"/>
              </w:rPr>
            </w:pPr>
          </w:p>
        </w:tc>
        <w:tc>
          <w:tcPr>
            <w:tcW w:w="662" w:type="dxa"/>
            <w:noWrap w:val="0"/>
            <w:vAlign w:val="center"/>
          </w:tcPr>
          <w:p>
            <w:pPr>
              <w:spacing w:line="280" w:lineRule="exact"/>
              <w:jc w:val="center"/>
              <w:rPr>
                <w:rFonts w:ascii="仿宋" w:hAnsi="仿宋" w:eastAsia="仿宋"/>
                <w:szCs w:val="21"/>
              </w:rPr>
            </w:pPr>
          </w:p>
        </w:tc>
        <w:tc>
          <w:tcPr>
            <w:tcW w:w="1788" w:type="dxa"/>
            <w:noWrap w:val="0"/>
            <w:vAlign w:val="center"/>
          </w:tcPr>
          <w:p>
            <w:pPr>
              <w:spacing w:line="280" w:lineRule="exact"/>
              <w:jc w:val="center"/>
              <w:rPr>
                <w:rFonts w:ascii="仿宋" w:hAnsi="仿宋" w:eastAsia="仿宋"/>
                <w:szCs w:val="21"/>
              </w:rPr>
            </w:pPr>
          </w:p>
        </w:tc>
        <w:tc>
          <w:tcPr>
            <w:tcW w:w="2537"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numPr>
                <w:ilvl w:val="0"/>
                <w:numId w:val="2"/>
              </w:numPr>
              <w:spacing w:line="280" w:lineRule="exact"/>
              <w:ind w:left="425" w:leftChars="0" w:hanging="425" w:firstLineChars="0"/>
              <w:jc w:val="center"/>
              <w:rPr>
                <w:rFonts w:ascii="仿宋" w:hAnsi="仿宋" w:eastAsia="仿宋"/>
                <w:szCs w:val="21"/>
              </w:rPr>
            </w:pPr>
          </w:p>
        </w:tc>
        <w:tc>
          <w:tcPr>
            <w:tcW w:w="789" w:type="dxa"/>
            <w:noWrap w:val="0"/>
            <w:vAlign w:val="center"/>
          </w:tcPr>
          <w:p>
            <w:pPr>
              <w:spacing w:line="280" w:lineRule="exact"/>
              <w:jc w:val="center"/>
              <w:rPr>
                <w:rFonts w:ascii="仿宋" w:hAnsi="仿宋" w:eastAsia="仿宋"/>
                <w:szCs w:val="21"/>
              </w:rPr>
            </w:pPr>
            <w:r>
              <w:rPr>
                <w:rFonts w:hint="eastAsia" w:ascii="仿宋" w:hAnsi="仿宋" w:eastAsia="仿宋"/>
                <w:szCs w:val="21"/>
                <w:lang w:val="en-US" w:eastAsia="zh-CN"/>
              </w:rPr>
              <w:t>皮肤科</w:t>
            </w:r>
          </w:p>
        </w:tc>
        <w:tc>
          <w:tcPr>
            <w:tcW w:w="1319" w:type="dxa"/>
            <w:noWrap w:val="0"/>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注射用修饰透明质酸钠凝胶</w:t>
            </w:r>
          </w:p>
        </w:tc>
        <w:tc>
          <w:tcPr>
            <w:tcW w:w="1306" w:type="dxa"/>
            <w:noWrap w:val="0"/>
            <w:vAlign w:val="center"/>
          </w:tcPr>
          <w:p>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1.5ml</w:t>
            </w:r>
          </w:p>
        </w:tc>
        <w:tc>
          <w:tcPr>
            <w:tcW w:w="688" w:type="dxa"/>
            <w:noWrap w:val="0"/>
            <w:vAlign w:val="center"/>
          </w:tcPr>
          <w:p>
            <w:pPr>
              <w:spacing w:line="280" w:lineRule="exact"/>
              <w:jc w:val="center"/>
              <w:rPr>
                <w:rFonts w:ascii="仿宋" w:hAnsi="仿宋" w:eastAsia="仿宋"/>
                <w:szCs w:val="21"/>
              </w:rPr>
            </w:pPr>
          </w:p>
        </w:tc>
        <w:tc>
          <w:tcPr>
            <w:tcW w:w="662" w:type="dxa"/>
            <w:noWrap w:val="0"/>
            <w:vAlign w:val="center"/>
          </w:tcPr>
          <w:p>
            <w:pPr>
              <w:spacing w:line="280" w:lineRule="exact"/>
              <w:jc w:val="center"/>
              <w:rPr>
                <w:rFonts w:ascii="仿宋" w:hAnsi="仿宋" w:eastAsia="仿宋"/>
                <w:szCs w:val="21"/>
              </w:rPr>
            </w:pPr>
          </w:p>
        </w:tc>
        <w:tc>
          <w:tcPr>
            <w:tcW w:w="1788" w:type="dxa"/>
            <w:noWrap w:val="0"/>
            <w:vAlign w:val="center"/>
          </w:tcPr>
          <w:p>
            <w:pPr>
              <w:spacing w:line="280" w:lineRule="exact"/>
              <w:jc w:val="center"/>
              <w:rPr>
                <w:rFonts w:ascii="仿宋" w:hAnsi="仿宋" w:eastAsia="仿宋"/>
                <w:szCs w:val="21"/>
              </w:rPr>
            </w:pPr>
          </w:p>
        </w:tc>
        <w:tc>
          <w:tcPr>
            <w:tcW w:w="2537"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numPr>
                <w:ilvl w:val="0"/>
                <w:numId w:val="2"/>
              </w:numPr>
              <w:spacing w:line="280" w:lineRule="exact"/>
              <w:ind w:left="425" w:leftChars="0" w:hanging="425" w:firstLineChars="0"/>
              <w:jc w:val="center"/>
              <w:rPr>
                <w:rFonts w:ascii="仿宋" w:hAnsi="仿宋" w:eastAsia="仿宋"/>
                <w:szCs w:val="21"/>
              </w:rPr>
            </w:pPr>
          </w:p>
        </w:tc>
        <w:tc>
          <w:tcPr>
            <w:tcW w:w="789" w:type="dxa"/>
            <w:noWrap w:val="0"/>
            <w:vAlign w:val="center"/>
          </w:tcPr>
          <w:p>
            <w:pPr>
              <w:spacing w:line="280" w:lineRule="exact"/>
              <w:jc w:val="center"/>
              <w:rPr>
                <w:rFonts w:ascii="仿宋" w:hAnsi="仿宋" w:eastAsia="仿宋"/>
                <w:szCs w:val="21"/>
              </w:rPr>
            </w:pPr>
            <w:r>
              <w:rPr>
                <w:rFonts w:hint="eastAsia" w:ascii="仿宋" w:hAnsi="仿宋" w:eastAsia="仿宋"/>
                <w:szCs w:val="21"/>
                <w:lang w:val="en-US" w:eastAsia="zh-CN"/>
              </w:rPr>
              <w:t>皮肤科</w:t>
            </w:r>
          </w:p>
        </w:tc>
        <w:tc>
          <w:tcPr>
            <w:tcW w:w="1319" w:type="dxa"/>
            <w:noWrap w:val="0"/>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注射用修饰透明质酸钠凝胶</w:t>
            </w:r>
          </w:p>
        </w:tc>
        <w:tc>
          <w:tcPr>
            <w:tcW w:w="1306" w:type="dxa"/>
            <w:noWrap w:val="0"/>
            <w:vAlign w:val="center"/>
          </w:tcPr>
          <w:p>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2ml</w:t>
            </w:r>
          </w:p>
        </w:tc>
        <w:tc>
          <w:tcPr>
            <w:tcW w:w="688" w:type="dxa"/>
            <w:noWrap w:val="0"/>
            <w:vAlign w:val="center"/>
          </w:tcPr>
          <w:p>
            <w:pPr>
              <w:spacing w:line="280" w:lineRule="exact"/>
              <w:jc w:val="center"/>
              <w:rPr>
                <w:rFonts w:ascii="仿宋" w:hAnsi="仿宋" w:eastAsia="仿宋"/>
                <w:szCs w:val="21"/>
              </w:rPr>
            </w:pPr>
          </w:p>
        </w:tc>
        <w:tc>
          <w:tcPr>
            <w:tcW w:w="662" w:type="dxa"/>
            <w:noWrap w:val="0"/>
            <w:vAlign w:val="center"/>
          </w:tcPr>
          <w:p>
            <w:pPr>
              <w:spacing w:line="280" w:lineRule="exact"/>
              <w:jc w:val="center"/>
              <w:rPr>
                <w:rFonts w:ascii="仿宋" w:hAnsi="仿宋" w:eastAsia="仿宋"/>
                <w:szCs w:val="21"/>
              </w:rPr>
            </w:pPr>
          </w:p>
        </w:tc>
        <w:tc>
          <w:tcPr>
            <w:tcW w:w="1788" w:type="dxa"/>
            <w:noWrap w:val="0"/>
            <w:vAlign w:val="center"/>
          </w:tcPr>
          <w:p>
            <w:pPr>
              <w:spacing w:line="280" w:lineRule="exact"/>
              <w:jc w:val="center"/>
              <w:rPr>
                <w:rFonts w:ascii="仿宋" w:hAnsi="仿宋" w:eastAsia="仿宋"/>
                <w:szCs w:val="21"/>
              </w:rPr>
            </w:pPr>
          </w:p>
        </w:tc>
        <w:tc>
          <w:tcPr>
            <w:tcW w:w="2537"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dxa"/>
            <w:noWrap w:val="0"/>
            <w:vAlign w:val="center"/>
          </w:tcPr>
          <w:p>
            <w:pPr>
              <w:numPr>
                <w:ilvl w:val="0"/>
                <w:numId w:val="2"/>
              </w:numPr>
              <w:spacing w:line="280" w:lineRule="exact"/>
              <w:ind w:left="425" w:leftChars="0" w:hanging="425" w:firstLineChars="0"/>
              <w:jc w:val="center"/>
              <w:rPr>
                <w:rFonts w:ascii="仿宋" w:hAnsi="仿宋" w:eastAsia="仿宋"/>
                <w:szCs w:val="21"/>
              </w:rPr>
            </w:pPr>
          </w:p>
        </w:tc>
        <w:tc>
          <w:tcPr>
            <w:tcW w:w="789" w:type="dxa"/>
            <w:noWrap w:val="0"/>
            <w:vAlign w:val="center"/>
          </w:tcPr>
          <w:p>
            <w:pPr>
              <w:spacing w:line="280" w:lineRule="exact"/>
              <w:jc w:val="center"/>
              <w:rPr>
                <w:rFonts w:ascii="仿宋" w:hAnsi="仿宋" w:eastAsia="仿宋"/>
                <w:szCs w:val="21"/>
              </w:rPr>
            </w:pPr>
            <w:r>
              <w:rPr>
                <w:rFonts w:hint="eastAsia" w:ascii="仿宋" w:hAnsi="仿宋" w:eastAsia="仿宋"/>
                <w:szCs w:val="21"/>
                <w:lang w:val="en-US" w:eastAsia="zh-CN"/>
              </w:rPr>
              <w:t>皮肤科</w:t>
            </w:r>
          </w:p>
        </w:tc>
        <w:tc>
          <w:tcPr>
            <w:tcW w:w="1319" w:type="dxa"/>
            <w:noWrap w:val="0"/>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医用液体伤口敷料</w:t>
            </w:r>
          </w:p>
        </w:tc>
        <w:tc>
          <w:tcPr>
            <w:tcW w:w="1306" w:type="dxa"/>
            <w:noWrap w:val="0"/>
            <w:vAlign w:val="center"/>
          </w:tcPr>
          <w:p>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1ml</w:t>
            </w:r>
          </w:p>
        </w:tc>
        <w:tc>
          <w:tcPr>
            <w:tcW w:w="688" w:type="dxa"/>
            <w:noWrap w:val="0"/>
            <w:vAlign w:val="center"/>
          </w:tcPr>
          <w:p>
            <w:pPr>
              <w:spacing w:line="280" w:lineRule="exact"/>
              <w:jc w:val="center"/>
              <w:rPr>
                <w:rFonts w:ascii="仿宋" w:hAnsi="仿宋" w:eastAsia="仿宋"/>
                <w:szCs w:val="21"/>
              </w:rPr>
            </w:pPr>
          </w:p>
        </w:tc>
        <w:tc>
          <w:tcPr>
            <w:tcW w:w="662" w:type="dxa"/>
            <w:noWrap w:val="0"/>
            <w:vAlign w:val="center"/>
          </w:tcPr>
          <w:p>
            <w:pPr>
              <w:spacing w:line="280" w:lineRule="exact"/>
              <w:jc w:val="center"/>
              <w:rPr>
                <w:rFonts w:ascii="仿宋" w:hAnsi="仿宋" w:eastAsia="仿宋"/>
                <w:szCs w:val="21"/>
              </w:rPr>
            </w:pPr>
          </w:p>
        </w:tc>
        <w:tc>
          <w:tcPr>
            <w:tcW w:w="1788" w:type="dxa"/>
            <w:noWrap w:val="0"/>
            <w:vAlign w:val="center"/>
          </w:tcPr>
          <w:p>
            <w:pPr>
              <w:spacing w:line="280" w:lineRule="exact"/>
              <w:jc w:val="center"/>
              <w:rPr>
                <w:rFonts w:ascii="仿宋" w:hAnsi="仿宋" w:eastAsia="仿宋"/>
                <w:szCs w:val="21"/>
              </w:rPr>
            </w:pPr>
          </w:p>
        </w:tc>
        <w:tc>
          <w:tcPr>
            <w:tcW w:w="253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3C3E0"/>
    <w:multiLevelType w:val="singleLevel"/>
    <w:tmpl w:val="9BF3C3E0"/>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2409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EE351C"/>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577D69"/>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322579"/>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6D45AF"/>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2023-10-09T07:14:00Z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65642C89530445E090AF3AEA2AA55C2D_13</vt:lpwstr>
  </property>
  <property fmtid="{D5CDD505-2E9C-101B-9397-08002B2CF9AE}" pid="4" name="commondata">
    <vt:lpwstr>eyJoZGlkIjoiNzljOTE0MDRlMmUyY2M3ZGQ4Nzk0OWRiOWI1OGE3ZmYifQ==</vt:lpwstr>
  </property>
</Properties>
</file>