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微波消融治疗仪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适用范围：已取得国家药监局三类医疗器械注册证，适应症包含肝肿瘤、甲状腺良性结节、下肢静脉曲张疾病。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工作频率：2450MHz±20MHz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微波输出：一机双路输出，可双路同时运行或单路运行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输出功率：0-120W，连续可调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治疗时间：0-30 min，可按分钟和秒钟位调节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术前自检：术前一键自检，微波输出、冷却系统及消融针三块组件工作是否正常。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测温系统：至少包含两种测温功能，包括杆温和旁开温度实时监测，数据可显示在仪器上。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超温保护：不少于两种超温保护措施，并可设置保护温度，当达到保护温度时，设备自动停止微波输出。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术中监控：术中实时检测消融针、微波输出，并具有安全提示。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曲线显示：实时显示杆温、旁开温度和驻波比变化曲线。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驻波监控：实时检测并显示驻波比，增加安全保障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退针程序：设有退针程序，便于最后凝固针道。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参数调取：设有参数调取程序，可调取上一次治疗参数。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消融针识别：自动识别消融针类型，提供治疗安全保障和信息存储等功能，增加安全保护。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自动保护：过温、过载、误操作保护功能。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设备、耗材需为同一个生产厂家且均取得国家药监局三类医疗器械注册证，确保微波消融系统匹配性及微波输出安全有效性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具有同轴套管消融技术：具有同厂生产的配套消融针使用的穿刺针，并且取得注册证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284F8"/>
    <w:multiLevelType w:val="singleLevel"/>
    <w:tmpl w:val="8E0284F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A92CA5"/>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customStyle="1" w:styleId="17">
    <w:name w:val="_Style 1"/>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2023-10-13T06:58:16Z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