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bookmarkStart w:id="0" w:name="_GoBack"/>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rPr>
        <w:t>射频消融仪</w:t>
      </w:r>
      <w:r>
        <w:rPr>
          <w:rFonts w:hint="eastAsia" w:asciiTheme="majorEastAsia" w:hAnsiTheme="majorEastAsia" w:eastAsiaTheme="majorEastAsia"/>
          <w:b/>
          <w:sz w:val="32"/>
          <w:szCs w:val="32"/>
        </w:rPr>
        <w:t>项目初步参数论证征集意见表</w:t>
      </w:r>
      <w:bookmarkEnd w:id="0"/>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5"/>
          <w:rFonts w:hint="eastAsia" w:ascii="仿宋" w:hAnsi="仿宋" w:eastAsia="仿宋" w:cs="仿宋"/>
          <w:b w:val="0"/>
          <w:bCs/>
          <w:color w:val="auto"/>
          <w:sz w:val="21"/>
          <w:szCs w:val="21"/>
          <w:lang w:eastAsia="zh-CN"/>
        </w:rPr>
        <w:t>具备</w:t>
      </w:r>
      <w:r>
        <w:rPr>
          <w:rStyle w:val="15"/>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5"/>
          <w:rFonts w:hint="eastAsia" w:ascii="仿宋" w:hAnsi="仿宋" w:eastAsia="仿宋" w:cs="仿宋"/>
          <w:b/>
          <w:bCs w:val="0"/>
          <w:color w:val="auto"/>
          <w:sz w:val="21"/>
          <w:szCs w:val="21"/>
          <w:lang w:eastAsia="zh-CN"/>
        </w:rPr>
        <w:t>或具备</w:t>
      </w:r>
      <w:r>
        <w:rPr>
          <w:rStyle w:val="15"/>
          <w:rFonts w:hint="eastAsia" w:ascii="仿宋" w:hAnsi="仿宋" w:eastAsia="仿宋" w:cs="仿宋"/>
          <w:b/>
          <w:bCs w:val="0"/>
          <w:color w:val="auto"/>
          <w:sz w:val="21"/>
          <w:szCs w:val="21"/>
          <w:lang w:val="en-US" w:eastAsia="zh-CN"/>
        </w:rPr>
        <w:t>CMA【或CNAS】资质检测机构）</w:t>
      </w:r>
      <w:r>
        <w:rPr>
          <w:rStyle w:val="15"/>
          <w:rFonts w:hint="eastAsia" w:ascii="仿宋" w:hAnsi="仿宋" w:eastAsia="仿宋" w:cs="仿宋"/>
          <w:b w:val="0"/>
          <w:bCs/>
          <w:color w:val="auto"/>
          <w:sz w:val="21"/>
          <w:szCs w:val="21"/>
          <w:lang w:val="en-US" w:eastAsia="zh-CN"/>
        </w:rPr>
        <w:t>出具的</w:t>
      </w:r>
      <w:r>
        <w:rPr>
          <w:rStyle w:val="15"/>
          <w:rFonts w:hint="eastAsia" w:ascii="仿宋" w:hAnsi="仿宋" w:eastAsia="仿宋" w:cs="仿宋"/>
          <w:b w:val="0"/>
          <w:bCs/>
          <w:color w:val="auto"/>
          <w:sz w:val="21"/>
          <w:szCs w:val="21"/>
        </w:rPr>
        <w:t>质检报告原件扫描件</w:t>
      </w:r>
      <w:r>
        <w:rPr>
          <w:rStyle w:val="15"/>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5"/>
          <w:rFonts w:hint="eastAsia" w:ascii="仿宋" w:hAnsi="仿宋" w:eastAsia="仿宋" w:cs="仿宋"/>
          <w:b w:val="0"/>
          <w:bCs/>
          <w:color w:val="auto"/>
          <w:sz w:val="21"/>
          <w:szCs w:val="21"/>
        </w:rPr>
        <w:t>食药监局</w:t>
      </w:r>
      <w:r>
        <w:rPr>
          <w:rStyle w:val="15"/>
          <w:rFonts w:hint="eastAsia" w:ascii="仿宋" w:hAnsi="仿宋" w:eastAsia="仿宋" w:cs="仿宋"/>
          <w:b w:val="0"/>
          <w:bCs/>
          <w:color w:val="auto"/>
          <w:sz w:val="21"/>
          <w:szCs w:val="21"/>
          <w:lang w:eastAsia="zh-CN"/>
        </w:rPr>
        <w:t>或</w:t>
      </w:r>
      <w:r>
        <w:rPr>
          <w:rStyle w:val="15"/>
          <w:rFonts w:hint="eastAsia" w:ascii="仿宋" w:hAnsi="仿宋" w:eastAsia="仿宋" w:cs="仿宋"/>
          <w:b w:val="0"/>
          <w:bCs/>
          <w:color w:val="auto"/>
          <w:sz w:val="21"/>
          <w:szCs w:val="21"/>
        </w:rPr>
        <w:t>其下属单位</w:t>
      </w:r>
      <w:r>
        <w:rPr>
          <w:rStyle w:val="15"/>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8"/>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0"/>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35"/>
        <w:gridCol w:w="1022"/>
        <w:gridCol w:w="2736"/>
        <w:gridCol w:w="962"/>
        <w:gridCol w:w="748"/>
        <w:gridCol w:w="1779"/>
        <w:gridCol w:w="176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23"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775"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1891"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856"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2"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069"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2396"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006"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775" w:type="dxa"/>
            <w:vMerge w:val="continue"/>
          </w:tcPr>
          <w:p>
            <w:pPr>
              <w:spacing w:line="320" w:lineRule="exact"/>
              <w:rPr>
                <w:rFonts w:ascii="仿宋" w:hAnsi="仿宋" w:eastAsia="仿宋"/>
                <w:b w:val="0"/>
                <w:bCs/>
                <w:szCs w:val="21"/>
              </w:rPr>
            </w:pPr>
          </w:p>
        </w:tc>
        <w:tc>
          <w:tcPr>
            <w:tcW w:w="1891" w:type="dxa"/>
            <w:vMerge w:val="continue"/>
          </w:tcPr>
          <w:p>
            <w:pPr>
              <w:spacing w:line="320" w:lineRule="exact"/>
              <w:rPr>
                <w:rFonts w:ascii="仿宋" w:hAnsi="仿宋" w:eastAsia="仿宋"/>
                <w:b w:val="0"/>
                <w:bCs/>
                <w:szCs w:val="21"/>
              </w:rPr>
            </w:pPr>
          </w:p>
        </w:tc>
        <w:tc>
          <w:tcPr>
            <w:tcW w:w="1856"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2" w:type="dxa"/>
          </w:tcPr>
          <w:p>
            <w:pPr>
              <w:numPr>
                <w:ilvl w:val="0"/>
                <w:numId w:val="2"/>
              </w:numPr>
              <w:spacing w:line="320" w:lineRule="exact"/>
              <w:ind w:left="425" w:leftChars="0" w:hanging="425" w:firstLineChars="0"/>
              <w:rPr>
                <w:rFonts w:ascii="仿宋" w:hAnsi="仿宋" w:eastAsia="仿宋"/>
                <w:b w:val="0"/>
                <w:bCs/>
                <w:szCs w:val="21"/>
              </w:rPr>
            </w:pPr>
          </w:p>
        </w:tc>
        <w:tc>
          <w:tcPr>
            <w:tcW w:w="1069"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射频主机技术参数要求</w:t>
            </w:r>
          </w:p>
        </w:tc>
        <w:tc>
          <w:tcPr>
            <w:tcW w:w="2396"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输出频率范围：400kHz±25kHz；</w:t>
            </w:r>
          </w:p>
        </w:tc>
        <w:tc>
          <w:tcPr>
            <w:tcW w:w="1006" w:type="dxa"/>
          </w:tcPr>
          <w:p>
            <w:pPr>
              <w:spacing w:line="320" w:lineRule="exact"/>
              <w:rPr>
                <w:rFonts w:ascii="仿宋" w:hAnsi="仿宋" w:eastAsia="仿宋"/>
                <w:b w:val="0"/>
                <w:bCs/>
                <w:szCs w:val="21"/>
              </w:rPr>
            </w:pPr>
          </w:p>
        </w:tc>
        <w:tc>
          <w:tcPr>
            <w:tcW w:w="775" w:type="dxa"/>
          </w:tcPr>
          <w:p>
            <w:pPr>
              <w:spacing w:line="320" w:lineRule="exact"/>
              <w:rPr>
                <w:rFonts w:ascii="仿宋" w:hAnsi="仿宋" w:eastAsia="仿宋"/>
                <w:b w:val="0"/>
                <w:bCs/>
                <w:szCs w:val="21"/>
              </w:rPr>
            </w:pPr>
          </w:p>
        </w:tc>
        <w:tc>
          <w:tcPr>
            <w:tcW w:w="1891" w:type="dxa"/>
          </w:tcPr>
          <w:p>
            <w:pPr>
              <w:spacing w:line="320" w:lineRule="exact"/>
              <w:rPr>
                <w:rFonts w:ascii="仿宋" w:hAnsi="仿宋" w:eastAsia="仿宋"/>
                <w:b w:val="0"/>
                <w:bCs/>
                <w:szCs w:val="21"/>
              </w:rPr>
            </w:pPr>
          </w:p>
        </w:tc>
        <w:tc>
          <w:tcPr>
            <w:tcW w:w="185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2" w:type="dxa"/>
          </w:tcPr>
          <w:p>
            <w:pPr>
              <w:numPr>
                <w:ilvl w:val="0"/>
                <w:numId w:val="2"/>
              </w:numPr>
              <w:spacing w:line="320" w:lineRule="exact"/>
              <w:ind w:left="425" w:leftChars="0" w:hanging="425" w:firstLineChars="0"/>
              <w:rPr>
                <w:rFonts w:ascii="仿宋" w:hAnsi="仿宋" w:eastAsia="仿宋"/>
                <w:b w:val="0"/>
                <w:bCs/>
                <w:szCs w:val="21"/>
              </w:rPr>
            </w:pPr>
          </w:p>
        </w:tc>
        <w:tc>
          <w:tcPr>
            <w:tcW w:w="1069"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2396"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最大输出功率：功率模式120W/负载30Ω；直径模式；定时模式120W/负载50Ω；针道模式 120W/80Ω; 实时数值显示阻抗、功率大小；</w:t>
            </w:r>
          </w:p>
        </w:tc>
        <w:tc>
          <w:tcPr>
            <w:tcW w:w="1006" w:type="dxa"/>
          </w:tcPr>
          <w:p>
            <w:pPr>
              <w:spacing w:line="320" w:lineRule="exact"/>
              <w:rPr>
                <w:rFonts w:ascii="仿宋" w:hAnsi="仿宋" w:eastAsia="仿宋"/>
                <w:b w:val="0"/>
                <w:bCs/>
                <w:szCs w:val="21"/>
              </w:rPr>
            </w:pPr>
          </w:p>
        </w:tc>
        <w:tc>
          <w:tcPr>
            <w:tcW w:w="775" w:type="dxa"/>
          </w:tcPr>
          <w:p>
            <w:pPr>
              <w:spacing w:line="320" w:lineRule="exact"/>
              <w:rPr>
                <w:rFonts w:ascii="仿宋" w:hAnsi="仿宋" w:eastAsia="仿宋"/>
                <w:b w:val="0"/>
                <w:bCs/>
                <w:szCs w:val="21"/>
              </w:rPr>
            </w:pPr>
          </w:p>
        </w:tc>
        <w:tc>
          <w:tcPr>
            <w:tcW w:w="1891" w:type="dxa"/>
          </w:tcPr>
          <w:p>
            <w:pPr>
              <w:spacing w:line="320" w:lineRule="exact"/>
              <w:rPr>
                <w:rFonts w:ascii="仿宋" w:hAnsi="仿宋" w:eastAsia="仿宋"/>
                <w:b w:val="0"/>
                <w:bCs/>
                <w:szCs w:val="21"/>
              </w:rPr>
            </w:pPr>
          </w:p>
        </w:tc>
        <w:tc>
          <w:tcPr>
            <w:tcW w:w="185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2" w:type="dxa"/>
          </w:tcPr>
          <w:p>
            <w:pPr>
              <w:numPr>
                <w:ilvl w:val="0"/>
                <w:numId w:val="2"/>
              </w:numPr>
              <w:spacing w:line="320" w:lineRule="exact"/>
              <w:ind w:left="425" w:leftChars="0" w:hanging="425" w:firstLineChars="0"/>
              <w:rPr>
                <w:rFonts w:ascii="仿宋" w:hAnsi="仿宋" w:eastAsia="仿宋"/>
                <w:b w:val="0"/>
                <w:bCs/>
                <w:szCs w:val="21"/>
              </w:rPr>
            </w:pPr>
          </w:p>
        </w:tc>
        <w:tc>
          <w:tcPr>
            <w:tcW w:w="1069"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2396"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电源：220v±22v/50Hz±1Hz；</w:t>
            </w:r>
          </w:p>
        </w:tc>
        <w:tc>
          <w:tcPr>
            <w:tcW w:w="1006" w:type="dxa"/>
          </w:tcPr>
          <w:p>
            <w:pPr>
              <w:spacing w:line="320" w:lineRule="exact"/>
              <w:rPr>
                <w:rFonts w:ascii="仿宋" w:hAnsi="仿宋" w:eastAsia="仿宋"/>
                <w:b w:val="0"/>
                <w:bCs/>
                <w:szCs w:val="21"/>
              </w:rPr>
            </w:pPr>
          </w:p>
        </w:tc>
        <w:tc>
          <w:tcPr>
            <w:tcW w:w="775" w:type="dxa"/>
          </w:tcPr>
          <w:p>
            <w:pPr>
              <w:spacing w:line="320" w:lineRule="exact"/>
              <w:rPr>
                <w:rFonts w:ascii="仿宋" w:hAnsi="仿宋" w:eastAsia="仿宋"/>
                <w:b w:val="0"/>
                <w:bCs/>
                <w:szCs w:val="21"/>
              </w:rPr>
            </w:pPr>
          </w:p>
        </w:tc>
        <w:tc>
          <w:tcPr>
            <w:tcW w:w="1891" w:type="dxa"/>
          </w:tcPr>
          <w:p>
            <w:pPr>
              <w:spacing w:line="320" w:lineRule="exact"/>
              <w:rPr>
                <w:rFonts w:ascii="仿宋" w:hAnsi="仿宋" w:eastAsia="仿宋"/>
                <w:b w:val="0"/>
                <w:bCs/>
                <w:szCs w:val="21"/>
              </w:rPr>
            </w:pPr>
          </w:p>
        </w:tc>
        <w:tc>
          <w:tcPr>
            <w:tcW w:w="185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2" w:type="dxa"/>
          </w:tcPr>
          <w:p>
            <w:pPr>
              <w:numPr>
                <w:ilvl w:val="0"/>
                <w:numId w:val="2"/>
              </w:numPr>
              <w:spacing w:line="320" w:lineRule="exact"/>
              <w:ind w:left="425" w:leftChars="0" w:hanging="425" w:firstLineChars="0"/>
              <w:rPr>
                <w:rFonts w:ascii="仿宋" w:hAnsi="仿宋" w:eastAsia="仿宋"/>
                <w:b w:val="0"/>
                <w:bCs/>
                <w:szCs w:val="21"/>
              </w:rPr>
            </w:pPr>
          </w:p>
        </w:tc>
        <w:tc>
          <w:tcPr>
            <w:tcW w:w="1069"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2396"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阻抗范围:30-300Ω，实时显示阻抗数值大小；</w:t>
            </w:r>
          </w:p>
        </w:tc>
        <w:tc>
          <w:tcPr>
            <w:tcW w:w="1006" w:type="dxa"/>
          </w:tcPr>
          <w:p>
            <w:pPr>
              <w:spacing w:line="320" w:lineRule="exact"/>
              <w:rPr>
                <w:rFonts w:ascii="仿宋" w:hAnsi="仿宋" w:eastAsia="仿宋"/>
                <w:b w:val="0"/>
                <w:bCs/>
                <w:szCs w:val="21"/>
              </w:rPr>
            </w:pPr>
          </w:p>
        </w:tc>
        <w:tc>
          <w:tcPr>
            <w:tcW w:w="775" w:type="dxa"/>
          </w:tcPr>
          <w:p>
            <w:pPr>
              <w:spacing w:line="320" w:lineRule="exact"/>
              <w:rPr>
                <w:rFonts w:ascii="仿宋" w:hAnsi="仿宋" w:eastAsia="仿宋"/>
                <w:b w:val="0"/>
                <w:bCs/>
                <w:szCs w:val="21"/>
              </w:rPr>
            </w:pPr>
          </w:p>
        </w:tc>
        <w:tc>
          <w:tcPr>
            <w:tcW w:w="1891" w:type="dxa"/>
          </w:tcPr>
          <w:p>
            <w:pPr>
              <w:spacing w:line="320" w:lineRule="exact"/>
              <w:rPr>
                <w:rFonts w:ascii="仿宋" w:hAnsi="仿宋" w:eastAsia="仿宋"/>
                <w:b w:val="0"/>
                <w:bCs/>
                <w:szCs w:val="21"/>
              </w:rPr>
            </w:pPr>
          </w:p>
        </w:tc>
        <w:tc>
          <w:tcPr>
            <w:tcW w:w="185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2" w:type="dxa"/>
          </w:tcPr>
          <w:p>
            <w:pPr>
              <w:numPr>
                <w:ilvl w:val="0"/>
                <w:numId w:val="2"/>
              </w:numPr>
              <w:spacing w:line="320" w:lineRule="exact"/>
              <w:ind w:left="425" w:leftChars="0" w:hanging="425" w:firstLineChars="0"/>
              <w:rPr>
                <w:rFonts w:ascii="仿宋" w:hAnsi="仿宋" w:eastAsia="仿宋"/>
                <w:b w:val="0"/>
                <w:bCs/>
                <w:szCs w:val="21"/>
              </w:rPr>
            </w:pPr>
          </w:p>
        </w:tc>
        <w:tc>
          <w:tcPr>
            <w:tcW w:w="1069"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2396"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多种治疗模式：具有功率模式；直径模式；定时模式；烧针道模式，可根据不同术式选择；</w:t>
            </w:r>
          </w:p>
        </w:tc>
        <w:tc>
          <w:tcPr>
            <w:tcW w:w="1006" w:type="dxa"/>
          </w:tcPr>
          <w:p>
            <w:pPr>
              <w:spacing w:line="320" w:lineRule="exact"/>
              <w:rPr>
                <w:rFonts w:ascii="仿宋" w:hAnsi="仿宋" w:eastAsia="仿宋"/>
                <w:b w:val="0"/>
                <w:bCs/>
                <w:szCs w:val="21"/>
              </w:rPr>
            </w:pPr>
          </w:p>
        </w:tc>
        <w:tc>
          <w:tcPr>
            <w:tcW w:w="775" w:type="dxa"/>
          </w:tcPr>
          <w:p>
            <w:pPr>
              <w:spacing w:line="320" w:lineRule="exact"/>
              <w:rPr>
                <w:rFonts w:ascii="仿宋" w:hAnsi="仿宋" w:eastAsia="仿宋"/>
                <w:b w:val="0"/>
                <w:bCs/>
                <w:szCs w:val="21"/>
              </w:rPr>
            </w:pPr>
          </w:p>
        </w:tc>
        <w:tc>
          <w:tcPr>
            <w:tcW w:w="1891" w:type="dxa"/>
          </w:tcPr>
          <w:p>
            <w:pPr>
              <w:spacing w:line="320" w:lineRule="exact"/>
              <w:rPr>
                <w:rFonts w:ascii="仿宋" w:hAnsi="仿宋" w:eastAsia="仿宋"/>
                <w:b w:val="0"/>
                <w:bCs/>
                <w:szCs w:val="21"/>
              </w:rPr>
            </w:pPr>
          </w:p>
        </w:tc>
        <w:tc>
          <w:tcPr>
            <w:tcW w:w="185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2" w:type="dxa"/>
          </w:tcPr>
          <w:p>
            <w:pPr>
              <w:numPr>
                <w:ilvl w:val="0"/>
                <w:numId w:val="2"/>
              </w:numPr>
              <w:spacing w:line="320" w:lineRule="exact"/>
              <w:ind w:left="425" w:leftChars="0" w:hanging="425" w:firstLineChars="0"/>
              <w:rPr>
                <w:rFonts w:ascii="仿宋" w:hAnsi="仿宋" w:eastAsia="仿宋"/>
                <w:b w:val="0"/>
                <w:bCs/>
                <w:szCs w:val="21"/>
              </w:rPr>
            </w:pPr>
          </w:p>
        </w:tc>
        <w:tc>
          <w:tcPr>
            <w:tcW w:w="1069"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2396"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功率模式：0-120W可调，减小对正常组织的损伤；并具有数字显示，阻抗检测功能，全程检测病灶的阻抗变化；</w:t>
            </w:r>
          </w:p>
        </w:tc>
        <w:tc>
          <w:tcPr>
            <w:tcW w:w="1006" w:type="dxa"/>
          </w:tcPr>
          <w:p>
            <w:pPr>
              <w:spacing w:line="320" w:lineRule="exact"/>
              <w:rPr>
                <w:rFonts w:ascii="仿宋" w:hAnsi="仿宋" w:eastAsia="仿宋"/>
                <w:b w:val="0"/>
                <w:bCs/>
                <w:szCs w:val="21"/>
              </w:rPr>
            </w:pPr>
          </w:p>
        </w:tc>
        <w:tc>
          <w:tcPr>
            <w:tcW w:w="775" w:type="dxa"/>
          </w:tcPr>
          <w:p>
            <w:pPr>
              <w:spacing w:line="320" w:lineRule="exact"/>
              <w:rPr>
                <w:rFonts w:ascii="仿宋" w:hAnsi="仿宋" w:eastAsia="仿宋"/>
                <w:b w:val="0"/>
                <w:bCs/>
                <w:szCs w:val="21"/>
              </w:rPr>
            </w:pPr>
          </w:p>
        </w:tc>
        <w:tc>
          <w:tcPr>
            <w:tcW w:w="1891" w:type="dxa"/>
          </w:tcPr>
          <w:p>
            <w:pPr>
              <w:spacing w:line="320" w:lineRule="exact"/>
              <w:rPr>
                <w:rFonts w:ascii="仿宋" w:hAnsi="仿宋" w:eastAsia="仿宋"/>
                <w:b w:val="0"/>
                <w:bCs/>
                <w:szCs w:val="21"/>
              </w:rPr>
            </w:pPr>
          </w:p>
        </w:tc>
        <w:tc>
          <w:tcPr>
            <w:tcW w:w="185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2" w:type="dxa"/>
          </w:tcPr>
          <w:p>
            <w:pPr>
              <w:numPr>
                <w:ilvl w:val="0"/>
                <w:numId w:val="2"/>
              </w:numPr>
              <w:spacing w:line="320" w:lineRule="exact"/>
              <w:ind w:left="425" w:leftChars="0" w:hanging="425" w:firstLineChars="0"/>
              <w:rPr>
                <w:rFonts w:ascii="仿宋" w:hAnsi="仿宋" w:eastAsia="仿宋"/>
                <w:b w:val="0"/>
                <w:bCs/>
                <w:szCs w:val="21"/>
              </w:rPr>
            </w:pPr>
          </w:p>
        </w:tc>
        <w:tc>
          <w:tcPr>
            <w:tcW w:w="1069"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2396"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直径模式：可根据病灶大小设定消融直径大小，具有可控性，减小对正常组织的损伤；并实时数值显示阻抗大小；</w:t>
            </w:r>
          </w:p>
        </w:tc>
        <w:tc>
          <w:tcPr>
            <w:tcW w:w="1006" w:type="dxa"/>
          </w:tcPr>
          <w:p>
            <w:pPr>
              <w:spacing w:line="320" w:lineRule="exact"/>
              <w:rPr>
                <w:rFonts w:ascii="仿宋" w:hAnsi="仿宋" w:eastAsia="仿宋"/>
                <w:b w:val="0"/>
                <w:bCs/>
                <w:szCs w:val="21"/>
              </w:rPr>
            </w:pPr>
          </w:p>
        </w:tc>
        <w:tc>
          <w:tcPr>
            <w:tcW w:w="775" w:type="dxa"/>
          </w:tcPr>
          <w:p>
            <w:pPr>
              <w:spacing w:line="320" w:lineRule="exact"/>
              <w:rPr>
                <w:rFonts w:ascii="仿宋" w:hAnsi="仿宋" w:eastAsia="仿宋"/>
                <w:b w:val="0"/>
                <w:bCs/>
                <w:szCs w:val="21"/>
              </w:rPr>
            </w:pPr>
          </w:p>
        </w:tc>
        <w:tc>
          <w:tcPr>
            <w:tcW w:w="1891" w:type="dxa"/>
          </w:tcPr>
          <w:p>
            <w:pPr>
              <w:spacing w:line="320" w:lineRule="exact"/>
              <w:rPr>
                <w:rFonts w:ascii="仿宋" w:hAnsi="仿宋" w:eastAsia="仿宋"/>
                <w:b w:val="0"/>
                <w:bCs/>
                <w:szCs w:val="21"/>
              </w:rPr>
            </w:pPr>
          </w:p>
        </w:tc>
        <w:tc>
          <w:tcPr>
            <w:tcW w:w="185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2" w:type="dxa"/>
          </w:tcPr>
          <w:p>
            <w:pPr>
              <w:numPr>
                <w:ilvl w:val="0"/>
                <w:numId w:val="2"/>
              </w:numPr>
              <w:spacing w:line="320" w:lineRule="exact"/>
              <w:ind w:left="425" w:leftChars="0" w:hanging="425" w:firstLineChars="0"/>
              <w:rPr>
                <w:rFonts w:ascii="仿宋" w:hAnsi="仿宋" w:eastAsia="仿宋"/>
                <w:b w:val="0"/>
                <w:bCs/>
                <w:szCs w:val="21"/>
              </w:rPr>
            </w:pPr>
          </w:p>
        </w:tc>
        <w:tc>
          <w:tcPr>
            <w:tcW w:w="1069"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2396"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定时模式：可根据病灶大小设定消融的时间，具有可控性，减小对正常组织的损伤；并实时数值显示阻抗大小；</w:t>
            </w:r>
          </w:p>
        </w:tc>
        <w:tc>
          <w:tcPr>
            <w:tcW w:w="1006" w:type="dxa"/>
          </w:tcPr>
          <w:p>
            <w:pPr>
              <w:spacing w:line="320" w:lineRule="exact"/>
              <w:rPr>
                <w:rFonts w:ascii="仿宋" w:hAnsi="仿宋" w:eastAsia="仿宋"/>
                <w:b w:val="0"/>
                <w:bCs/>
                <w:szCs w:val="21"/>
              </w:rPr>
            </w:pPr>
          </w:p>
        </w:tc>
        <w:tc>
          <w:tcPr>
            <w:tcW w:w="775" w:type="dxa"/>
          </w:tcPr>
          <w:p>
            <w:pPr>
              <w:spacing w:line="320" w:lineRule="exact"/>
              <w:rPr>
                <w:rFonts w:ascii="仿宋" w:hAnsi="仿宋" w:eastAsia="仿宋"/>
                <w:b w:val="0"/>
                <w:bCs/>
                <w:szCs w:val="21"/>
              </w:rPr>
            </w:pPr>
          </w:p>
        </w:tc>
        <w:tc>
          <w:tcPr>
            <w:tcW w:w="1891" w:type="dxa"/>
          </w:tcPr>
          <w:p>
            <w:pPr>
              <w:spacing w:line="320" w:lineRule="exact"/>
              <w:rPr>
                <w:rFonts w:ascii="仿宋" w:hAnsi="仿宋" w:eastAsia="仿宋"/>
                <w:b w:val="0"/>
                <w:bCs/>
                <w:szCs w:val="21"/>
              </w:rPr>
            </w:pPr>
          </w:p>
        </w:tc>
        <w:tc>
          <w:tcPr>
            <w:tcW w:w="185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2" w:type="dxa"/>
          </w:tcPr>
          <w:p>
            <w:pPr>
              <w:numPr>
                <w:ilvl w:val="0"/>
                <w:numId w:val="2"/>
              </w:numPr>
              <w:spacing w:line="320" w:lineRule="exact"/>
              <w:ind w:left="425" w:leftChars="0" w:hanging="425" w:firstLineChars="0"/>
              <w:rPr>
                <w:rFonts w:ascii="仿宋" w:hAnsi="仿宋" w:eastAsia="仿宋"/>
                <w:b w:val="0"/>
                <w:bCs/>
                <w:szCs w:val="21"/>
              </w:rPr>
            </w:pPr>
          </w:p>
        </w:tc>
        <w:tc>
          <w:tcPr>
            <w:tcW w:w="1069"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2396"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针道模式：手术结束退针时，可对穿刺的路径进行烧灼，有效避免术后出血和病灶转移；</w:t>
            </w:r>
          </w:p>
        </w:tc>
        <w:tc>
          <w:tcPr>
            <w:tcW w:w="1006" w:type="dxa"/>
          </w:tcPr>
          <w:p>
            <w:pPr>
              <w:spacing w:line="320" w:lineRule="exact"/>
              <w:rPr>
                <w:rFonts w:ascii="仿宋" w:hAnsi="仿宋" w:eastAsia="仿宋"/>
                <w:b w:val="0"/>
                <w:bCs/>
                <w:szCs w:val="21"/>
              </w:rPr>
            </w:pPr>
          </w:p>
        </w:tc>
        <w:tc>
          <w:tcPr>
            <w:tcW w:w="775" w:type="dxa"/>
          </w:tcPr>
          <w:p>
            <w:pPr>
              <w:spacing w:line="320" w:lineRule="exact"/>
              <w:rPr>
                <w:rFonts w:ascii="仿宋" w:hAnsi="仿宋" w:eastAsia="仿宋"/>
                <w:b w:val="0"/>
                <w:bCs/>
                <w:szCs w:val="21"/>
              </w:rPr>
            </w:pPr>
          </w:p>
        </w:tc>
        <w:tc>
          <w:tcPr>
            <w:tcW w:w="1891" w:type="dxa"/>
          </w:tcPr>
          <w:p>
            <w:pPr>
              <w:spacing w:line="320" w:lineRule="exact"/>
              <w:rPr>
                <w:rFonts w:ascii="仿宋" w:hAnsi="仿宋" w:eastAsia="仿宋"/>
                <w:b w:val="0"/>
                <w:bCs/>
                <w:szCs w:val="21"/>
              </w:rPr>
            </w:pPr>
          </w:p>
        </w:tc>
        <w:tc>
          <w:tcPr>
            <w:tcW w:w="185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2" w:type="dxa"/>
          </w:tcPr>
          <w:p>
            <w:pPr>
              <w:numPr>
                <w:ilvl w:val="0"/>
                <w:numId w:val="2"/>
              </w:numPr>
              <w:spacing w:line="320" w:lineRule="exact"/>
              <w:ind w:left="425" w:leftChars="0" w:hanging="425" w:firstLineChars="0"/>
              <w:rPr>
                <w:rFonts w:ascii="仿宋" w:hAnsi="仿宋" w:eastAsia="仿宋"/>
                <w:b w:val="0"/>
                <w:bCs/>
                <w:szCs w:val="21"/>
              </w:rPr>
            </w:pPr>
          </w:p>
        </w:tc>
        <w:tc>
          <w:tcPr>
            <w:tcW w:w="1069"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2396"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冷循环系统：设备配置蠕动泵系统，在治疗过程中降低针尖的温度，增大消融范围，实现针尖不结痂；</w:t>
            </w:r>
          </w:p>
        </w:tc>
        <w:tc>
          <w:tcPr>
            <w:tcW w:w="1006" w:type="dxa"/>
          </w:tcPr>
          <w:p>
            <w:pPr>
              <w:spacing w:line="320" w:lineRule="exact"/>
              <w:rPr>
                <w:rFonts w:ascii="仿宋" w:hAnsi="仿宋" w:eastAsia="仿宋"/>
                <w:b w:val="0"/>
                <w:bCs/>
                <w:szCs w:val="21"/>
              </w:rPr>
            </w:pPr>
          </w:p>
        </w:tc>
        <w:tc>
          <w:tcPr>
            <w:tcW w:w="775" w:type="dxa"/>
          </w:tcPr>
          <w:p>
            <w:pPr>
              <w:spacing w:line="320" w:lineRule="exact"/>
              <w:rPr>
                <w:rFonts w:ascii="仿宋" w:hAnsi="仿宋" w:eastAsia="仿宋"/>
                <w:b w:val="0"/>
                <w:bCs/>
                <w:szCs w:val="21"/>
              </w:rPr>
            </w:pPr>
          </w:p>
        </w:tc>
        <w:tc>
          <w:tcPr>
            <w:tcW w:w="1891" w:type="dxa"/>
          </w:tcPr>
          <w:p>
            <w:pPr>
              <w:spacing w:line="320" w:lineRule="exact"/>
              <w:rPr>
                <w:rFonts w:ascii="仿宋" w:hAnsi="仿宋" w:eastAsia="仿宋"/>
                <w:b w:val="0"/>
                <w:bCs/>
                <w:szCs w:val="21"/>
              </w:rPr>
            </w:pPr>
          </w:p>
        </w:tc>
        <w:tc>
          <w:tcPr>
            <w:tcW w:w="185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2" w:type="dxa"/>
          </w:tcPr>
          <w:p>
            <w:pPr>
              <w:numPr>
                <w:ilvl w:val="0"/>
                <w:numId w:val="2"/>
              </w:numPr>
              <w:spacing w:line="320" w:lineRule="exact"/>
              <w:ind w:left="425" w:leftChars="0" w:hanging="425" w:firstLineChars="0"/>
              <w:rPr>
                <w:rFonts w:ascii="仿宋" w:hAnsi="仿宋" w:eastAsia="仿宋"/>
                <w:b w:val="0"/>
                <w:bCs/>
                <w:szCs w:val="21"/>
              </w:rPr>
            </w:pPr>
          </w:p>
        </w:tc>
        <w:tc>
          <w:tcPr>
            <w:tcW w:w="1069"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2396"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阻抗监测：全程监测病灶的阻抗数值变化，可作为临床参考；</w:t>
            </w:r>
          </w:p>
        </w:tc>
        <w:tc>
          <w:tcPr>
            <w:tcW w:w="1006" w:type="dxa"/>
          </w:tcPr>
          <w:p>
            <w:pPr>
              <w:spacing w:line="320" w:lineRule="exact"/>
              <w:rPr>
                <w:rFonts w:ascii="仿宋" w:hAnsi="仿宋" w:eastAsia="仿宋"/>
                <w:b w:val="0"/>
                <w:bCs/>
                <w:szCs w:val="21"/>
              </w:rPr>
            </w:pPr>
          </w:p>
        </w:tc>
        <w:tc>
          <w:tcPr>
            <w:tcW w:w="775" w:type="dxa"/>
          </w:tcPr>
          <w:p>
            <w:pPr>
              <w:spacing w:line="320" w:lineRule="exact"/>
              <w:rPr>
                <w:rFonts w:ascii="仿宋" w:hAnsi="仿宋" w:eastAsia="仿宋"/>
                <w:b w:val="0"/>
                <w:bCs/>
                <w:szCs w:val="21"/>
              </w:rPr>
            </w:pPr>
          </w:p>
        </w:tc>
        <w:tc>
          <w:tcPr>
            <w:tcW w:w="1891" w:type="dxa"/>
          </w:tcPr>
          <w:p>
            <w:pPr>
              <w:spacing w:line="320" w:lineRule="exact"/>
              <w:rPr>
                <w:rFonts w:ascii="仿宋" w:hAnsi="仿宋" w:eastAsia="仿宋"/>
                <w:b w:val="0"/>
                <w:bCs/>
                <w:szCs w:val="21"/>
              </w:rPr>
            </w:pPr>
          </w:p>
        </w:tc>
        <w:tc>
          <w:tcPr>
            <w:tcW w:w="185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2" w:type="dxa"/>
          </w:tcPr>
          <w:p>
            <w:pPr>
              <w:numPr>
                <w:ilvl w:val="0"/>
                <w:numId w:val="2"/>
              </w:numPr>
              <w:spacing w:line="320" w:lineRule="exact"/>
              <w:ind w:left="425" w:leftChars="0" w:hanging="425" w:firstLineChars="0"/>
              <w:rPr>
                <w:rFonts w:ascii="仿宋" w:hAnsi="仿宋" w:eastAsia="仿宋"/>
                <w:b w:val="0"/>
                <w:bCs/>
                <w:szCs w:val="21"/>
              </w:rPr>
            </w:pPr>
          </w:p>
        </w:tc>
        <w:tc>
          <w:tcPr>
            <w:tcW w:w="1069"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2396"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能量自动补偿功能:自动补偿治疗过程中的热量损耗，充分保证病灶组织的蛋白变性；</w:t>
            </w:r>
          </w:p>
        </w:tc>
        <w:tc>
          <w:tcPr>
            <w:tcW w:w="1006" w:type="dxa"/>
          </w:tcPr>
          <w:p>
            <w:pPr>
              <w:spacing w:line="320" w:lineRule="exact"/>
              <w:rPr>
                <w:rFonts w:ascii="仿宋" w:hAnsi="仿宋" w:eastAsia="仿宋"/>
                <w:b w:val="0"/>
                <w:bCs/>
                <w:szCs w:val="21"/>
              </w:rPr>
            </w:pPr>
          </w:p>
        </w:tc>
        <w:tc>
          <w:tcPr>
            <w:tcW w:w="775" w:type="dxa"/>
          </w:tcPr>
          <w:p>
            <w:pPr>
              <w:spacing w:line="320" w:lineRule="exact"/>
              <w:rPr>
                <w:rFonts w:ascii="仿宋" w:hAnsi="仿宋" w:eastAsia="仿宋"/>
                <w:b w:val="0"/>
                <w:bCs/>
                <w:szCs w:val="21"/>
              </w:rPr>
            </w:pPr>
          </w:p>
        </w:tc>
        <w:tc>
          <w:tcPr>
            <w:tcW w:w="1891" w:type="dxa"/>
          </w:tcPr>
          <w:p>
            <w:pPr>
              <w:spacing w:line="320" w:lineRule="exact"/>
              <w:rPr>
                <w:rFonts w:ascii="仿宋" w:hAnsi="仿宋" w:eastAsia="仿宋"/>
                <w:b w:val="0"/>
                <w:bCs/>
                <w:szCs w:val="21"/>
              </w:rPr>
            </w:pPr>
          </w:p>
        </w:tc>
        <w:tc>
          <w:tcPr>
            <w:tcW w:w="185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2" w:type="dxa"/>
          </w:tcPr>
          <w:p>
            <w:pPr>
              <w:numPr>
                <w:ilvl w:val="0"/>
                <w:numId w:val="2"/>
              </w:numPr>
              <w:spacing w:line="320" w:lineRule="exact"/>
              <w:ind w:left="425" w:leftChars="0" w:hanging="425" w:firstLineChars="0"/>
              <w:rPr>
                <w:rFonts w:ascii="仿宋" w:hAnsi="仿宋" w:eastAsia="仿宋"/>
                <w:b w:val="0"/>
                <w:bCs/>
                <w:szCs w:val="21"/>
              </w:rPr>
            </w:pPr>
          </w:p>
        </w:tc>
        <w:tc>
          <w:tcPr>
            <w:tcW w:w="1069"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2396"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能量自动控制功能：系统根据设置的时间自动调节能量输出；</w:t>
            </w:r>
          </w:p>
        </w:tc>
        <w:tc>
          <w:tcPr>
            <w:tcW w:w="1006" w:type="dxa"/>
          </w:tcPr>
          <w:p>
            <w:pPr>
              <w:spacing w:line="320" w:lineRule="exact"/>
              <w:rPr>
                <w:rFonts w:ascii="仿宋" w:hAnsi="仿宋" w:eastAsia="仿宋"/>
                <w:b w:val="0"/>
                <w:bCs/>
                <w:szCs w:val="21"/>
              </w:rPr>
            </w:pPr>
          </w:p>
        </w:tc>
        <w:tc>
          <w:tcPr>
            <w:tcW w:w="775" w:type="dxa"/>
          </w:tcPr>
          <w:p>
            <w:pPr>
              <w:spacing w:line="320" w:lineRule="exact"/>
              <w:rPr>
                <w:rFonts w:ascii="仿宋" w:hAnsi="仿宋" w:eastAsia="仿宋"/>
                <w:b w:val="0"/>
                <w:bCs/>
                <w:szCs w:val="21"/>
              </w:rPr>
            </w:pPr>
          </w:p>
        </w:tc>
        <w:tc>
          <w:tcPr>
            <w:tcW w:w="1891" w:type="dxa"/>
          </w:tcPr>
          <w:p>
            <w:pPr>
              <w:spacing w:line="320" w:lineRule="exact"/>
              <w:rPr>
                <w:rFonts w:ascii="仿宋" w:hAnsi="仿宋" w:eastAsia="仿宋"/>
                <w:b w:val="0"/>
                <w:bCs/>
                <w:szCs w:val="21"/>
              </w:rPr>
            </w:pPr>
          </w:p>
        </w:tc>
        <w:tc>
          <w:tcPr>
            <w:tcW w:w="185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2" w:type="dxa"/>
          </w:tcPr>
          <w:p>
            <w:pPr>
              <w:numPr>
                <w:ilvl w:val="0"/>
                <w:numId w:val="2"/>
              </w:numPr>
              <w:spacing w:line="320" w:lineRule="exact"/>
              <w:ind w:left="425" w:leftChars="0" w:hanging="425" w:firstLineChars="0"/>
              <w:rPr>
                <w:rFonts w:ascii="仿宋" w:hAnsi="仿宋" w:eastAsia="仿宋"/>
                <w:b w:val="0"/>
                <w:bCs/>
                <w:szCs w:val="21"/>
              </w:rPr>
            </w:pPr>
          </w:p>
        </w:tc>
        <w:tc>
          <w:tcPr>
            <w:tcW w:w="1069"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2396"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辅助功能：具有开机自检功能，保证设备正常工作；</w:t>
            </w:r>
          </w:p>
        </w:tc>
        <w:tc>
          <w:tcPr>
            <w:tcW w:w="1006" w:type="dxa"/>
          </w:tcPr>
          <w:p>
            <w:pPr>
              <w:spacing w:line="320" w:lineRule="exact"/>
              <w:rPr>
                <w:rFonts w:ascii="仿宋" w:hAnsi="仿宋" w:eastAsia="仿宋"/>
                <w:b w:val="0"/>
                <w:bCs/>
                <w:szCs w:val="21"/>
              </w:rPr>
            </w:pPr>
          </w:p>
        </w:tc>
        <w:tc>
          <w:tcPr>
            <w:tcW w:w="775" w:type="dxa"/>
          </w:tcPr>
          <w:p>
            <w:pPr>
              <w:spacing w:line="320" w:lineRule="exact"/>
              <w:rPr>
                <w:rFonts w:ascii="仿宋" w:hAnsi="仿宋" w:eastAsia="仿宋"/>
                <w:b w:val="0"/>
                <w:bCs/>
                <w:szCs w:val="21"/>
              </w:rPr>
            </w:pPr>
          </w:p>
        </w:tc>
        <w:tc>
          <w:tcPr>
            <w:tcW w:w="1891" w:type="dxa"/>
          </w:tcPr>
          <w:p>
            <w:pPr>
              <w:spacing w:line="320" w:lineRule="exact"/>
              <w:rPr>
                <w:rFonts w:ascii="仿宋" w:hAnsi="仿宋" w:eastAsia="仿宋"/>
                <w:b w:val="0"/>
                <w:bCs/>
                <w:szCs w:val="21"/>
              </w:rPr>
            </w:pPr>
          </w:p>
        </w:tc>
        <w:tc>
          <w:tcPr>
            <w:tcW w:w="185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2" w:type="dxa"/>
          </w:tcPr>
          <w:p>
            <w:pPr>
              <w:numPr>
                <w:ilvl w:val="0"/>
                <w:numId w:val="2"/>
              </w:numPr>
              <w:spacing w:line="320" w:lineRule="exact"/>
              <w:ind w:left="425" w:leftChars="0" w:hanging="425" w:firstLineChars="0"/>
              <w:rPr>
                <w:rFonts w:ascii="仿宋" w:hAnsi="仿宋" w:eastAsia="仿宋"/>
                <w:b w:val="0"/>
                <w:bCs/>
                <w:szCs w:val="21"/>
              </w:rPr>
            </w:pPr>
          </w:p>
        </w:tc>
        <w:tc>
          <w:tcPr>
            <w:tcW w:w="1069"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2396"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电极检测功能：具有手术电极和中性电极断开检测功能，并停止能量输出，更加安全可靠；</w:t>
            </w:r>
          </w:p>
        </w:tc>
        <w:tc>
          <w:tcPr>
            <w:tcW w:w="1006" w:type="dxa"/>
          </w:tcPr>
          <w:p>
            <w:pPr>
              <w:spacing w:line="320" w:lineRule="exact"/>
              <w:rPr>
                <w:rFonts w:ascii="仿宋" w:hAnsi="仿宋" w:eastAsia="仿宋"/>
                <w:b w:val="0"/>
                <w:bCs/>
                <w:szCs w:val="21"/>
              </w:rPr>
            </w:pPr>
          </w:p>
        </w:tc>
        <w:tc>
          <w:tcPr>
            <w:tcW w:w="775" w:type="dxa"/>
          </w:tcPr>
          <w:p>
            <w:pPr>
              <w:spacing w:line="320" w:lineRule="exact"/>
              <w:rPr>
                <w:rFonts w:ascii="仿宋" w:hAnsi="仿宋" w:eastAsia="仿宋"/>
                <w:b w:val="0"/>
                <w:bCs/>
                <w:szCs w:val="21"/>
              </w:rPr>
            </w:pPr>
          </w:p>
        </w:tc>
        <w:tc>
          <w:tcPr>
            <w:tcW w:w="1891" w:type="dxa"/>
          </w:tcPr>
          <w:p>
            <w:pPr>
              <w:spacing w:line="320" w:lineRule="exact"/>
              <w:rPr>
                <w:rFonts w:ascii="仿宋" w:hAnsi="仿宋" w:eastAsia="仿宋"/>
                <w:b w:val="0"/>
                <w:bCs/>
                <w:szCs w:val="21"/>
              </w:rPr>
            </w:pPr>
          </w:p>
        </w:tc>
        <w:tc>
          <w:tcPr>
            <w:tcW w:w="185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2" w:type="dxa"/>
          </w:tcPr>
          <w:p>
            <w:pPr>
              <w:numPr>
                <w:ilvl w:val="0"/>
                <w:numId w:val="2"/>
              </w:numPr>
              <w:spacing w:line="320" w:lineRule="exact"/>
              <w:ind w:left="425" w:leftChars="0" w:hanging="425" w:firstLineChars="0"/>
              <w:rPr>
                <w:rFonts w:ascii="仿宋" w:hAnsi="仿宋" w:eastAsia="仿宋"/>
                <w:b w:val="0"/>
                <w:bCs/>
                <w:szCs w:val="21"/>
              </w:rPr>
            </w:pPr>
          </w:p>
        </w:tc>
        <w:tc>
          <w:tcPr>
            <w:tcW w:w="1069"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2396"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自动识别电极类型：单针、多针、凝血并有代码显示；</w:t>
            </w:r>
          </w:p>
        </w:tc>
        <w:tc>
          <w:tcPr>
            <w:tcW w:w="1006" w:type="dxa"/>
          </w:tcPr>
          <w:p>
            <w:pPr>
              <w:spacing w:line="320" w:lineRule="exact"/>
              <w:rPr>
                <w:rFonts w:ascii="仿宋" w:hAnsi="仿宋" w:eastAsia="仿宋"/>
                <w:b w:val="0"/>
                <w:bCs/>
                <w:szCs w:val="21"/>
              </w:rPr>
            </w:pPr>
          </w:p>
        </w:tc>
        <w:tc>
          <w:tcPr>
            <w:tcW w:w="775" w:type="dxa"/>
          </w:tcPr>
          <w:p>
            <w:pPr>
              <w:spacing w:line="320" w:lineRule="exact"/>
              <w:rPr>
                <w:rFonts w:ascii="仿宋" w:hAnsi="仿宋" w:eastAsia="仿宋"/>
                <w:b w:val="0"/>
                <w:bCs/>
                <w:szCs w:val="21"/>
              </w:rPr>
            </w:pPr>
          </w:p>
        </w:tc>
        <w:tc>
          <w:tcPr>
            <w:tcW w:w="1891" w:type="dxa"/>
          </w:tcPr>
          <w:p>
            <w:pPr>
              <w:spacing w:line="320" w:lineRule="exact"/>
              <w:rPr>
                <w:rFonts w:ascii="仿宋" w:hAnsi="仿宋" w:eastAsia="仿宋"/>
                <w:b w:val="0"/>
                <w:bCs/>
                <w:szCs w:val="21"/>
              </w:rPr>
            </w:pPr>
          </w:p>
        </w:tc>
        <w:tc>
          <w:tcPr>
            <w:tcW w:w="185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2" w:type="dxa"/>
          </w:tcPr>
          <w:p>
            <w:pPr>
              <w:numPr>
                <w:ilvl w:val="0"/>
                <w:numId w:val="2"/>
              </w:numPr>
              <w:spacing w:line="320" w:lineRule="exact"/>
              <w:ind w:left="425" w:leftChars="0" w:hanging="425" w:firstLineChars="0"/>
              <w:rPr>
                <w:rFonts w:ascii="仿宋" w:hAnsi="仿宋" w:eastAsia="仿宋"/>
                <w:b w:val="0"/>
                <w:bCs/>
                <w:szCs w:val="21"/>
              </w:rPr>
            </w:pPr>
          </w:p>
        </w:tc>
        <w:tc>
          <w:tcPr>
            <w:tcW w:w="1069"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2396"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扩展功能：能接智能适配器，实现NO-TOUCH消融、可三根电极同时消融；</w:t>
            </w:r>
          </w:p>
        </w:tc>
        <w:tc>
          <w:tcPr>
            <w:tcW w:w="1006" w:type="dxa"/>
          </w:tcPr>
          <w:p>
            <w:pPr>
              <w:spacing w:line="320" w:lineRule="exact"/>
              <w:rPr>
                <w:rFonts w:ascii="仿宋" w:hAnsi="仿宋" w:eastAsia="仿宋"/>
                <w:b w:val="0"/>
                <w:bCs/>
                <w:szCs w:val="21"/>
              </w:rPr>
            </w:pPr>
          </w:p>
        </w:tc>
        <w:tc>
          <w:tcPr>
            <w:tcW w:w="775" w:type="dxa"/>
          </w:tcPr>
          <w:p>
            <w:pPr>
              <w:spacing w:line="320" w:lineRule="exact"/>
              <w:rPr>
                <w:rFonts w:ascii="仿宋" w:hAnsi="仿宋" w:eastAsia="仿宋"/>
                <w:b w:val="0"/>
                <w:bCs/>
                <w:szCs w:val="21"/>
              </w:rPr>
            </w:pPr>
          </w:p>
        </w:tc>
        <w:tc>
          <w:tcPr>
            <w:tcW w:w="1891" w:type="dxa"/>
          </w:tcPr>
          <w:p>
            <w:pPr>
              <w:spacing w:line="320" w:lineRule="exact"/>
              <w:rPr>
                <w:rFonts w:ascii="仿宋" w:hAnsi="仿宋" w:eastAsia="仿宋"/>
                <w:b w:val="0"/>
                <w:bCs/>
                <w:szCs w:val="21"/>
              </w:rPr>
            </w:pPr>
          </w:p>
        </w:tc>
        <w:tc>
          <w:tcPr>
            <w:tcW w:w="185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2" w:type="dxa"/>
          </w:tcPr>
          <w:p>
            <w:pPr>
              <w:numPr>
                <w:ilvl w:val="0"/>
                <w:numId w:val="2"/>
              </w:numPr>
              <w:spacing w:line="320" w:lineRule="exact"/>
              <w:ind w:left="425" w:leftChars="0" w:hanging="425" w:firstLineChars="0"/>
              <w:rPr>
                <w:rFonts w:ascii="仿宋" w:hAnsi="仿宋" w:eastAsia="仿宋"/>
                <w:b w:val="0"/>
                <w:bCs/>
                <w:szCs w:val="21"/>
              </w:rPr>
            </w:pPr>
          </w:p>
        </w:tc>
        <w:tc>
          <w:tcPr>
            <w:tcW w:w="1069"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2396"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数据显示直观可见，可手控或脚控控制，操作简便；</w:t>
            </w:r>
          </w:p>
        </w:tc>
        <w:tc>
          <w:tcPr>
            <w:tcW w:w="1006" w:type="dxa"/>
          </w:tcPr>
          <w:p>
            <w:pPr>
              <w:spacing w:line="320" w:lineRule="exact"/>
              <w:rPr>
                <w:rFonts w:ascii="仿宋" w:hAnsi="仿宋" w:eastAsia="仿宋"/>
                <w:b w:val="0"/>
                <w:bCs/>
                <w:szCs w:val="21"/>
              </w:rPr>
            </w:pPr>
          </w:p>
        </w:tc>
        <w:tc>
          <w:tcPr>
            <w:tcW w:w="775" w:type="dxa"/>
          </w:tcPr>
          <w:p>
            <w:pPr>
              <w:spacing w:line="320" w:lineRule="exact"/>
              <w:rPr>
                <w:rFonts w:ascii="仿宋" w:hAnsi="仿宋" w:eastAsia="仿宋"/>
                <w:b w:val="0"/>
                <w:bCs/>
                <w:szCs w:val="21"/>
              </w:rPr>
            </w:pPr>
          </w:p>
        </w:tc>
        <w:tc>
          <w:tcPr>
            <w:tcW w:w="1891" w:type="dxa"/>
          </w:tcPr>
          <w:p>
            <w:pPr>
              <w:spacing w:line="320" w:lineRule="exact"/>
              <w:rPr>
                <w:rFonts w:ascii="仿宋" w:hAnsi="仿宋" w:eastAsia="仿宋"/>
                <w:b w:val="0"/>
                <w:bCs/>
                <w:szCs w:val="21"/>
              </w:rPr>
            </w:pPr>
          </w:p>
        </w:tc>
        <w:tc>
          <w:tcPr>
            <w:tcW w:w="185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2" w:type="dxa"/>
          </w:tcPr>
          <w:p>
            <w:pPr>
              <w:numPr>
                <w:ilvl w:val="0"/>
                <w:numId w:val="2"/>
              </w:numPr>
              <w:spacing w:line="320" w:lineRule="exact"/>
              <w:ind w:left="425" w:leftChars="0" w:hanging="425" w:firstLineChars="0"/>
              <w:rPr>
                <w:rFonts w:ascii="仿宋" w:hAnsi="仿宋" w:eastAsia="仿宋"/>
                <w:b w:val="0"/>
                <w:bCs/>
                <w:szCs w:val="21"/>
              </w:rPr>
            </w:pPr>
          </w:p>
        </w:tc>
        <w:tc>
          <w:tcPr>
            <w:tcW w:w="1069"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手术电极技术参数要求</w:t>
            </w:r>
          </w:p>
        </w:tc>
        <w:tc>
          <w:tcPr>
            <w:tcW w:w="2396"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多针电极：旋转式多子针治疗电极（非推拉式电极针），在治疗过程中可根据需要增大或缩小，子针数量≤7；可用于肝脏及肺肿瘤等组织的治疗；</w:t>
            </w:r>
          </w:p>
        </w:tc>
        <w:tc>
          <w:tcPr>
            <w:tcW w:w="1006" w:type="dxa"/>
          </w:tcPr>
          <w:p>
            <w:pPr>
              <w:spacing w:line="320" w:lineRule="exact"/>
              <w:rPr>
                <w:rFonts w:ascii="仿宋" w:hAnsi="仿宋" w:eastAsia="仿宋"/>
                <w:b w:val="0"/>
                <w:bCs/>
                <w:szCs w:val="21"/>
              </w:rPr>
            </w:pPr>
          </w:p>
        </w:tc>
        <w:tc>
          <w:tcPr>
            <w:tcW w:w="775" w:type="dxa"/>
          </w:tcPr>
          <w:p>
            <w:pPr>
              <w:spacing w:line="320" w:lineRule="exact"/>
              <w:rPr>
                <w:rFonts w:ascii="仿宋" w:hAnsi="仿宋" w:eastAsia="仿宋"/>
                <w:b w:val="0"/>
                <w:bCs/>
                <w:szCs w:val="21"/>
              </w:rPr>
            </w:pPr>
          </w:p>
        </w:tc>
        <w:tc>
          <w:tcPr>
            <w:tcW w:w="1891" w:type="dxa"/>
          </w:tcPr>
          <w:p>
            <w:pPr>
              <w:spacing w:line="320" w:lineRule="exact"/>
              <w:rPr>
                <w:rFonts w:ascii="仿宋" w:hAnsi="仿宋" w:eastAsia="仿宋"/>
                <w:b w:val="0"/>
                <w:bCs/>
                <w:szCs w:val="21"/>
              </w:rPr>
            </w:pPr>
          </w:p>
        </w:tc>
        <w:tc>
          <w:tcPr>
            <w:tcW w:w="185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2" w:type="dxa"/>
          </w:tcPr>
          <w:p>
            <w:pPr>
              <w:numPr>
                <w:ilvl w:val="0"/>
                <w:numId w:val="2"/>
              </w:numPr>
              <w:spacing w:line="320" w:lineRule="exact"/>
              <w:ind w:left="425" w:leftChars="0" w:hanging="425" w:firstLineChars="0"/>
              <w:rPr>
                <w:rFonts w:ascii="仿宋" w:hAnsi="仿宋" w:eastAsia="仿宋"/>
                <w:b w:val="0"/>
                <w:bCs/>
                <w:szCs w:val="21"/>
              </w:rPr>
            </w:pPr>
          </w:p>
        </w:tc>
        <w:tc>
          <w:tcPr>
            <w:tcW w:w="1069"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2396"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冷循环肿瘤电极：具有液体内循环通道，可降低针尖温度，适用于特殊部位的治疗，有效治疗长度≥3.0cm，且1-3cm可调，可用于肝脏、子宫肌瘤及骨肿瘤等组织的治疗；</w:t>
            </w:r>
          </w:p>
        </w:tc>
        <w:tc>
          <w:tcPr>
            <w:tcW w:w="1006" w:type="dxa"/>
          </w:tcPr>
          <w:p>
            <w:pPr>
              <w:spacing w:line="320" w:lineRule="exact"/>
              <w:rPr>
                <w:rFonts w:ascii="仿宋" w:hAnsi="仿宋" w:eastAsia="仿宋"/>
                <w:b w:val="0"/>
                <w:bCs/>
                <w:szCs w:val="21"/>
              </w:rPr>
            </w:pPr>
          </w:p>
        </w:tc>
        <w:tc>
          <w:tcPr>
            <w:tcW w:w="775" w:type="dxa"/>
          </w:tcPr>
          <w:p>
            <w:pPr>
              <w:spacing w:line="320" w:lineRule="exact"/>
              <w:rPr>
                <w:rFonts w:ascii="仿宋" w:hAnsi="仿宋" w:eastAsia="仿宋"/>
                <w:b w:val="0"/>
                <w:bCs/>
                <w:szCs w:val="21"/>
              </w:rPr>
            </w:pPr>
          </w:p>
        </w:tc>
        <w:tc>
          <w:tcPr>
            <w:tcW w:w="1891" w:type="dxa"/>
          </w:tcPr>
          <w:p>
            <w:pPr>
              <w:spacing w:line="320" w:lineRule="exact"/>
              <w:rPr>
                <w:rFonts w:ascii="仿宋" w:hAnsi="仿宋" w:eastAsia="仿宋"/>
                <w:b w:val="0"/>
                <w:bCs/>
                <w:szCs w:val="21"/>
              </w:rPr>
            </w:pPr>
          </w:p>
        </w:tc>
        <w:tc>
          <w:tcPr>
            <w:tcW w:w="185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2" w:type="dxa"/>
          </w:tcPr>
          <w:p>
            <w:pPr>
              <w:numPr>
                <w:ilvl w:val="0"/>
                <w:numId w:val="2"/>
              </w:numPr>
              <w:spacing w:line="320" w:lineRule="exact"/>
              <w:ind w:left="425" w:leftChars="0" w:hanging="425" w:firstLineChars="0"/>
              <w:rPr>
                <w:rFonts w:ascii="仿宋" w:hAnsi="仿宋" w:eastAsia="仿宋"/>
                <w:b w:val="0"/>
                <w:bCs/>
                <w:szCs w:val="21"/>
              </w:rPr>
            </w:pPr>
          </w:p>
        </w:tc>
        <w:tc>
          <w:tcPr>
            <w:tcW w:w="1069"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2396"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冷循环甲乳电极：具有液体内循环通道，可降低针尖温度，适用于甲状腺及乳腺肿瘤等实体肿块的治疗，有效治疗长度≤1cm；</w:t>
            </w:r>
          </w:p>
        </w:tc>
        <w:tc>
          <w:tcPr>
            <w:tcW w:w="1006" w:type="dxa"/>
          </w:tcPr>
          <w:p>
            <w:pPr>
              <w:spacing w:line="320" w:lineRule="exact"/>
              <w:rPr>
                <w:rFonts w:ascii="仿宋" w:hAnsi="仿宋" w:eastAsia="仿宋"/>
                <w:b w:val="0"/>
                <w:bCs/>
                <w:szCs w:val="21"/>
              </w:rPr>
            </w:pPr>
          </w:p>
        </w:tc>
        <w:tc>
          <w:tcPr>
            <w:tcW w:w="775" w:type="dxa"/>
          </w:tcPr>
          <w:p>
            <w:pPr>
              <w:spacing w:line="320" w:lineRule="exact"/>
              <w:rPr>
                <w:rFonts w:ascii="仿宋" w:hAnsi="仿宋" w:eastAsia="仿宋"/>
                <w:b w:val="0"/>
                <w:bCs/>
                <w:szCs w:val="21"/>
              </w:rPr>
            </w:pPr>
          </w:p>
        </w:tc>
        <w:tc>
          <w:tcPr>
            <w:tcW w:w="1891" w:type="dxa"/>
          </w:tcPr>
          <w:p>
            <w:pPr>
              <w:spacing w:line="320" w:lineRule="exact"/>
              <w:rPr>
                <w:rFonts w:ascii="仿宋" w:hAnsi="仿宋" w:eastAsia="仿宋"/>
                <w:b w:val="0"/>
                <w:bCs/>
                <w:szCs w:val="21"/>
              </w:rPr>
            </w:pPr>
          </w:p>
        </w:tc>
        <w:tc>
          <w:tcPr>
            <w:tcW w:w="185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2" w:type="dxa"/>
          </w:tcPr>
          <w:p>
            <w:pPr>
              <w:numPr>
                <w:ilvl w:val="0"/>
                <w:numId w:val="2"/>
              </w:numPr>
              <w:spacing w:line="320" w:lineRule="exact"/>
              <w:ind w:left="425" w:leftChars="0" w:hanging="425" w:firstLineChars="0"/>
              <w:rPr>
                <w:rFonts w:ascii="仿宋" w:hAnsi="仿宋" w:eastAsia="仿宋"/>
                <w:b w:val="0"/>
                <w:bCs/>
                <w:szCs w:val="21"/>
              </w:rPr>
            </w:pPr>
          </w:p>
        </w:tc>
        <w:tc>
          <w:tcPr>
            <w:tcW w:w="1069" w:type="dxa"/>
          </w:tcPr>
          <w:p>
            <w:pPr>
              <w:spacing w:line="320" w:lineRule="exact"/>
              <w:rPr>
                <w:rFonts w:ascii="仿宋" w:hAnsi="仿宋" w:eastAsia="仿宋"/>
                <w:b w:val="0"/>
                <w:bCs/>
                <w:szCs w:val="21"/>
              </w:rPr>
            </w:pPr>
          </w:p>
        </w:tc>
        <w:tc>
          <w:tcPr>
            <w:tcW w:w="2396"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b w:val="0"/>
                <w:bCs/>
                <w:szCs w:val="21"/>
              </w:rPr>
            </w:pPr>
            <w:r>
              <w:rPr>
                <w:rFonts w:hint="eastAsia" w:ascii="仿宋" w:hAnsi="仿宋" w:eastAsia="仿宋" w:cs="仿宋"/>
                <w:b w:val="0"/>
                <w:bCs w:val="0"/>
                <w:sz w:val="24"/>
                <w:szCs w:val="24"/>
                <w:lang w:val="en-US" w:eastAsia="zh-CN"/>
              </w:rPr>
              <w:t>整机及配套提供物资免费保修不少于三年（含所有零部件，包括须定期更换零部件）；</w:t>
            </w:r>
          </w:p>
        </w:tc>
        <w:tc>
          <w:tcPr>
            <w:tcW w:w="1006" w:type="dxa"/>
          </w:tcPr>
          <w:p>
            <w:pPr>
              <w:spacing w:line="320" w:lineRule="exact"/>
              <w:rPr>
                <w:rFonts w:ascii="仿宋" w:hAnsi="仿宋" w:eastAsia="仿宋"/>
                <w:b w:val="0"/>
                <w:bCs/>
                <w:szCs w:val="21"/>
              </w:rPr>
            </w:pPr>
          </w:p>
        </w:tc>
        <w:tc>
          <w:tcPr>
            <w:tcW w:w="775" w:type="dxa"/>
          </w:tcPr>
          <w:p>
            <w:pPr>
              <w:spacing w:line="320" w:lineRule="exact"/>
              <w:rPr>
                <w:rFonts w:ascii="仿宋" w:hAnsi="仿宋" w:eastAsia="仿宋"/>
                <w:b w:val="0"/>
                <w:bCs/>
                <w:szCs w:val="21"/>
              </w:rPr>
            </w:pPr>
          </w:p>
        </w:tc>
        <w:tc>
          <w:tcPr>
            <w:tcW w:w="1891" w:type="dxa"/>
          </w:tcPr>
          <w:p>
            <w:pPr>
              <w:spacing w:line="320" w:lineRule="exact"/>
              <w:rPr>
                <w:rFonts w:ascii="仿宋" w:hAnsi="仿宋" w:eastAsia="仿宋"/>
                <w:b w:val="0"/>
                <w:bCs/>
                <w:szCs w:val="21"/>
              </w:rPr>
            </w:pPr>
          </w:p>
        </w:tc>
        <w:tc>
          <w:tcPr>
            <w:tcW w:w="185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2" w:type="dxa"/>
          </w:tcPr>
          <w:p>
            <w:pPr>
              <w:numPr>
                <w:ilvl w:val="0"/>
                <w:numId w:val="2"/>
              </w:numPr>
              <w:spacing w:line="320" w:lineRule="exact"/>
              <w:ind w:left="425" w:leftChars="0" w:hanging="425" w:firstLineChars="0"/>
              <w:rPr>
                <w:rFonts w:ascii="仿宋" w:hAnsi="仿宋" w:eastAsia="仿宋"/>
                <w:b w:val="0"/>
                <w:bCs/>
                <w:szCs w:val="21"/>
              </w:rPr>
            </w:pPr>
          </w:p>
        </w:tc>
        <w:tc>
          <w:tcPr>
            <w:tcW w:w="1069" w:type="dxa"/>
          </w:tcPr>
          <w:p>
            <w:pPr>
              <w:spacing w:line="320" w:lineRule="exact"/>
              <w:rPr>
                <w:rFonts w:ascii="仿宋" w:hAnsi="仿宋" w:eastAsia="仿宋"/>
                <w:b w:val="0"/>
                <w:bCs/>
                <w:szCs w:val="21"/>
              </w:rPr>
            </w:pPr>
          </w:p>
        </w:tc>
        <w:tc>
          <w:tcPr>
            <w:tcW w:w="2396" w:type="dxa"/>
            <w:vAlign w:val="top"/>
          </w:tcPr>
          <w:p>
            <w:pPr>
              <w:pStyle w:val="16"/>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整机及配套提供物资需与医院信息系统对接，接口费用由中标方承担；</w:t>
            </w:r>
          </w:p>
        </w:tc>
        <w:tc>
          <w:tcPr>
            <w:tcW w:w="1006" w:type="dxa"/>
          </w:tcPr>
          <w:p>
            <w:pPr>
              <w:spacing w:line="320" w:lineRule="exact"/>
              <w:rPr>
                <w:rFonts w:ascii="仿宋" w:hAnsi="仿宋" w:eastAsia="仿宋"/>
                <w:b w:val="0"/>
                <w:bCs/>
                <w:szCs w:val="21"/>
              </w:rPr>
            </w:pPr>
          </w:p>
        </w:tc>
        <w:tc>
          <w:tcPr>
            <w:tcW w:w="775" w:type="dxa"/>
          </w:tcPr>
          <w:p>
            <w:pPr>
              <w:spacing w:line="320" w:lineRule="exact"/>
              <w:rPr>
                <w:rFonts w:ascii="仿宋" w:hAnsi="仿宋" w:eastAsia="仿宋"/>
                <w:b w:val="0"/>
                <w:bCs/>
                <w:szCs w:val="21"/>
              </w:rPr>
            </w:pPr>
          </w:p>
        </w:tc>
        <w:tc>
          <w:tcPr>
            <w:tcW w:w="1891" w:type="dxa"/>
          </w:tcPr>
          <w:p>
            <w:pPr>
              <w:spacing w:line="320" w:lineRule="exact"/>
              <w:rPr>
                <w:rFonts w:ascii="仿宋" w:hAnsi="仿宋" w:eastAsia="仿宋"/>
                <w:b w:val="0"/>
                <w:bCs/>
                <w:szCs w:val="21"/>
              </w:rPr>
            </w:pPr>
          </w:p>
        </w:tc>
        <w:tc>
          <w:tcPr>
            <w:tcW w:w="185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2" w:type="dxa"/>
          </w:tcPr>
          <w:p>
            <w:pPr>
              <w:numPr>
                <w:ilvl w:val="0"/>
                <w:numId w:val="2"/>
              </w:numPr>
              <w:spacing w:line="320" w:lineRule="exact"/>
              <w:ind w:left="425" w:leftChars="0" w:hanging="425" w:firstLineChars="0"/>
              <w:rPr>
                <w:rFonts w:ascii="仿宋" w:hAnsi="仿宋" w:eastAsia="仿宋"/>
                <w:b w:val="0"/>
                <w:bCs/>
                <w:szCs w:val="21"/>
              </w:rPr>
            </w:pPr>
          </w:p>
        </w:tc>
        <w:tc>
          <w:tcPr>
            <w:tcW w:w="1069" w:type="dxa"/>
          </w:tcPr>
          <w:p>
            <w:pPr>
              <w:spacing w:line="320" w:lineRule="exact"/>
              <w:rPr>
                <w:rFonts w:ascii="仿宋" w:hAnsi="仿宋" w:eastAsia="仿宋"/>
                <w:b w:val="0"/>
                <w:bCs/>
                <w:szCs w:val="21"/>
              </w:rPr>
            </w:pPr>
          </w:p>
        </w:tc>
        <w:tc>
          <w:tcPr>
            <w:tcW w:w="2396" w:type="dxa"/>
            <w:vAlign w:val="top"/>
          </w:tcPr>
          <w:p>
            <w:pPr>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提供近3年内同机型设备国内医院用户合同5家及以上，标书内提供清晰的合同原件扫描件并加盖公章（遮盖认定为无效业绩）</w:t>
            </w:r>
            <w:r>
              <w:rPr>
                <w:rFonts w:hint="eastAsia" w:ascii="仿宋" w:hAnsi="仿宋" w:eastAsia="仿宋" w:cs="仿宋"/>
                <w:color w:val="auto"/>
                <w:sz w:val="24"/>
                <w:szCs w:val="24"/>
                <w:lang w:val="en-US" w:eastAsia="zh-CN"/>
              </w:rPr>
              <w:t>。</w:t>
            </w:r>
          </w:p>
        </w:tc>
        <w:tc>
          <w:tcPr>
            <w:tcW w:w="1006" w:type="dxa"/>
          </w:tcPr>
          <w:p>
            <w:pPr>
              <w:spacing w:line="320" w:lineRule="exact"/>
              <w:rPr>
                <w:rFonts w:ascii="仿宋" w:hAnsi="仿宋" w:eastAsia="仿宋"/>
                <w:b w:val="0"/>
                <w:bCs/>
                <w:szCs w:val="21"/>
              </w:rPr>
            </w:pPr>
          </w:p>
        </w:tc>
        <w:tc>
          <w:tcPr>
            <w:tcW w:w="775" w:type="dxa"/>
          </w:tcPr>
          <w:p>
            <w:pPr>
              <w:spacing w:line="320" w:lineRule="exact"/>
              <w:rPr>
                <w:rFonts w:ascii="仿宋" w:hAnsi="仿宋" w:eastAsia="仿宋"/>
                <w:b w:val="0"/>
                <w:bCs/>
                <w:szCs w:val="21"/>
              </w:rPr>
            </w:pPr>
          </w:p>
        </w:tc>
        <w:tc>
          <w:tcPr>
            <w:tcW w:w="1891" w:type="dxa"/>
          </w:tcPr>
          <w:p>
            <w:pPr>
              <w:spacing w:line="320" w:lineRule="exact"/>
              <w:rPr>
                <w:rFonts w:ascii="仿宋" w:hAnsi="仿宋" w:eastAsia="仿宋"/>
                <w:b w:val="0"/>
                <w:bCs/>
                <w:szCs w:val="21"/>
              </w:rPr>
            </w:pPr>
          </w:p>
        </w:tc>
        <w:tc>
          <w:tcPr>
            <w:tcW w:w="1856"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0"/>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8"/>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9"/>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9"/>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9"/>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9"/>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4"/>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78DB1DE"/>
    <w:multiLevelType w:val="singleLevel"/>
    <w:tmpl w:val="278DB1DE"/>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127696"/>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74E81"/>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style4"/>
    <w:basedOn w:val="1"/>
    <w:next w:val="4"/>
    <w:qFormat/>
    <w:uiPriority w:val="0"/>
    <w:pPr>
      <w:widowControl/>
      <w:spacing w:before="280" w:after="280"/>
    </w:pPr>
    <w:rPr>
      <w:rFonts w:ascii="宋体" w:hAnsi="Times New Roman" w:eastAsia="宋体" w:cs="Times New Roman"/>
      <w:sz w:val="18"/>
    </w:rPr>
  </w:style>
  <w:style w:type="paragraph" w:customStyle="1" w:styleId="4">
    <w:name w:val="2"/>
    <w:next w:val="1"/>
    <w:qFormat/>
    <w:uiPriority w:val="0"/>
    <w:pPr>
      <w:widowControl w:val="0"/>
      <w:jc w:val="both"/>
    </w:pPr>
    <w:rPr>
      <w:rFonts w:ascii="Calibri" w:hAnsi="Calibri" w:eastAsia="宋体" w:cs="Times New Roman"/>
      <w:sz w:val="21"/>
      <w:szCs w:val="22"/>
      <w:lang w:val="en-US" w:eastAsia="zh-CN" w:bidi="ar-SA"/>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style>
  <w:style w:type="paragraph" w:styleId="8">
    <w:name w:val="Body Text First Indent"/>
    <w:basedOn w:val="2"/>
    <w:unhideWhenUsed/>
    <w:qFormat/>
    <w:uiPriority w:val="99"/>
    <w:pPr>
      <w:ind w:firstLine="420" w:firstLineChars="100"/>
    </w:pPr>
    <w:rPr>
      <w:rFonts w:ascii="Times New Roman" w:hAnsi="Times New Roman"/>
      <w:kern w:val="0"/>
      <w:sz w:val="20"/>
      <w:szCs w:val="20"/>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2">
    <w:name w:val="页眉 Char"/>
    <w:basedOn w:val="11"/>
    <w:link w:val="6"/>
    <w:semiHidden/>
    <w:qFormat/>
    <w:uiPriority w:val="99"/>
    <w:rPr>
      <w:sz w:val="18"/>
      <w:szCs w:val="18"/>
    </w:rPr>
  </w:style>
  <w:style w:type="character" w:customStyle="1" w:styleId="13">
    <w:name w:val="页脚 Char"/>
    <w:basedOn w:val="11"/>
    <w:link w:val="5"/>
    <w:qFormat/>
    <w:uiPriority w:val="99"/>
    <w:rPr>
      <w:sz w:val="18"/>
      <w:szCs w:val="18"/>
    </w:rPr>
  </w:style>
  <w:style w:type="paragraph" w:customStyle="1" w:styleId="14">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5">
    <w:name w:val="NormalCharacter"/>
    <w:qFormat/>
    <w:uiPriority w:val="0"/>
  </w:style>
  <w:style w:type="paragraph" w:customStyle="1" w:styleId="16">
    <w:name w:val="表格文字"/>
    <w:basedOn w:val="1"/>
    <w:qFormat/>
    <w:uiPriority w:val="1624"/>
    <w:pPr>
      <w:spacing w:line="420" w:lineRule="atLeast"/>
      <w:textAlignment w:val="baseline"/>
    </w:pPr>
    <w:rPr>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1151</Words>
  <Characters>1183</Characters>
  <Lines>6</Lines>
  <Paragraphs>1</Paragraphs>
  <TotalTime>0</TotalTime>
  <ScaleCrop>false</ScaleCrop>
  <LinksUpToDate>false</LinksUpToDate>
  <CharactersWithSpaces>1386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yy</cp:lastModifiedBy>
  <dcterms:modified xsi:type="dcterms:W3CDTF">2023-10-13T06:54:26Z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