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bookmarkStart w:id="0" w:name="_GoBack"/>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eastAsia="zh-CN"/>
        </w:rPr>
        <w:t>呼吸科吊塔吊桥</w:t>
      </w:r>
      <w:r>
        <w:rPr>
          <w:rFonts w:hint="eastAsia" w:asciiTheme="majorEastAsia" w:hAnsiTheme="majorEastAsia" w:eastAsiaTheme="majorEastAsia"/>
          <w:b/>
          <w:sz w:val="32"/>
          <w:szCs w:val="32"/>
        </w:rPr>
        <w:t>项目初步参数论证征集意见表</w:t>
      </w:r>
    </w:p>
    <w:bookmarkEnd w:id="0"/>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9"/>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1941"/>
        <w:gridCol w:w="1065"/>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194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桥梁式，干湿分离设计。</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吊塔应采用高强度铝镁合金，表面医用氧化处理，确保永不生锈，整体全密封设计，旋转限位装置，便于清洗，具备抑制细菌滋生（提供喷涂材料第三方的检测报告）（实际尺寸以现场测绘为准）。</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吊桥总负载能力≥300Kg，干边和湿边基座箱体分别承载能力≥150Kg（提供载重第三方检测报告）。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吊桥上所有气体终端与电源插座等必须安装在干、湿区箱体基座上而非桥梁上，以方便护理人员操作。</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吊桥内部气体软管必须采用优质医用橡胶气源管，对人体无害（符合医用供气ISO5359安全标准）。</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吊塔电动控制，干湿两边基座可分别旋转角度≥340°，配置有机械刹车制动装置，且具有良好的限位系统，保证吊塔不产生漂移。</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吊桥干湿两边基座可移动距离≥500mm，采用电动控制，采用专用内置静音滑轨，承载力大、低摩擦、移动轻便、免维护保养，使用寿命长。</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气体出口均要以国际标准色予以区别，并有防止不同气体误插的装置或结构；接口接插次数30,000次以上，所有气体接口必须带三状态（通、断、拔），能带气维修。</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气体终端为德式标准，配置数量为：每干区塔配3种气体（氧气×2个、空气×1个、负压×1个）、每湿区塔配3种气体（氧气×1个、空气×1个、负压×2个）</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吊桥的每一干区塔与湿区塔各配电源插座10个（干区20A一个），电源为交流电220V并有专用的电源接地线、相线、中线三线供给。</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吊桥每床配有展臂式诊疗灯一台。安全照明灯2个，小夜灯，灯光柔和，低压安全且与主桥一体化。</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所有吊桥模块化设计上，承载设备的电源线路及气源线路和塔体之间没有相对移动，保证吊塔在移动过程中，不会因位置的改变导致线路脱落的意外发生。</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仪器平台高度可调，采用防撞设计；配有国际标准的不锈钢边轨，以方便固定小型的医疗仪器设备， 每个仪器平台载重≥80Kg（提供载重第三方检测报告）。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所投标产品必须可以根据用户要求升级（比如加装仪器平台，气源，电源等配件）。</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提供产品先进性和质量可靠性的证明材料：CE认证，ISO13485、ISO9001质量体系认证。</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干区平台3层、湿区平台1层，要求高度可调，尺寸以现场测绘为准。</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湿区设计要求</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湿区必须采用可移动基座箱体设计，电源、气源接口分布在箱体的左右两侧，充分实现电气分离，确保设备使用安全（提供产品彩页图片和第三方检测报告）。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吊柱式箱体，旋转角度≥340°，气电箱长度≥800mm，净负载能力≥150Kg（提供载重第三方检测报告）。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床头呼叫装置及相应网络接口。</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电插座*10个（含20A插头1个，单独标识），电源指示灯1个。</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vAlign w:val="top"/>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德式标准气体插座（氧气1个，空气1个，负压 2个），承载托盘、输液架不得影响插座使用。</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承载托盘1个，位置可调节，单个托盘承重≥30kg，底层离地至少80cm（可以放下病房标准床头柜），带标准附件导轨，可调高度输液泵架1套；不锈钢杂物网篮3个（放吸痰管、水瓶、呼吸气囊），设备托盘尺寸≥620*450mm（提供载重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干区设计要求</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吊头式箱体，旋转角度≥340°，气电箱长度≥700m，净负载能力≥150Kg（提供载重第三方检测报告）。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德式标准气体插座（氧气2个，空气1个，负压吸引1个），并包含所有插头。</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电源插座10个，接地端子*2个，电源指示灯1个，网络接口*1个。</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hint="eastAsia" w:ascii="仿宋" w:hAnsi="仿宋" w:eastAsia="仿宋" w:cs="仿宋"/>
                <w:b w:val="0"/>
                <w:bCs w:val="0"/>
                <w:sz w:val="24"/>
                <w:szCs w:val="24"/>
                <w:lang w:val="en-US" w:eastAsia="zh-CN"/>
              </w:rPr>
            </w:pPr>
          </w:p>
        </w:tc>
        <w:tc>
          <w:tcPr>
            <w:tcW w:w="1941" w:type="dxa"/>
          </w:tcPr>
          <w:p>
            <w:pPr>
              <w:spacing w:line="32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仪器承载托盘3个，单个托盘承重≥30kg，带标准附件导轨（呼吸机湿化罐及显示器固定槽），设备托盘尺寸≥650*450mm（提供载重第三方检测报告）。</w:t>
            </w:r>
          </w:p>
        </w:tc>
        <w:tc>
          <w:tcPr>
            <w:tcW w:w="1065" w:type="dxa"/>
          </w:tcPr>
          <w:p>
            <w:pPr>
              <w:spacing w:line="320" w:lineRule="exact"/>
              <w:rPr>
                <w:rFonts w:hint="eastAsia" w:ascii="仿宋" w:hAnsi="仿宋" w:eastAsia="仿宋" w:cs="仿宋"/>
                <w:b w:val="0"/>
                <w:bCs w:val="0"/>
                <w:sz w:val="24"/>
                <w:szCs w:val="24"/>
                <w:lang w:val="en-US" w:eastAsia="zh-CN"/>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pStyle w:val="2"/>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194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1065"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9"/>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A2E103"/>
    <w:multiLevelType w:val="singleLevel"/>
    <w:tmpl w:val="75A2E103"/>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495E03"/>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1624"/>
    <w:pPr>
      <w:spacing w:line="420" w:lineRule="atLeast"/>
      <w:textAlignment w:val="baseline"/>
    </w:pPr>
    <w:rPr>
      <w:szCs w:val="24"/>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Body Text First Indent"/>
    <w:basedOn w:val="3"/>
    <w:unhideWhenUsed/>
    <w:qFormat/>
    <w:uiPriority w:val="99"/>
    <w:pPr>
      <w:ind w:firstLine="420" w:firstLineChars="100"/>
    </w:pPr>
    <w:rPr>
      <w:rFonts w:ascii="Times New Roman" w:hAnsi="Times New Roman"/>
      <w:kern w:val="0"/>
      <w:sz w:val="20"/>
      <w:szCs w:val="20"/>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7"/>
    <w:semiHidden/>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1277</Words>
  <Characters>1309</Characters>
  <Lines>6</Lines>
  <Paragraphs>1</Paragraphs>
  <TotalTime>1</TotalTime>
  <ScaleCrop>false</ScaleCrop>
  <LinksUpToDate>false</LinksUpToDate>
  <CharactersWithSpaces>1512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2023-09-01T08:40:18Z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