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附件7：拟购</w:t>
      </w:r>
      <w:r>
        <w:rPr>
          <w:rFonts w:hint="eastAsia" w:asciiTheme="majorEastAsia" w:hAnsiTheme="majorEastAsia" w:eastAsiaTheme="majorEastAsia"/>
          <w:b/>
          <w:sz w:val="32"/>
          <w:szCs w:val="32"/>
          <w:u w:val="single"/>
          <w:lang w:eastAsia="zh-CN"/>
        </w:rPr>
        <w:t>吊塔吊桥</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桥梁式，干湿分离设计。</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吊塔应采用高强度铝合金，表面医用氧化处理，确保永不生锈，整体全密封设计，旋转限位装置，便于清洗，具备抑制细菌滋生（提供喷涂材料第三方的检测报告）（实际尺寸以现场测绘为准）。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吊桥总负载能力≥300Kg，干边和湿边基座箱体分别承载能力≥150Kg（提供载重第三方检测报告）。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吊桥上所有气体终端与电源插座等必须安装在干、湿区箱体基座上而非桥梁上，以方便护理人员操作。</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吊桥内部气体软管必须采用优质医用橡胶气源管，对人体无害（符合医用供气ISO5359安全标准）。</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电动控制，干湿两边基座可分别旋转角度≥340°，配置有机械刹车制动装置，且具有良好的限位系统，保证吊塔不产生漂移。</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吊桥干湿两边基座可移动距离≥500mm，采用电动控制，采用专用内置静音滑轨，承载力大、低摩擦、移动轻便、免维护保养，使用寿命长。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气体出口均要以国际标准色予以区别，并有防止不同气体误插的装置或结构；接口接插次数30,000次以上，所有气体接口必须带三状态（通、断、拔），能带气维修。</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气体终端为德式标准，配置数量为：每干区塔配3种气体（氧气×2个、空气×1个、负压×1个）、每湿区塔配3种气体（氧气×1个、空气×1个、负压×2个）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吊桥的每一干区塔与湿区塔各配电源插座10个（干区20A一个），电源为交流电220V并有专用的电源接地线、相线、中线三线供给。</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吊桥每床配有展臂式诊疗灯一台。</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所有吊桥模块化设计上，承载设备的电源线路及气源线路和塔体之间没有相对移动，保证吊塔在移动过程中，不会因位置的改变导致线路脱落的意外发生。</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仪器平台高度可调，采用防撞设计；每层配有国际标准的不锈钢边轨，以方便固定小型的医疗仪器设备， 每个仪器平台载重≥80Kg（提供载重第三方检测报告）。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所投标产品必须可以根据用户要求升级（比如加装仪器平台，气源，电源等配件）。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提供产品先进性和质量可靠性的证明材料：CE认证，ISO13485、ISO9001质量体系认证。</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干区平台3层、湿区平台2层。</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湿区设计要求：</w:t>
            </w:r>
          </w:p>
        </w:tc>
        <w:tc>
          <w:tcPr>
            <w:tcW w:w="194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湿区必须采用可移动基座箱体设计，电源、气源接口分布在箱体的两侧，充分实现电气分离，确保设备使用安全（提供产品彩页图片和第三方检测报告）。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吊柱式箱体，旋转角度≥340°，气电箱长度≥800mm，净负载能力≥150Kg（提供省级或国家级医疗器械检验所出具的检测报告）。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电插座*10个（含20A插头1个，单独标识），电源指示灯1个。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德式标准气体插座（氧气1个，空气1个，负压 2个），承载托盘、输液架不得影响插座使用。</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承载托盘2个，位置可调节，单个托盘承重≥30kg，带标准不锈钢附件导轨（边轨），便于不锈钢杂物篮悬挂，不锈钢杂物网篮3个（放吸痰管、水瓶、呼吸气囊，具体尺寸根据科室需求制作），（承重数据需提供省级或国家级医疗器械检验所出具的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最下层托盘带抽屉一个，抽屉高度250mm，抽屉导轨承重力强，低摩擦，经久耐用，抽拉轻便。</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干区设计要求：</w:t>
            </w:r>
          </w:p>
        </w:tc>
        <w:tc>
          <w:tcPr>
            <w:tcW w:w="194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对称式箱体，旋转角度≥340°，气电箱长度≥700mm，净负载能力≥150Kg（提供省级或国家级医疗器械检验所出具的检测报告）。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德式标准气体插座（氧气2个，空气1个，负压吸引1个）。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电源插座10个，接地端子*2个，电源指示灯1个，网络接口*1个。</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仪器承载托盘3个，单个托盘承重≥30kg，带标准附件导轨（承重数据需提供省级或国家级医疗器械检验所出具的检测报告）。</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最下层托盘带抽屉一个，抽屉高度125mm</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kern w:val="2"/>
                <w:sz w:val="24"/>
                <w:szCs w:val="24"/>
                <w:lang w:val="en-US" w:eastAsia="zh-CN" w:bidi="ar-SA"/>
              </w:rPr>
            </w:pPr>
          </w:p>
        </w:tc>
        <w:tc>
          <w:tcPr>
            <w:tcW w:w="194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整机及配套提供物资免费保修不少于五年（含所有零部件，包括须定期更换零部件）；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36FEE20"/>
    <w:multiLevelType w:val="singleLevel"/>
    <w:tmpl w:val="236FEE20"/>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1E1B2E"/>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1277</Words>
  <Characters>1309</Characters>
  <Lines>6</Lines>
  <Paragraphs>1</Paragraphs>
  <TotalTime>1</TotalTime>
  <ScaleCrop>false</ScaleCrop>
  <LinksUpToDate>false</LinksUpToDate>
  <CharactersWithSpaces>1512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2023-07-13T06:50:01Z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