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b/>
          <w:bCs/>
          <w:i w:val="0"/>
          <w:caps w:val="0"/>
          <w:spacing w:val="0"/>
          <w:w w:val="100"/>
          <w:sz w:val="28"/>
          <w:szCs w:val="28"/>
          <w:u w:val="single"/>
        </w:rPr>
        <w:t>红蓝光治疗仪</w:t>
      </w:r>
      <w:r>
        <w:rPr>
          <w:rFonts w:hint="eastAsia" w:asciiTheme="majorEastAsia" w:hAnsiTheme="majorEastAsia" w:eastAsiaTheme="majorEastAsia"/>
          <w:b/>
          <w:sz w:val="32"/>
          <w:szCs w:val="32"/>
        </w:rPr>
        <w:t>项目初步参数论证征集意见表</w:t>
      </w:r>
      <w:bookmarkEnd w:id="0"/>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该产品主要适用于消炎、镇痛、促进血液循环、加速伤口愈合，及对痤疮的辅助治疗。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光源聚光设计：菲涅尔聚光技术；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半导体固态光源（点阵集成式芯片）；光功率密度≥1200mw/cm²；</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红光中心波长为：625±10nm；蓝光中心波长为：465±10nm；(附食品药品监督管理局检测报告证明材料)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功率调节方式，1~5级能量可调；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治疗头温度，仪器在正常工作时，治疗头外壳表面温度不超过41℃；(附食品药品监督管理局检测报告证明材料)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光源稳定工作后，其光功率变化率为±1%；(附食品药品监督管理局检测报告证明材料)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光源稳定工作后，有效红光辐照度的均匀性＞0.4；(附食品药品监督管理局检测报告证明材料)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定时设置，0～99 分钟连续可调；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最大治疗半径＞500mm，最大功耗300W，灯头照射角度360°可旋转；</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可按照医保报销目录进行收费，且收费名称与设备名称一致；按照红光、蓝光治疗收费；</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液晶屏显示，触摸操作，手动操作；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9D60CF8"/>
    <w:multiLevelType w:val="singleLevel"/>
    <w:tmpl w:val="49D60CF8"/>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4C40C8"/>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2023-07-03T08:58:10Z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