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中医四诊仪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1050"/>
        <w:gridCol w:w="3465"/>
        <w:gridCol w:w="711"/>
        <w:gridCol w:w="747"/>
        <w:gridCol w:w="732"/>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47"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06"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5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4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47"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06"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p>
        </w:tc>
        <w:tc>
          <w:tcPr>
            <w:tcW w:w="1050" w:type="dxa"/>
            <w:vMerge w:val="restart"/>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rPr>
              <w:t>一.功能特点：（四诊）</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1.1、可进行舌（面）象检测，体质辨识分析。</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hint="eastAsia" w:ascii="仿宋" w:hAnsi="仿宋" w:eastAsia="仿宋"/>
                <w:b w:val="0"/>
                <w:bCs/>
                <w:szCs w:val="21"/>
                <w:lang w:eastAsia="zh-CN"/>
              </w:rPr>
            </w:pPr>
          </w:p>
        </w:tc>
        <w:tc>
          <w:tcPr>
            <w:tcW w:w="732" w:type="dxa"/>
          </w:tcPr>
          <w:p>
            <w:pPr>
              <w:spacing w:line="320" w:lineRule="exact"/>
              <w:rPr>
                <w:rFonts w:hint="eastAsia" w:ascii="仿宋" w:hAnsi="仿宋" w:eastAsia="仿宋"/>
                <w:b w:val="0"/>
                <w:bCs/>
                <w:szCs w:val="21"/>
                <w:lang w:eastAsia="zh-CN"/>
              </w:rPr>
            </w:pPr>
          </w:p>
        </w:tc>
        <w:tc>
          <w:tcPr>
            <w:tcW w:w="1306"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1.2、腕式智能三部测脉</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*1.3、配备人体成分身高体重采集单元</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1.4、具备血压脉率测试</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*1.5、具备远程会诊系统平单元</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rPr>
                <w:rFonts w:hint="eastAsia"/>
              </w:rPr>
            </w:pPr>
            <w:r>
              <w:rPr>
                <w:rFonts w:hint="eastAsia"/>
              </w:rPr>
              <w:t>*1.6、整台仪器各诊可单独使用自动出检测报告</w:t>
            </w:r>
          </w:p>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7" w:hRule="atLeast"/>
        </w:trPr>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restart"/>
            <w:vAlign w:val="center"/>
          </w:tcPr>
          <w:p>
            <w:pPr>
              <w:rPr>
                <w:rFonts w:hint="eastAsia"/>
              </w:rPr>
            </w:pPr>
            <w:r>
              <w:rPr>
                <w:rFonts w:hint="eastAsia"/>
              </w:rPr>
              <w:t>1、舌（面）诊采集单元:</w:t>
            </w:r>
          </w:p>
          <w:p>
            <w:pPr>
              <w:keepNext w:val="0"/>
              <w:keepLines w:val="0"/>
              <w:widowControl/>
              <w:suppressLineNumbers w:val="0"/>
              <w:jc w:val="both"/>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1.1、舌象单元：可对以下11种舌型；10种苔质；9种舌态；9种苔色；8种舌色进行分析。</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1.2、面象单元：可对以下6种面色；5种耳鼻形态；7种面态；6种面形；7种面部特征进行分析；</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p>
        </w:tc>
        <w:tc>
          <w:tcPr>
            <w:tcW w:w="1050" w:type="dxa"/>
            <w:vMerge w:val="continue"/>
            <w:tcBorders/>
            <w:vAlign w:val="center"/>
          </w:tcPr>
          <w:p>
            <w:pPr>
              <w:keepNext w:val="0"/>
              <w:keepLines w:val="0"/>
              <w:widowControl/>
              <w:suppressLineNumbers w:val="0"/>
              <w:jc w:val="center"/>
              <w:textAlignment w:val="center"/>
              <w:rPr>
                <w:rFonts w:ascii="仿宋" w:hAnsi="仿宋" w:eastAsia="仿宋"/>
                <w:b w:val="0"/>
                <w:bCs/>
                <w:sz w:val="24"/>
                <w:szCs w:val="24"/>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1.3、显色指数：Ra≥85；色温指数：4500K≤Tc≤7000K范围内，照强度：3600Lux±10%</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default" w:ascii="仿宋" w:hAnsi="仿宋" w:eastAsia="仿宋" w:cs="仿宋"/>
                <w:kern w:val="2"/>
                <w:sz w:val="24"/>
                <w:szCs w:val="24"/>
                <w:lang w:val="en-US" w:eastAsia="zh-CN" w:bidi="ar-SA"/>
              </w:rPr>
            </w:pPr>
            <w:r>
              <w:rPr>
                <w:rFonts w:hint="eastAsia"/>
              </w:rPr>
              <w:t>1.4、工业相机：500万CCD；分辨率2000万；焦距35mm的镜头；具备远程控制功能；</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*1.5 、消毒要求：配有紫外线消毒灯管。可以避免由患者唾液滴落可能引起的交叉感染。</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restart"/>
            <w:vAlign w:val="center"/>
          </w:tcPr>
          <w:p>
            <w:pPr>
              <w:rPr>
                <w:rFonts w:hint="eastAsia"/>
              </w:rPr>
            </w:pPr>
            <w:r>
              <w:rPr>
                <w:rFonts w:hint="eastAsia"/>
              </w:rPr>
              <w:t>2、脉诊采集单元：</w:t>
            </w:r>
          </w:p>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*2.1、脉率准确性脉率显示范围为40次/min～200次/min，分辨率为1次/min，显示值的最大允许误差为±3次/min。</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2.2、支持寸关尺三点脉诊信息同时采集、量化并作出辅助分析。</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*2.3、构建中医脉诊3D模型，多维度表达中医脉象特征，实现测量过程及测量结果的3D可视化展示；</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rPr>
              <w:t>*2.4、报告可进行气血津液，饮湿寒热的预警提示。</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2.5、脉搏传感器触力面为符合人体工程学并模仿中医指法的Φ8圆形触力面， 脉象传感器灵敏度为0.5mV/克力，可分析脉象六要素：脉位、脉力、脉率、脉律、流利度、紧张度；可识别临床常见的脉象；可提供中医脉象图及相关测量参数，给出脉名判读结果；系统软件开放，便于脉象数据库和专家库的二次开发应用。</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restart"/>
            <w:vAlign w:val="center"/>
          </w:tcPr>
          <w:p>
            <w:pPr>
              <w:rPr>
                <w:rFonts w:hint="eastAsia"/>
              </w:rPr>
            </w:pPr>
            <w:r>
              <w:rPr>
                <w:rFonts w:hint="eastAsia"/>
              </w:rPr>
              <w:t>3、中医体质辨识问诊采集单元：</w:t>
            </w:r>
          </w:p>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3.1、可以对中医九大体质做辨识判定。</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3.2、对28种具体体质分型进行判断。</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3.3、提供5种中医体质辨识版本，包括成人版、老年版、孕妇版、儿童版、中医五态人格版。</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3.4、中医体质检测结果综合说明，包含特特征，体质成因，形体特征，心里特征，发病倾向，常见表现，重点人群，对外界环境适应能力，日常表现等常规提示。</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3.5、中医体质检测健康建议，包含营养膳食，用药参考，中医保健建议，精神调养方案，饮食建议，药膳调补，运动建议，健康生活提示，针对儿童增加起居调养建议，小儿推拿康复建议。</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restart"/>
            <w:vAlign w:val="center"/>
          </w:tcPr>
          <w:p>
            <w:pPr>
              <w:rPr>
                <w:rFonts w:hint="eastAsia"/>
              </w:rPr>
            </w:pPr>
            <w:r>
              <w:rPr>
                <w:rFonts w:hint="eastAsia"/>
              </w:rPr>
              <w:t>4、辅助采集单元</w:t>
            </w:r>
          </w:p>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4.1、智能人体成分身高体重三维测量采用超声波技术采集人体的身高和体重指数信息。</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4.2、血压脉率测量仪自动采集人体的血压和脉搏跳动次数指数信息。</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Merge w:val="continue"/>
            <w:tcBorders/>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rPr>
              <w:t>4.3、具备身份证阅读系统。</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rPr>
                <w:rFonts w:hint="eastAsia"/>
              </w:rPr>
            </w:pPr>
            <w:r>
              <w:rPr>
                <w:rFonts w:hint="eastAsia"/>
              </w:rPr>
              <w:t>三.配置清单：</w:t>
            </w:r>
          </w:p>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rPr>
                <w:rFonts w:hint="eastAsia"/>
              </w:rPr>
            </w:pPr>
            <w:r>
              <w:rPr>
                <w:rFonts w:hint="eastAsia"/>
              </w:rPr>
              <w:t>1、配置舌面象采集器                          一套</w:t>
            </w:r>
          </w:p>
          <w:p>
            <w:pPr>
              <w:rPr>
                <w:rFonts w:hint="eastAsia"/>
              </w:rPr>
            </w:pPr>
            <w:r>
              <w:rPr>
                <w:rFonts w:hint="eastAsia"/>
              </w:rPr>
              <w:t>2、配置工业相机                              一台</w:t>
            </w:r>
          </w:p>
          <w:p>
            <w:pPr>
              <w:rPr>
                <w:rFonts w:hint="eastAsia"/>
              </w:rPr>
            </w:pPr>
            <w:r>
              <w:rPr>
                <w:rFonts w:hint="eastAsia"/>
              </w:rPr>
              <w:t>3、配置三部寸关尺同时采集脉诊采集器          一个</w:t>
            </w:r>
          </w:p>
          <w:p>
            <w:pPr>
              <w:rPr>
                <w:rFonts w:hint="eastAsia"/>
              </w:rPr>
            </w:pPr>
            <w:r>
              <w:rPr>
                <w:rFonts w:hint="eastAsia"/>
              </w:rPr>
              <w:t>4、人体成分身高、体重采集器（含人体三维模拟）一套</w:t>
            </w:r>
          </w:p>
          <w:p>
            <w:pPr>
              <w:rPr>
                <w:rFonts w:hint="eastAsia"/>
              </w:rPr>
            </w:pPr>
            <w:r>
              <w:rPr>
                <w:rFonts w:hint="eastAsia"/>
              </w:rPr>
              <w:t>5、增配血压，脉率探测器                      一套</w:t>
            </w:r>
          </w:p>
          <w:p>
            <w:pPr>
              <w:rPr>
                <w:rFonts w:hint="eastAsia"/>
              </w:rPr>
            </w:pPr>
            <w:r>
              <w:rPr>
                <w:rFonts w:hint="eastAsia"/>
              </w:rPr>
              <w:t>6、配置中医远程高清网络视频及万向麦克        一套</w:t>
            </w:r>
          </w:p>
          <w:p>
            <w:pPr>
              <w:rPr>
                <w:rFonts w:hint="eastAsia"/>
              </w:rPr>
            </w:pPr>
            <w:r>
              <w:rPr>
                <w:rFonts w:hint="eastAsia"/>
              </w:rPr>
              <w:t>7、配置高清彩色打印机                        一台</w:t>
            </w:r>
          </w:p>
          <w:p>
            <w:pPr>
              <w:rPr>
                <w:rFonts w:hint="eastAsia"/>
              </w:rPr>
            </w:pPr>
            <w:r>
              <w:rPr>
                <w:rFonts w:hint="eastAsia"/>
              </w:rPr>
              <w:t>8、工业工控主机14个usb口2个网口口         一台</w:t>
            </w:r>
          </w:p>
          <w:p>
            <w:pPr>
              <w:rPr>
                <w:rFonts w:hint="eastAsia"/>
              </w:rPr>
            </w:pPr>
            <w:r>
              <w:rPr>
                <w:rFonts w:hint="eastAsia"/>
              </w:rPr>
              <w:t>9、身份证阅读器                              一台</w:t>
            </w:r>
          </w:p>
          <w:p>
            <w:pPr>
              <w:rPr>
                <w:rFonts w:hint="eastAsia"/>
              </w:rPr>
            </w:pPr>
            <w:r>
              <w:rPr>
                <w:rFonts w:hint="eastAsia"/>
              </w:rPr>
              <w:t>软件配置</w:t>
            </w:r>
          </w:p>
          <w:p>
            <w:pPr>
              <w:rPr>
                <w:rFonts w:hint="eastAsia"/>
              </w:rPr>
            </w:pPr>
            <w:r>
              <w:rPr>
                <w:rFonts w:hint="eastAsia"/>
              </w:rPr>
              <w:t>1、中医舌面分析系统</w:t>
            </w:r>
          </w:p>
          <w:p>
            <w:pPr>
              <w:rPr>
                <w:rFonts w:hint="eastAsia"/>
              </w:rPr>
            </w:pPr>
            <w:r>
              <w:rPr>
                <w:rFonts w:hint="eastAsia"/>
              </w:rPr>
              <w:t>2、中医智能脉诊系统</w:t>
            </w:r>
          </w:p>
          <w:p>
            <w:pPr>
              <w:rPr>
                <w:rFonts w:hint="eastAsia"/>
              </w:rPr>
            </w:pPr>
            <w:r>
              <w:rPr>
                <w:rFonts w:hint="eastAsia"/>
              </w:rPr>
              <w:t>3、中医体质辨识五大版本系统（儿童；老年；孕妇；成年；五态人格）</w:t>
            </w:r>
          </w:p>
          <w:p>
            <w:pPr>
              <w:rPr>
                <w:rFonts w:hint="eastAsia"/>
              </w:rPr>
            </w:pPr>
            <w:r>
              <w:rPr>
                <w:rFonts w:hint="eastAsia"/>
              </w:rPr>
              <w:t>4、中医远程会诊平台系统</w:t>
            </w:r>
          </w:p>
          <w:p>
            <w:pPr>
              <w:rPr>
                <w:rFonts w:hint="eastAsia"/>
              </w:rPr>
            </w:pPr>
            <w:r>
              <w:rPr>
                <w:rFonts w:hint="eastAsia"/>
              </w:rPr>
              <w:t>5、移动终端实时在线互动系统</w:t>
            </w:r>
          </w:p>
          <w:p>
            <w:r>
              <w:rPr>
                <w:rFonts w:hint="eastAsia"/>
              </w:rPr>
              <w:t>6、中医大数据管理系统</w:t>
            </w:r>
          </w:p>
          <w:p>
            <w:pPr>
              <w:keepNext w:val="0"/>
              <w:keepLines w:val="0"/>
              <w:widowControl/>
              <w:suppressLineNumbers w:val="0"/>
              <w:ind w:firstLine="222" w:firstLineChars="0"/>
              <w:jc w:val="left"/>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bookmarkStart w:id="0" w:name="_GoBack"/>
            <w:bookmarkEnd w:id="0"/>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p>
        </w:tc>
        <w:tc>
          <w:tcPr>
            <w:tcW w:w="1050"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B03DFD"/>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26A0A"/>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037FCB"/>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7806C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33254E"/>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CC248BC"/>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 w:type="character" w:customStyle="1" w:styleId="19">
    <w:name w:val="font21"/>
    <w:basedOn w:val="12"/>
    <w:qFormat/>
    <w:uiPriority w:val="0"/>
    <w:rPr>
      <w:rFonts w:hint="default" w:ascii="Calibri" w:hAnsi="Calibri" w:cs="Calibri"/>
      <w:color w:val="000000"/>
      <w:sz w:val="32"/>
      <w:szCs w:val="32"/>
      <w:u w:val="none"/>
    </w:rPr>
  </w:style>
  <w:style w:type="character" w:customStyle="1" w:styleId="20">
    <w:name w:val="font11"/>
    <w:basedOn w:val="12"/>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1525</Words>
  <Characters>1611</Characters>
  <Lines>6</Lines>
  <Paragraphs>1</Paragraphs>
  <TotalTime>1</TotalTime>
  <ScaleCrop>false</ScaleCrop>
  <LinksUpToDate>false</LinksUpToDate>
  <CharactersWithSpaces>1760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2023-04-20T07:42:37Z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