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经络检测（分析）仪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050"/>
        <w:gridCol w:w="3465"/>
        <w:gridCol w:w="711"/>
        <w:gridCol w:w="747"/>
        <w:gridCol w:w="732"/>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7"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06"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47"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06"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Merge w:val="restart"/>
            <w:vAlign w:val="center"/>
          </w:tcPr>
          <w:p>
            <w:pPr>
              <w:rPr>
                <w:rFonts w:hint="default"/>
                <w:lang w:val="en-US" w:eastAsia="zh-CN"/>
              </w:rPr>
            </w:pPr>
            <w:r>
              <w:rPr>
                <w:rFonts w:hint="default"/>
                <w:lang w:val="en-US" w:eastAsia="zh-CN"/>
              </w:rPr>
              <w:t>一.功能特点：</w:t>
            </w:r>
          </w:p>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1.1、可进行中医24或48个经络穴位检测</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hint="eastAsia" w:ascii="仿宋" w:hAnsi="仿宋" w:eastAsia="仿宋"/>
                <w:b w:val="0"/>
                <w:bCs/>
                <w:szCs w:val="21"/>
                <w:lang w:eastAsia="zh-CN"/>
              </w:rPr>
            </w:pPr>
          </w:p>
        </w:tc>
        <w:tc>
          <w:tcPr>
            <w:tcW w:w="732" w:type="dxa"/>
          </w:tcPr>
          <w:p>
            <w:pPr>
              <w:spacing w:line="320" w:lineRule="exact"/>
              <w:rPr>
                <w:rFonts w:hint="eastAsia" w:ascii="仿宋" w:hAnsi="仿宋" w:eastAsia="仿宋"/>
                <w:b w:val="0"/>
                <w:bCs/>
                <w:szCs w:val="21"/>
                <w:lang w:eastAsia="zh-CN"/>
              </w:rPr>
            </w:pPr>
          </w:p>
        </w:tc>
        <w:tc>
          <w:tcPr>
            <w:tcW w:w="1306"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1.2、具备移动终端实时在线互动系统</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*1.3、具备智能AI国标症候辨证名系统</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1.4、仪器自动出检测报告</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*1.5、国家中医药管理局中医诊疗设备目录推荐产品</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restart"/>
            <w:vAlign w:val="center"/>
          </w:tcPr>
          <w:p>
            <w:pPr>
              <w:rPr>
                <w:rFonts w:hint="default"/>
                <w:lang w:val="en-US" w:eastAsia="zh-CN"/>
              </w:rPr>
            </w:pPr>
            <w:r>
              <w:rPr>
                <w:rFonts w:hint="default"/>
                <w:lang w:val="en-US" w:eastAsia="zh-CN"/>
              </w:rPr>
              <w:t>1、经络穴诊采集单元</w:t>
            </w:r>
          </w:p>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1.1、设备测量的阻抗范围不小于100Ω～10KΩ；测量结果是连续显示，显示值与实1.4、际值的误差应≤±10%。设备的显示是阻抗值（Ω）。</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both"/>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1.2、检测精度阻抗：R＜3Ω。 辅助电极阻抗：R＜3Ω。</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1.3、通过主机硬件设备连接计算机，在windows系统界面下显示人体十二条经络分别对应的穴位图形标示点及穴位位置确定点及文字描述位置确定点。</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1.4、通过主机硬件设备连接计算机，在windows系统界面下显示至少三种检测报告。分别是数字表格或文字形式的经络体征检测报告；文字描述或（图表）形式的中医未病评测报告；文字或图表描述形式的单经分析报告。</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default" w:ascii="仿宋" w:hAnsi="仿宋" w:eastAsia="仿宋" w:cs="仿宋"/>
                <w:kern w:val="2"/>
                <w:sz w:val="24"/>
                <w:szCs w:val="24"/>
                <w:lang w:val="en-US" w:eastAsia="zh-CN" w:bidi="ar-SA"/>
              </w:rPr>
            </w:pPr>
            <w:r>
              <w:rPr>
                <w:rFonts w:hint="default"/>
                <w:lang w:val="en-US" w:eastAsia="zh-CN"/>
              </w:rPr>
              <w:t>1.5、经络体征检测报告以数据或图表形式显示实测经络数据，规定体征标准值，对非正常体征进行描述和判断；单经分析报告显示人体每条经络虚、实信息，中医脏腑关联器官和相对应的临床表现。</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1.6、配备多参数恒压采集器：可对压力、皮肤弹性刚度等检测因素进行量化并参与检测结果运算。</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1.7、通过采集器对人体的12条经络的24个原穴以及48个穴位进行真实的探测，最终对人体的健康状况给出一个综合评估报告，病人的经络检测分析结果报告单由“中医未病（亚健康）检测报告、经络脏腑虚实分析报告、经络熵分析报告”组成。</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default"/>
                <w:lang w:val="en-US" w:eastAsia="zh-CN"/>
              </w:rPr>
              <w:t>1.8、资质要求：具有国家药监局医疗器械注册证</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B03DFD"/>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BD0D5A"/>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26A0A"/>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037FCB"/>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7806C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33254E"/>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 w:type="character" w:customStyle="1" w:styleId="19">
    <w:name w:val="font21"/>
    <w:basedOn w:val="12"/>
    <w:qFormat/>
    <w:uiPriority w:val="0"/>
    <w:rPr>
      <w:rFonts w:hint="default" w:ascii="Calibri" w:hAnsi="Calibri" w:cs="Calibri"/>
      <w:color w:val="000000"/>
      <w:sz w:val="32"/>
      <w:szCs w:val="32"/>
      <w:u w:val="none"/>
    </w:rPr>
  </w:style>
  <w:style w:type="character" w:customStyle="1" w:styleId="20">
    <w:name w:val="font11"/>
    <w:basedOn w:val="12"/>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1525</Words>
  <Characters>1611</Characters>
  <Lines>6</Lines>
  <Paragraphs>1</Paragraphs>
  <TotalTime>0</TotalTime>
  <ScaleCrop>false</ScaleCrop>
  <LinksUpToDate>false</LinksUpToDate>
  <CharactersWithSpaces>1760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2023-04-20T07:44:59Z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