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bookmarkStart w:id="0" w:name="_GoBack"/>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lang w:val="en-US" w:eastAsia="zh-CN"/>
        </w:rPr>
        <w:t>血透机</w:t>
      </w:r>
      <w:r>
        <w:rPr>
          <w:rFonts w:hint="eastAsia" w:asciiTheme="majorEastAsia" w:hAnsiTheme="majorEastAsia" w:eastAsiaTheme="majorEastAsia"/>
          <w:b/>
          <w:sz w:val="32"/>
          <w:szCs w:val="32"/>
        </w:rPr>
        <w:t>项目初步参数论证征集意见表</w:t>
      </w:r>
    </w:p>
    <w:bookmarkEnd w:id="0"/>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w:t>
      </w:r>
      <w:r>
        <w:rPr>
          <w:rFonts w:hint="eastAsia" w:ascii="仿宋" w:hAnsi="仿宋" w:eastAsia="仿宋"/>
          <w:szCs w:val="21"/>
          <w:lang w:eastAsia="zh-CN"/>
        </w:rPr>
        <w:t>是否为中小企业、</w:t>
      </w:r>
      <w:r>
        <w:rPr>
          <w:rFonts w:hint="eastAsia" w:ascii="仿宋" w:hAnsi="仿宋" w:eastAsia="仿宋"/>
          <w:szCs w:val="21"/>
        </w:rPr>
        <w:t>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lang w:eastAsia="zh-CN"/>
        </w:rPr>
        <w:t>☑</w:t>
      </w:r>
      <w:r>
        <w:rPr>
          <w:rFonts w:hint="eastAsia" w:ascii="仿宋" w:hAnsi="仿宋" w:eastAsia="仿宋"/>
          <w:szCs w:val="21"/>
        </w:rPr>
        <w:t>、信息科□、总务科□及其他□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lang w:val="en-US" w:eastAsia="zh-CN"/>
        </w:rPr>
        <w:t>Laszyysbk@163.com</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6"/>
          <w:rFonts w:hint="eastAsia" w:ascii="仿宋" w:hAnsi="仿宋" w:eastAsia="仿宋" w:cs="仿宋"/>
          <w:b w:val="0"/>
          <w:bCs/>
          <w:color w:val="auto"/>
          <w:sz w:val="21"/>
          <w:szCs w:val="21"/>
          <w:lang w:eastAsia="zh-CN"/>
        </w:rPr>
        <w:t>具备</w:t>
      </w:r>
      <w:r>
        <w:rPr>
          <w:rStyle w:val="16"/>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6"/>
          <w:rFonts w:hint="eastAsia" w:ascii="仿宋" w:hAnsi="仿宋" w:eastAsia="仿宋" w:cs="仿宋"/>
          <w:b/>
          <w:bCs w:val="0"/>
          <w:color w:val="auto"/>
          <w:sz w:val="21"/>
          <w:szCs w:val="21"/>
          <w:lang w:eastAsia="zh-CN"/>
        </w:rPr>
        <w:t>或具备</w:t>
      </w:r>
      <w:r>
        <w:rPr>
          <w:rStyle w:val="16"/>
          <w:rFonts w:hint="eastAsia" w:ascii="仿宋" w:hAnsi="仿宋" w:eastAsia="仿宋" w:cs="仿宋"/>
          <w:b/>
          <w:bCs w:val="0"/>
          <w:color w:val="auto"/>
          <w:sz w:val="21"/>
          <w:szCs w:val="21"/>
          <w:lang w:val="en-US" w:eastAsia="zh-CN"/>
        </w:rPr>
        <w:t>CMA【或CNAS】资质检测机构）</w:t>
      </w:r>
      <w:r>
        <w:rPr>
          <w:rStyle w:val="16"/>
          <w:rFonts w:hint="eastAsia" w:ascii="仿宋" w:hAnsi="仿宋" w:eastAsia="仿宋" w:cs="仿宋"/>
          <w:b w:val="0"/>
          <w:bCs/>
          <w:color w:val="auto"/>
          <w:sz w:val="21"/>
          <w:szCs w:val="21"/>
          <w:lang w:val="en-US" w:eastAsia="zh-CN"/>
        </w:rPr>
        <w:t>出具的</w:t>
      </w:r>
      <w:r>
        <w:rPr>
          <w:rStyle w:val="16"/>
          <w:rFonts w:hint="eastAsia" w:ascii="仿宋" w:hAnsi="仿宋" w:eastAsia="仿宋" w:cs="仿宋"/>
          <w:b w:val="0"/>
          <w:bCs/>
          <w:color w:val="auto"/>
          <w:sz w:val="21"/>
          <w:szCs w:val="21"/>
        </w:rPr>
        <w:t>质检报告原件扫描件</w:t>
      </w:r>
      <w:r>
        <w:rPr>
          <w:rStyle w:val="16"/>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6"/>
          <w:rFonts w:hint="eastAsia" w:ascii="仿宋" w:hAnsi="仿宋" w:eastAsia="仿宋" w:cs="仿宋"/>
          <w:b w:val="0"/>
          <w:bCs/>
          <w:color w:val="auto"/>
          <w:sz w:val="21"/>
          <w:szCs w:val="21"/>
        </w:rPr>
        <w:t>食药监局</w:t>
      </w:r>
      <w:r>
        <w:rPr>
          <w:rStyle w:val="16"/>
          <w:rFonts w:hint="eastAsia" w:ascii="仿宋" w:hAnsi="仿宋" w:eastAsia="仿宋" w:cs="仿宋"/>
          <w:b w:val="0"/>
          <w:bCs/>
          <w:color w:val="auto"/>
          <w:sz w:val="21"/>
          <w:szCs w:val="21"/>
          <w:lang w:eastAsia="zh-CN"/>
        </w:rPr>
        <w:t>或</w:t>
      </w:r>
      <w:r>
        <w:rPr>
          <w:rStyle w:val="16"/>
          <w:rFonts w:hint="eastAsia" w:ascii="仿宋" w:hAnsi="仿宋" w:eastAsia="仿宋" w:cs="仿宋"/>
          <w:b w:val="0"/>
          <w:bCs/>
          <w:color w:val="auto"/>
          <w:sz w:val="21"/>
          <w:szCs w:val="21"/>
        </w:rPr>
        <w:t>其下属单位</w:t>
      </w:r>
      <w:r>
        <w:rPr>
          <w:rStyle w:val="16"/>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1"/>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1941"/>
        <w:gridCol w:w="1065"/>
        <w:gridCol w:w="810"/>
        <w:gridCol w:w="2040"/>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15"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81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40"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34"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194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6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10" w:type="dxa"/>
            <w:vMerge w:val="continue"/>
          </w:tcPr>
          <w:p>
            <w:pPr>
              <w:spacing w:line="320" w:lineRule="exact"/>
              <w:rPr>
                <w:rFonts w:ascii="仿宋" w:hAnsi="仿宋" w:eastAsia="仿宋"/>
                <w:b w:val="0"/>
                <w:bCs/>
                <w:szCs w:val="21"/>
              </w:rPr>
            </w:pPr>
          </w:p>
        </w:tc>
        <w:tc>
          <w:tcPr>
            <w:tcW w:w="2040"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全中文触摸屏操作系统，显示屏≥15英寸 </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屏幕显示主要参数包括：动脉压、静脉压、总电导度、碳酸电导度、温度、透析液流量、血流量、超滤量 </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动脉压监测和显示范围: -300～＋300 mmHg </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静脉压监测和显示范围: -50～＋350 mmHg </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跨膜压监测范围: ﹣80mmHg～﹢500 mmHg </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血泵流量: 0，100～600ml/min可调 </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血流量调节梯度（步长）10ml/min </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肝素注射: 0.1～10ml/h可编写停止时间，读数累积肝素容量，肝素泵有自动注入和追加功能 </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透析液流量: 350～800ml/min </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透析液流量：1ml可调 </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透析液温度控制范围: 33℃～40℃ </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透析液导电率监测范围: 12.5～16ms/cm </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反馈式电导度监测及配比机制，可分别监测B液电导度与总电导度 </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待机模式时，透析液一侧关闭，不吸取AB液， 节省透析液 </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漏血检测与报警:光学原理检测 </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超滤方式: 双容量式平衡腔控制（可探测膜位移），单个平衡腔容量≤50ml </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超滤率: 0～4L/h 超滤精度±1% </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超滤曲线: ≥25种（可存储设定曲线） </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具有钠离子曲线，碳酸盐曲线，肝素曲线，透析液流量曲线，透析液温度曲线等个性化曲线，提供个体化透析方案 </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具有透析过程中快速补液功能，能够自动累计计算总补液量，便于干体重计算。 </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配有透析液过滤器及支架，可过滤透析液。每支透析液过滤器可使用150人次或900小时。 </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消毒及清洗: 具备化学方式消毒，热消毒，可脱钙消毒同时完成，机器自动存150次消毒记录。 </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可保存治疗方案与治疗结果，自动保存至少20次病人治疗记录 </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有数据输出装置（数据直接输出或数据输出接口），能与透析数据管理软件相连 </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水供应，水压：0.5-6.0bar，入水温度：10-30度 </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具有完备的血路管密闭自检功能，自身具有维修菜单 </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符合 GB9706.1, GB 9706. 2 安全标准； </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电源: 交流230V±10%(或220V),频率50～60Hz </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后备电池: 标配内置电池,保证机器停电后最少使用≥15分钟,并且不丢失数据；同时压力监测，漏血和气泡检测正常工作 </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机器使用寿命：≥10年或≥3万小时。 </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pStyle w:val="9"/>
              <w:numPr>
                <w:ilvl w:val="0"/>
                <w:numId w:val="0"/>
              </w:numPr>
              <w:spacing w:line="320" w:lineRule="exact"/>
              <w:ind w:left="0" w:leftChars="0" w:firstLine="0" w:firstLineChars="0"/>
              <w:rPr>
                <w:rFonts w:ascii="仿宋" w:hAnsi="仿宋" w:eastAsia="仿宋"/>
                <w:b w:val="0"/>
                <w:bCs/>
                <w:szCs w:val="21"/>
              </w:rPr>
            </w:pPr>
            <w:r>
              <w:rPr>
                <w:rFonts w:hint="eastAsia" w:ascii="仿宋" w:hAnsi="仿宋" w:eastAsia="仿宋" w:cs="仿宋"/>
                <w:sz w:val="24"/>
                <w:szCs w:val="24"/>
                <w:lang w:val="en-US" w:eastAsia="zh-CN"/>
              </w:rPr>
              <w:t>整机免费保修三年（含所有零部件，包括须定期更换零部件）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1"/>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10"/>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10"/>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5"/>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2E06E49"/>
    <w:multiLevelType w:val="singleLevel"/>
    <w:tmpl w:val="12E06E49"/>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1237E6"/>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A11E9"/>
    <w:rsid w:val="335210D7"/>
    <w:rsid w:val="33CA5BC8"/>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51A53"/>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Body Text Indent"/>
    <w:basedOn w:val="1"/>
    <w:semiHidden/>
    <w:unhideWhenUsed/>
    <w:qFormat/>
    <w:uiPriority w:val="99"/>
    <w:pPr>
      <w:spacing w:after="120"/>
      <w:ind w:left="420" w:leftChars="200"/>
    </w:p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semiHidden/>
    <w:unhideWhenUsed/>
    <w:qFormat/>
    <w:uiPriority w:val="99"/>
    <w:pPr>
      <w:ind w:firstLine="420" w:firstLineChars="200"/>
    </w:p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3">
    <w:name w:val="页眉 Char"/>
    <w:basedOn w:val="12"/>
    <w:link w:val="8"/>
    <w:semiHidden/>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6">
    <w:name w:val="NormalCharacter"/>
    <w:qFormat/>
    <w:uiPriority w:val="0"/>
  </w:style>
  <w:style w:type="paragraph" w:customStyle="1" w:styleId="17">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1160</Words>
  <Characters>1208</Characters>
  <Lines>6</Lines>
  <Paragraphs>1</Paragraphs>
  <TotalTime>1</TotalTime>
  <ScaleCrop>false</ScaleCrop>
  <LinksUpToDate>false</LinksUpToDate>
  <CharactersWithSpaces>1380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2023-04-14T09:42:55Z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89D27BE2C841473DB3462C2E31D90240</vt:lpwstr>
  </property>
  <property fmtid="{D5CDD505-2E9C-101B-9397-08002B2CF9AE}" pid="4" name="commondata">
    <vt:lpwstr>eyJoZGlkIjoiNzljOTE0MDRlMmUyY2M3ZGQ4Nzk0OWRiOWI1OGE3ZmYifQ==</vt:lpwstr>
  </property>
</Properties>
</file>