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Edge加速器</w:t>
      </w:r>
      <w:bookmarkStart w:id="0" w:name="_GoBack"/>
      <w:bookmarkEnd w:id="0"/>
      <w:r>
        <w:rPr>
          <w:rFonts w:hint="eastAsia" w:asciiTheme="majorEastAsia" w:hAnsiTheme="majorEastAsia" w:eastAsiaTheme="majorEastAsia"/>
          <w:b/>
          <w:sz w:val="32"/>
          <w:szCs w:val="32"/>
          <w:u w:val="single"/>
          <w:lang w:eastAsia="zh-CN"/>
        </w:rPr>
        <w:t>保修服务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laszyyygb@163.com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1050"/>
        <w:gridCol w:w="3465"/>
        <w:gridCol w:w="711"/>
        <w:gridCol w:w="747"/>
        <w:gridCol w:w="732"/>
        <w:gridCol w:w="1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6"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47"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732"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06"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5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4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1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47"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732"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306"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eastAsia="zh-CN"/>
              </w:rPr>
            </w:pPr>
            <w:r>
              <w:rPr>
                <w:rFonts w:hint="eastAsia" w:ascii="仿宋" w:hAnsi="仿宋" w:eastAsia="仿宋"/>
                <w:b w:val="0"/>
                <w:bCs/>
                <w:sz w:val="24"/>
                <w:szCs w:val="24"/>
                <w:lang w:val="en-US" w:eastAsia="zh-CN"/>
              </w:rPr>
              <w:t>1</w:t>
            </w: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r>
              <w:rPr>
                <w:rFonts w:hint="eastAsia" w:ascii="宋体" w:hAnsi="宋体" w:eastAsia="宋体" w:cs="宋体"/>
                <w:i w:val="0"/>
                <w:iCs w:val="0"/>
                <w:color w:val="000000"/>
                <w:kern w:val="0"/>
                <w:sz w:val="24"/>
                <w:szCs w:val="24"/>
                <w:u w:val="none"/>
                <w:lang w:val="en-US" w:eastAsia="zh-CN" w:bidi="ar"/>
              </w:rPr>
              <w:t>开机率保证</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Style w:val="19"/>
                <w:rFonts w:eastAsia="宋体"/>
                <w:sz w:val="24"/>
                <w:szCs w:val="24"/>
                <w:lang w:val="en-US" w:eastAsia="zh-CN" w:bidi="ar"/>
              </w:rPr>
              <w:t>95%</w:t>
            </w:r>
            <w:r>
              <w:rPr>
                <w:rStyle w:val="20"/>
                <w:sz w:val="24"/>
                <w:szCs w:val="24"/>
                <w:lang w:val="en-US" w:eastAsia="zh-CN" w:bidi="ar"/>
              </w:rPr>
              <w:t>以上确保临床治疗（按一年</w:t>
            </w:r>
            <w:r>
              <w:rPr>
                <w:rStyle w:val="19"/>
                <w:rFonts w:eastAsia="宋体"/>
                <w:sz w:val="24"/>
                <w:szCs w:val="24"/>
                <w:lang w:val="en-US" w:eastAsia="zh-CN" w:bidi="ar"/>
              </w:rPr>
              <w:t>252</w:t>
            </w:r>
            <w:r>
              <w:rPr>
                <w:rStyle w:val="20"/>
                <w:sz w:val="24"/>
                <w:szCs w:val="24"/>
                <w:lang w:val="en-US" w:eastAsia="zh-CN" w:bidi="ar"/>
              </w:rPr>
              <w:t>天计算）超过一天保修顺延</w:t>
            </w:r>
            <w:r>
              <w:rPr>
                <w:rStyle w:val="19"/>
                <w:rFonts w:eastAsia="宋体"/>
                <w:sz w:val="24"/>
                <w:szCs w:val="24"/>
                <w:lang w:val="en-US" w:eastAsia="zh-CN" w:bidi="ar"/>
              </w:rPr>
              <w:t>4</w:t>
            </w:r>
            <w:r>
              <w:rPr>
                <w:rStyle w:val="20"/>
                <w:sz w:val="24"/>
                <w:szCs w:val="24"/>
                <w:lang w:val="en-US" w:eastAsia="zh-CN" w:bidi="ar"/>
              </w:rPr>
              <w:t>天</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hint="eastAsia" w:ascii="仿宋" w:hAnsi="仿宋" w:eastAsia="仿宋"/>
                <w:b w:val="0"/>
                <w:bCs/>
                <w:szCs w:val="21"/>
                <w:lang w:eastAsia="zh-CN"/>
              </w:rPr>
            </w:pPr>
          </w:p>
        </w:tc>
        <w:tc>
          <w:tcPr>
            <w:tcW w:w="732" w:type="dxa"/>
          </w:tcPr>
          <w:p>
            <w:pPr>
              <w:spacing w:line="320" w:lineRule="exact"/>
              <w:rPr>
                <w:rFonts w:hint="eastAsia" w:ascii="仿宋" w:hAnsi="仿宋" w:eastAsia="仿宋"/>
                <w:b w:val="0"/>
                <w:bCs/>
                <w:szCs w:val="21"/>
                <w:lang w:eastAsia="zh-CN"/>
              </w:rPr>
            </w:pPr>
          </w:p>
        </w:tc>
        <w:tc>
          <w:tcPr>
            <w:tcW w:w="1306"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val="en-US" w:eastAsia="zh-CN"/>
              </w:rPr>
            </w:pPr>
            <w:r>
              <w:rPr>
                <w:rFonts w:hint="eastAsia" w:ascii="仿宋" w:hAnsi="仿宋" w:eastAsia="仿宋"/>
                <w:b w:val="0"/>
                <w:bCs/>
                <w:sz w:val="24"/>
                <w:szCs w:val="24"/>
                <w:lang w:val="en-US" w:eastAsia="zh-CN"/>
              </w:rPr>
              <w:t>2</w:t>
            </w: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r>
              <w:rPr>
                <w:rFonts w:hint="eastAsia" w:ascii="宋体" w:hAnsi="宋体" w:eastAsia="宋体" w:cs="宋体"/>
                <w:i w:val="0"/>
                <w:iCs w:val="0"/>
                <w:color w:val="000000"/>
                <w:kern w:val="0"/>
                <w:sz w:val="24"/>
                <w:szCs w:val="24"/>
                <w:u w:val="none"/>
                <w:lang w:val="en-US" w:eastAsia="zh-CN" w:bidi="ar"/>
              </w:rPr>
              <w:t>响应时间</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Style w:val="20"/>
                <w:sz w:val="24"/>
                <w:szCs w:val="24"/>
                <w:lang w:val="en-US" w:eastAsia="zh-CN" w:bidi="ar"/>
              </w:rPr>
              <w:t>1小时响应，工程师12小时之内到场，备件24小时之内到场</w:t>
            </w:r>
            <w:r>
              <w:rPr>
                <w:rStyle w:val="19"/>
                <w:rFonts w:eastAsia="宋体"/>
                <w:sz w:val="24"/>
                <w:szCs w:val="24"/>
                <w:lang w:val="en-US" w:eastAsia="zh-CN" w:bidi="ar"/>
              </w:rPr>
              <w:t>(</w:t>
            </w:r>
            <w:r>
              <w:rPr>
                <w:rStyle w:val="20"/>
                <w:sz w:val="24"/>
                <w:szCs w:val="24"/>
                <w:lang w:val="en-US" w:eastAsia="zh-CN" w:bidi="ar"/>
              </w:rPr>
              <w:t>不可抗逆因素除外</w:t>
            </w:r>
            <w:r>
              <w:rPr>
                <w:rStyle w:val="19"/>
                <w:rFonts w:eastAsia="宋体"/>
                <w:sz w:val="24"/>
                <w:szCs w:val="24"/>
                <w:lang w:val="en-US" w:eastAsia="zh-CN" w:bidi="ar"/>
              </w:rPr>
              <w:t>)</w:t>
            </w:r>
            <w:r>
              <w:rPr>
                <w:rStyle w:val="20"/>
                <w:sz w:val="24"/>
                <w:szCs w:val="24"/>
                <w:lang w:val="en-US" w:eastAsia="zh-CN" w:bidi="ar"/>
              </w:rPr>
              <w:t>。</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Chars="0"/>
              <w:jc w:val="center"/>
              <w:rPr>
                <w:rFonts w:hint="eastAsia" w:ascii="仿宋" w:hAnsi="仿宋" w:eastAsia="仿宋"/>
                <w:b w:val="0"/>
                <w:bCs/>
                <w:sz w:val="24"/>
                <w:szCs w:val="24"/>
                <w:lang w:eastAsia="zh-CN"/>
              </w:rPr>
            </w:pPr>
            <w:r>
              <w:rPr>
                <w:rFonts w:hint="eastAsia" w:ascii="仿宋" w:hAnsi="仿宋" w:eastAsia="仿宋"/>
                <w:b w:val="0"/>
                <w:bCs/>
                <w:sz w:val="24"/>
                <w:szCs w:val="24"/>
                <w:lang w:val="en-US" w:eastAsia="zh-CN"/>
              </w:rPr>
              <w:t>3</w:t>
            </w: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r>
              <w:rPr>
                <w:rFonts w:hint="eastAsia" w:ascii="宋体" w:hAnsi="宋体" w:eastAsia="宋体" w:cs="宋体"/>
                <w:i w:val="0"/>
                <w:iCs w:val="0"/>
                <w:color w:val="000000"/>
                <w:kern w:val="0"/>
                <w:sz w:val="24"/>
                <w:szCs w:val="24"/>
                <w:u w:val="none"/>
                <w:lang w:val="en-US" w:eastAsia="zh-CN" w:bidi="ar"/>
              </w:rPr>
              <w:t>质量保证</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维保期内提供无限次免费维修、零配件更换和维修劳务等各种服务，保证设备不低于设备验收标准且满足SRS相关治疗标准。</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jc w:val="center"/>
              <w:rPr>
                <w:rFonts w:hint="eastAsia" w:ascii="仿宋" w:hAnsi="仿宋" w:eastAsia="仿宋"/>
                <w:b w:val="0"/>
                <w:bCs/>
                <w:sz w:val="24"/>
                <w:szCs w:val="24"/>
                <w:lang w:eastAsia="zh-CN"/>
              </w:rPr>
            </w:pPr>
            <w:r>
              <w:rPr>
                <w:rFonts w:hint="eastAsia" w:ascii="仿宋" w:hAnsi="仿宋" w:eastAsia="仿宋"/>
                <w:b w:val="0"/>
                <w:bCs/>
                <w:sz w:val="24"/>
                <w:szCs w:val="24"/>
                <w:lang w:val="en-US" w:eastAsia="zh-CN"/>
              </w:rPr>
              <w:t>4</w:t>
            </w: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r>
              <w:rPr>
                <w:rFonts w:hint="eastAsia" w:ascii="宋体" w:hAnsi="宋体" w:eastAsia="宋体" w:cs="宋体"/>
                <w:i w:val="0"/>
                <w:iCs w:val="0"/>
                <w:color w:val="000000"/>
                <w:kern w:val="0"/>
                <w:sz w:val="24"/>
                <w:szCs w:val="24"/>
                <w:u w:val="none"/>
                <w:lang w:val="en-US" w:eastAsia="zh-CN" w:bidi="ar"/>
              </w:rPr>
              <w:t>安全升级</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保修期内提供设备原厂规定的安全升级(免费提供设备的系统软件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升级补丁和技术支持，以提高设备的安全性和性能(需提供该设备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制造商或其直属机构的盖章证明材料)。</w:t>
            </w:r>
          </w:p>
        </w:tc>
        <w:tc>
          <w:tcPr>
            <w:tcW w:w="711"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r>
              <w:rPr>
                <w:rFonts w:hint="eastAsia" w:ascii="仿宋" w:hAnsi="仿宋" w:eastAsia="仿宋"/>
                <w:b w:val="0"/>
                <w:bCs/>
                <w:sz w:val="24"/>
                <w:szCs w:val="24"/>
                <w:lang w:val="en-US" w:eastAsia="zh-CN"/>
              </w:rPr>
              <w:t>5</w:t>
            </w: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r>
              <w:rPr>
                <w:rFonts w:hint="eastAsia" w:ascii="宋体" w:hAnsi="宋体" w:eastAsia="宋体" w:cs="宋体"/>
                <w:i w:val="0"/>
                <w:iCs w:val="0"/>
                <w:color w:val="000000"/>
                <w:kern w:val="0"/>
                <w:sz w:val="24"/>
                <w:szCs w:val="24"/>
                <w:u w:val="none"/>
                <w:lang w:val="en-US" w:eastAsia="zh-CN" w:bidi="ar"/>
              </w:rPr>
              <w:t>保养标准</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提供季度保养，每年一次和更换影响剂量稳定性、均匀性等重要配件时须采用三维水箱进行加速器剂量性能检测，使之保持原厂QC 标准或国家质量计监部门之标准，并能提供原厂技术组长或技术支持专家审核合格的 PM report，包含但不限于如下项目:设备清洁、性能测试及校准、必要的电气环境检测等。同时需将检测数据提供给招标方保存备案，检测数据经招标人认可后，方可支付本年度保修款。</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r>
              <w:rPr>
                <w:rFonts w:hint="eastAsia" w:ascii="仿宋" w:hAnsi="仿宋" w:eastAsia="仿宋"/>
                <w:b w:val="0"/>
                <w:bCs/>
                <w:sz w:val="24"/>
                <w:szCs w:val="24"/>
                <w:lang w:val="en-US" w:eastAsia="zh-CN"/>
              </w:rPr>
              <w:t>6</w:t>
            </w: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r>
              <w:rPr>
                <w:rFonts w:hint="eastAsia" w:ascii="宋体" w:hAnsi="宋体" w:eastAsia="宋体" w:cs="宋体"/>
                <w:i w:val="0"/>
                <w:iCs w:val="0"/>
                <w:color w:val="000000"/>
                <w:kern w:val="0"/>
                <w:sz w:val="24"/>
                <w:szCs w:val="24"/>
                <w:u w:val="none"/>
                <w:lang w:val="en-US" w:eastAsia="zh-CN" w:bidi="ar"/>
              </w:rPr>
              <w:t>报修途径</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Style w:val="20"/>
                <w:sz w:val="24"/>
                <w:szCs w:val="24"/>
                <w:lang w:val="en-US" w:eastAsia="zh-CN" w:bidi="ar"/>
              </w:rPr>
              <w:t>需有专业的</w:t>
            </w:r>
            <w:r>
              <w:rPr>
                <w:rStyle w:val="19"/>
                <w:rFonts w:eastAsia="宋体"/>
                <w:sz w:val="24"/>
                <w:szCs w:val="24"/>
                <w:lang w:val="en-US" w:eastAsia="zh-CN" w:bidi="ar"/>
              </w:rPr>
              <w:t>400</w:t>
            </w:r>
            <w:r>
              <w:rPr>
                <w:rStyle w:val="20"/>
                <w:sz w:val="24"/>
                <w:szCs w:val="24"/>
                <w:lang w:val="en-US" w:eastAsia="zh-CN" w:bidi="ar"/>
              </w:rPr>
              <w:t>电话以及微信的报修流程。</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7" w:hRule="atLeast"/>
        </w:trPr>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r>
              <w:rPr>
                <w:rFonts w:hint="eastAsia" w:ascii="仿宋" w:hAnsi="仿宋" w:eastAsia="仿宋"/>
                <w:b w:val="0"/>
                <w:bCs/>
                <w:sz w:val="24"/>
                <w:szCs w:val="24"/>
                <w:lang w:val="en-US" w:eastAsia="zh-CN"/>
              </w:rPr>
              <w:t>7</w:t>
            </w:r>
          </w:p>
        </w:tc>
        <w:tc>
          <w:tcPr>
            <w:tcW w:w="1050" w:type="dxa"/>
            <w:vAlign w:val="center"/>
          </w:tcPr>
          <w:p>
            <w:pPr>
              <w:keepNext w:val="0"/>
              <w:keepLines w:val="0"/>
              <w:widowControl/>
              <w:suppressLineNumbers w:val="0"/>
              <w:jc w:val="both"/>
              <w:textAlignment w:val="center"/>
              <w:rPr>
                <w:rFonts w:ascii="仿宋" w:hAnsi="仿宋" w:eastAsia="仿宋"/>
                <w:b w:val="0"/>
                <w:bCs/>
                <w:sz w:val="24"/>
                <w:szCs w:val="24"/>
              </w:rPr>
            </w:pPr>
            <w:r>
              <w:rPr>
                <w:rFonts w:hint="eastAsia" w:ascii="宋体" w:hAnsi="宋体" w:eastAsia="宋体" w:cs="宋体"/>
                <w:i w:val="0"/>
                <w:iCs w:val="0"/>
                <w:color w:val="000000"/>
                <w:kern w:val="0"/>
                <w:sz w:val="24"/>
                <w:szCs w:val="24"/>
                <w:u w:val="none"/>
                <w:lang w:val="en-US" w:eastAsia="zh-CN" w:bidi="ar"/>
              </w:rPr>
              <w:t>维修备件标准</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维修更换所提供的零备件必须为原厂认证全新未使用过的零备件。</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r>
              <w:rPr>
                <w:rFonts w:hint="eastAsia" w:ascii="仿宋" w:hAnsi="仿宋" w:eastAsia="仿宋"/>
                <w:b w:val="0"/>
                <w:bCs/>
                <w:sz w:val="24"/>
                <w:szCs w:val="24"/>
                <w:lang w:val="en-US" w:eastAsia="zh-CN"/>
              </w:rPr>
              <w:t>8</w:t>
            </w: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r>
              <w:rPr>
                <w:rFonts w:hint="eastAsia" w:ascii="宋体" w:hAnsi="宋体" w:eastAsia="宋体" w:cs="宋体"/>
                <w:i w:val="0"/>
                <w:iCs w:val="0"/>
                <w:color w:val="000000"/>
                <w:kern w:val="0"/>
                <w:sz w:val="24"/>
                <w:szCs w:val="24"/>
                <w:u w:val="none"/>
                <w:lang w:val="en-US" w:eastAsia="zh-CN" w:bidi="ar"/>
              </w:rPr>
              <w:t>备件来源</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Style w:val="20"/>
                <w:sz w:val="24"/>
                <w:szCs w:val="24"/>
                <w:lang w:val="en-US" w:eastAsia="zh-CN" w:bidi="ar"/>
              </w:rPr>
              <w:t xml:space="preserve"> 提供</w:t>
            </w:r>
            <w:r>
              <w:rPr>
                <w:rStyle w:val="19"/>
                <w:rFonts w:eastAsia="宋体"/>
                <w:sz w:val="24"/>
                <w:szCs w:val="24"/>
                <w:lang w:val="en-US" w:eastAsia="zh-CN" w:bidi="ar"/>
              </w:rPr>
              <w:t xml:space="preserve">2021 </w:t>
            </w:r>
            <w:r>
              <w:rPr>
                <w:rStyle w:val="20"/>
                <w:sz w:val="24"/>
                <w:szCs w:val="24"/>
                <w:lang w:val="en-US" w:eastAsia="zh-CN" w:bidi="ar"/>
              </w:rPr>
              <w:t>年</w:t>
            </w:r>
            <w:r>
              <w:rPr>
                <w:rStyle w:val="19"/>
                <w:rFonts w:eastAsia="宋体"/>
                <w:sz w:val="24"/>
                <w:szCs w:val="24"/>
                <w:lang w:val="en-US" w:eastAsia="zh-CN" w:bidi="ar"/>
              </w:rPr>
              <w:t>1</w:t>
            </w:r>
            <w:r>
              <w:rPr>
                <w:rStyle w:val="20"/>
                <w:sz w:val="24"/>
                <w:szCs w:val="24"/>
                <w:lang w:val="en-US" w:eastAsia="zh-CN" w:bidi="ar"/>
              </w:rPr>
              <w:t>月</w:t>
            </w:r>
            <w:r>
              <w:rPr>
                <w:rStyle w:val="19"/>
                <w:rFonts w:eastAsia="宋体"/>
                <w:sz w:val="24"/>
                <w:szCs w:val="24"/>
                <w:lang w:val="en-US" w:eastAsia="zh-CN" w:bidi="ar"/>
              </w:rPr>
              <w:t xml:space="preserve">1 </w:t>
            </w:r>
            <w:r>
              <w:rPr>
                <w:rStyle w:val="20"/>
                <w:sz w:val="24"/>
                <w:szCs w:val="24"/>
                <w:lang w:val="en-US" w:eastAsia="zh-CN" w:bidi="ar"/>
              </w:rPr>
              <w:t xml:space="preserve">日以来 </w:t>
            </w:r>
            <w:r>
              <w:rPr>
                <w:rStyle w:val="19"/>
                <w:rFonts w:eastAsia="宋体"/>
                <w:sz w:val="24"/>
                <w:szCs w:val="24"/>
                <w:lang w:val="en-US" w:eastAsia="zh-CN" w:bidi="ar"/>
              </w:rPr>
              <w:t>EDGE</w:t>
            </w:r>
            <w:r>
              <w:rPr>
                <w:rStyle w:val="20"/>
                <w:sz w:val="24"/>
                <w:szCs w:val="24"/>
                <w:lang w:val="en-US" w:eastAsia="zh-CN" w:bidi="ar"/>
              </w:rPr>
              <w:t>设备的加速器的海关进口报关单。</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eastAsia" w:ascii="仿宋" w:hAnsi="仿宋" w:eastAsia="仿宋"/>
                <w:b w:val="0"/>
                <w:bCs/>
                <w:sz w:val="24"/>
                <w:szCs w:val="24"/>
                <w:lang w:eastAsia="zh-CN"/>
              </w:rPr>
            </w:pPr>
            <w:r>
              <w:rPr>
                <w:rFonts w:hint="eastAsia" w:ascii="仿宋" w:hAnsi="仿宋" w:eastAsia="仿宋"/>
                <w:b w:val="0"/>
                <w:bCs/>
                <w:sz w:val="24"/>
                <w:szCs w:val="24"/>
                <w:lang w:val="en-US" w:eastAsia="zh-CN"/>
              </w:rPr>
              <w:t>9</w:t>
            </w:r>
          </w:p>
        </w:tc>
        <w:tc>
          <w:tcPr>
            <w:tcW w:w="1050" w:type="dxa"/>
            <w:vAlign w:val="center"/>
          </w:tcPr>
          <w:p>
            <w:pPr>
              <w:keepNext w:val="0"/>
              <w:keepLines w:val="0"/>
              <w:widowControl/>
              <w:suppressLineNumbers w:val="0"/>
              <w:jc w:val="center"/>
              <w:textAlignment w:val="center"/>
              <w:rPr>
                <w:rFonts w:ascii="仿宋" w:hAnsi="仿宋" w:eastAsia="仿宋"/>
                <w:b w:val="0"/>
                <w:bCs/>
                <w:sz w:val="24"/>
                <w:szCs w:val="24"/>
              </w:rPr>
            </w:pPr>
            <w:r>
              <w:rPr>
                <w:rFonts w:hint="eastAsia" w:ascii="宋体" w:hAnsi="宋体" w:eastAsia="宋体" w:cs="宋体"/>
                <w:i w:val="0"/>
                <w:iCs w:val="0"/>
                <w:color w:val="000000"/>
                <w:kern w:val="0"/>
                <w:sz w:val="24"/>
                <w:szCs w:val="24"/>
                <w:u w:val="none"/>
                <w:lang w:val="en-US" w:eastAsia="zh-CN" w:bidi="ar"/>
              </w:rPr>
              <w:t>网络的维修</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Style w:val="19"/>
                <w:rFonts w:eastAsia="宋体"/>
                <w:sz w:val="24"/>
                <w:szCs w:val="24"/>
                <w:lang w:val="en-US" w:eastAsia="zh-CN" w:bidi="ar"/>
              </w:rPr>
              <w:t xml:space="preserve">ARIA </w:t>
            </w:r>
            <w:r>
              <w:rPr>
                <w:rStyle w:val="20"/>
                <w:sz w:val="24"/>
                <w:szCs w:val="24"/>
                <w:lang w:val="en-US" w:eastAsia="zh-CN" w:bidi="ar"/>
              </w:rPr>
              <w:t>网络系统、</w:t>
            </w:r>
            <w:r>
              <w:rPr>
                <w:rStyle w:val="19"/>
                <w:rFonts w:eastAsia="宋体"/>
                <w:sz w:val="24"/>
                <w:szCs w:val="24"/>
                <w:lang w:val="en-US" w:eastAsia="zh-CN" w:bidi="ar"/>
              </w:rPr>
              <w:t>TPS Eclipse</w:t>
            </w:r>
            <w:r>
              <w:rPr>
                <w:rStyle w:val="20"/>
                <w:sz w:val="24"/>
                <w:szCs w:val="24"/>
                <w:lang w:val="en-US" w:eastAsia="zh-CN" w:bidi="ar"/>
              </w:rPr>
              <w:t>系统必须是原厂授权的正本软件，如果是非原厂维修公司，需要提供原厂授权证书。在服务期间，因零备件和网络服务问题被国家药监局检查为不合格，投标单位需要承担一切相关责任。</w:t>
            </w:r>
          </w:p>
        </w:tc>
        <w:tc>
          <w:tcPr>
            <w:tcW w:w="711"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10</w:t>
            </w:r>
          </w:p>
        </w:tc>
        <w:tc>
          <w:tcPr>
            <w:tcW w:w="1050" w:type="dxa"/>
            <w:vAlign w:val="center"/>
          </w:tcPr>
          <w:p>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修技术支持</w:t>
            </w:r>
          </w:p>
        </w:tc>
        <w:tc>
          <w:tcPr>
            <w:tcW w:w="3465" w:type="dxa"/>
            <w:vAlign w:val="center"/>
          </w:tcPr>
          <w:p>
            <w:pPr>
              <w:keepNext w:val="0"/>
              <w:keepLines w:val="0"/>
              <w:widowControl/>
              <w:suppressLineNumbers w:val="0"/>
              <w:jc w:val="both"/>
              <w:textAlignment w:val="center"/>
              <w:rPr>
                <w:rFonts w:hint="default" w:ascii="仿宋" w:hAnsi="仿宋" w:eastAsia="仿宋" w:cs="仿宋"/>
                <w:kern w:val="2"/>
                <w:sz w:val="24"/>
                <w:szCs w:val="24"/>
                <w:lang w:val="en-US" w:eastAsia="zh-CN" w:bidi="ar-SA"/>
              </w:rPr>
            </w:pPr>
            <w:r>
              <w:rPr>
                <w:rStyle w:val="20"/>
                <w:sz w:val="24"/>
                <w:szCs w:val="24"/>
                <w:lang w:val="en-US" w:eastAsia="zh-CN" w:bidi="ar"/>
              </w:rPr>
              <w:t>投标人或投标人所代理的维修服务机构的维修工程师，需有权限访问原厂的全球维修经验数据库，能提供有效的访问用户名和访问证明以供核实</w:t>
            </w:r>
            <w:r>
              <w:rPr>
                <w:rStyle w:val="19"/>
                <w:rFonts w:eastAsia="宋体"/>
                <w:sz w:val="24"/>
                <w:szCs w:val="24"/>
                <w:lang w:val="en-US" w:eastAsia="zh-CN" w:bidi="ar"/>
              </w:rPr>
              <w:t>(</w:t>
            </w:r>
            <w:r>
              <w:rPr>
                <w:rStyle w:val="20"/>
                <w:sz w:val="24"/>
                <w:szCs w:val="24"/>
                <w:lang w:val="en-US" w:eastAsia="zh-CN" w:bidi="ar"/>
              </w:rPr>
              <w:t>需要加盖制造商或其直属机构公章</w:t>
            </w:r>
            <w:r>
              <w:rPr>
                <w:rStyle w:val="19"/>
                <w:rFonts w:eastAsia="宋体"/>
                <w:sz w:val="24"/>
                <w:szCs w:val="24"/>
                <w:lang w:val="en-US" w:eastAsia="zh-CN" w:bidi="ar"/>
              </w:rPr>
              <w:t>)</w:t>
            </w:r>
            <w:r>
              <w:rPr>
                <w:rStyle w:val="20"/>
                <w:sz w:val="24"/>
                <w:szCs w:val="24"/>
                <w:lang w:val="en-US" w:eastAsia="zh-CN" w:bidi="ar"/>
              </w:rPr>
              <w:t>，并日出具这些工程师</w:t>
            </w:r>
            <w:r>
              <w:rPr>
                <w:rStyle w:val="19"/>
                <w:rFonts w:eastAsia="宋体"/>
                <w:sz w:val="24"/>
                <w:szCs w:val="24"/>
                <w:lang w:val="en-US" w:eastAsia="zh-CN" w:bidi="ar"/>
              </w:rPr>
              <w:t>6</w:t>
            </w:r>
            <w:r>
              <w:rPr>
                <w:rStyle w:val="20"/>
                <w:sz w:val="24"/>
                <w:szCs w:val="24"/>
                <w:lang w:val="en-US" w:eastAsia="zh-CN" w:bidi="ar"/>
              </w:rPr>
              <w:t>个月内的社保缴纳证明。</w:t>
            </w:r>
          </w:p>
        </w:tc>
        <w:tc>
          <w:tcPr>
            <w:tcW w:w="711"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11</w:t>
            </w: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临床应用支持</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投标人或投标人所代理的维修服务机构需具有2名以上全职的原厂认证合格的瓦里安直线加速器临床应用培训人员，提供姓名、原厂培训证书和6个月内的社保缴纳证明，并能以现场和远程的形式提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供加速器治疗操作和相应的业务拓展的专业支持。</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12</w:t>
            </w: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预防性维修</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提供基于宽带接入的加速器原厂的远程诊断系统(SmartConnect)，能够实时检测设备运行，其可远程获得加速器的工作日志及报警信息，由后台系统进行筛查提醒做预防性维修。</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13</w:t>
            </w: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核心备件更换能力</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Style w:val="20"/>
                <w:sz w:val="24"/>
                <w:szCs w:val="24"/>
                <w:lang w:val="en-US" w:eastAsia="zh-CN" w:bidi="ar"/>
              </w:rPr>
              <w:t>投标人或投标人所代理的维修服务机构具有瓦里安直线加速器</w:t>
            </w:r>
            <w:r>
              <w:rPr>
                <w:rStyle w:val="19"/>
                <w:rFonts w:eastAsia="宋体"/>
                <w:sz w:val="24"/>
                <w:szCs w:val="24"/>
                <w:lang w:val="en-US" w:eastAsia="zh-CN" w:bidi="ar"/>
              </w:rPr>
              <w:t xml:space="preserve">VitalBeam </w:t>
            </w:r>
            <w:r>
              <w:rPr>
                <w:rStyle w:val="20"/>
                <w:sz w:val="24"/>
                <w:szCs w:val="24"/>
                <w:lang w:val="en-US" w:eastAsia="zh-CN" w:bidi="ar"/>
              </w:rPr>
              <w:t>或</w:t>
            </w:r>
            <w:r>
              <w:rPr>
                <w:rStyle w:val="19"/>
                <w:rFonts w:eastAsia="宋体"/>
                <w:sz w:val="24"/>
                <w:szCs w:val="24"/>
                <w:lang w:val="en-US" w:eastAsia="zh-CN" w:bidi="ar"/>
              </w:rPr>
              <w:t xml:space="preserve">Edge </w:t>
            </w:r>
            <w:r>
              <w:rPr>
                <w:rStyle w:val="20"/>
                <w:sz w:val="24"/>
                <w:szCs w:val="24"/>
                <w:lang w:val="en-US" w:eastAsia="zh-CN" w:bidi="ar"/>
              </w:rPr>
              <w:t>或</w:t>
            </w:r>
            <w:r>
              <w:rPr>
                <w:rStyle w:val="19"/>
                <w:rFonts w:eastAsia="宋体"/>
                <w:sz w:val="24"/>
                <w:szCs w:val="24"/>
                <w:lang w:val="en-US" w:eastAsia="zh-CN" w:bidi="ar"/>
              </w:rPr>
              <w:t>TrueBeam</w:t>
            </w:r>
            <w:r>
              <w:rPr>
                <w:rStyle w:val="20"/>
                <w:sz w:val="24"/>
                <w:szCs w:val="24"/>
                <w:lang w:val="en-US" w:eastAsia="zh-CN" w:bidi="ar"/>
              </w:rPr>
              <w:t>型号的全新加速管更换能力，需提供全新加速管的进口报关单，以及更换过此备件的证明材料(有院方签字的维修工单)。</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14</w:t>
            </w: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保修服务范围</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保修范围应包括目前Edge加速器已具备的所有治疗功能，其中包含但不限于：加速器系统、治疗床系统、网络系统、呼吸门控系统、计划系统、水冷系统、配电系统、机载影像系统、激光灯系统、电脑及服务器的硬件和软件、监视对讲系统、USB电源及打印机。还应包括C-RAD光学表面追踪系统其中包含sentinel、catalyst的硬件和软件</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15</w:t>
            </w:r>
          </w:p>
        </w:tc>
        <w:tc>
          <w:tcPr>
            <w:tcW w:w="1050"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备件仓储能力</w:t>
            </w:r>
          </w:p>
        </w:tc>
        <w:tc>
          <w:tcPr>
            <w:tcW w:w="3465" w:type="dxa"/>
            <w:vAlign w:val="center"/>
          </w:tcPr>
          <w:p>
            <w:pPr>
              <w:keepNext w:val="0"/>
              <w:keepLines w:val="0"/>
              <w:widowControl/>
              <w:suppressLineNumbers w:val="0"/>
              <w:jc w:val="both"/>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提供最近的备件仓库地址，提供全新加速管，电子枪，靶，速调管，微波源等核心大型备件储备清单。</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 w:type="dxa"/>
          </w:tcPr>
          <w:p>
            <w:pPr>
              <w:numPr>
                <w:ilvl w:val="0"/>
                <w:numId w:val="0"/>
              </w:numPr>
              <w:spacing w:line="320" w:lineRule="exact"/>
              <w:ind w:left="210" w:leftChars="0"/>
              <w:rPr>
                <w:rFonts w:hint="default" w:ascii="仿宋" w:hAnsi="仿宋" w:eastAsia="仿宋"/>
                <w:b w:val="0"/>
                <w:bCs/>
                <w:sz w:val="24"/>
                <w:szCs w:val="24"/>
                <w:lang w:val="en-US" w:eastAsia="zh-CN"/>
              </w:rPr>
            </w:pPr>
            <w:r>
              <w:rPr>
                <w:rFonts w:hint="eastAsia" w:ascii="仿宋" w:hAnsi="仿宋" w:eastAsia="仿宋"/>
                <w:b w:val="0"/>
                <w:bCs/>
                <w:sz w:val="24"/>
                <w:szCs w:val="24"/>
                <w:lang w:val="en-US" w:eastAsia="zh-CN"/>
              </w:rPr>
              <w:t>16</w:t>
            </w:r>
          </w:p>
        </w:tc>
        <w:tc>
          <w:tcPr>
            <w:tcW w:w="1050"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培训</w:t>
            </w:r>
          </w:p>
        </w:tc>
        <w:tc>
          <w:tcPr>
            <w:tcW w:w="3465" w:type="dxa"/>
            <w:vAlign w:val="center"/>
          </w:tcPr>
          <w:p>
            <w:pPr>
              <w:keepNext w:val="0"/>
              <w:keepLines w:val="0"/>
              <w:widowControl/>
              <w:suppressLineNumbers w:val="0"/>
              <w:jc w:val="left"/>
              <w:textAlignment w:val="center"/>
              <w:rPr>
                <w:rFonts w:hint="eastAsia" w:ascii="仿宋" w:hAnsi="仿宋" w:eastAsia="仿宋" w:cs="仿宋"/>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每年免费对院方工程师、技术操作人员进行设备原理及故障维修方面的针对性培训，帮助工程师提高、解决故障的能力</w:t>
            </w:r>
          </w:p>
        </w:tc>
        <w:tc>
          <w:tcPr>
            <w:tcW w:w="711" w:type="dxa"/>
          </w:tcPr>
          <w:p>
            <w:pPr>
              <w:spacing w:line="320" w:lineRule="exact"/>
              <w:rPr>
                <w:rFonts w:ascii="仿宋" w:hAnsi="仿宋" w:eastAsia="仿宋"/>
                <w:b w:val="0"/>
                <w:bCs/>
                <w:szCs w:val="21"/>
              </w:rPr>
            </w:pPr>
          </w:p>
        </w:tc>
        <w:tc>
          <w:tcPr>
            <w:tcW w:w="747" w:type="dxa"/>
          </w:tcPr>
          <w:p>
            <w:pPr>
              <w:spacing w:line="320" w:lineRule="exact"/>
              <w:rPr>
                <w:rFonts w:ascii="仿宋" w:hAnsi="仿宋" w:eastAsia="仿宋"/>
                <w:b w:val="0"/>
                <w:bCs/>
                <w:szCs w:val="21"/>
              </w:rPr>
            </w:pPr>
          </w:p>
        </w:tc>
        <w:tc>
          <w:tcPr>
            <w:tcW w:w="732" w:type="dxa"/>
          </w:tcPr>
          <w:p>
            <w:pPr>
              <w:spacing w:line="320" w:lineRule="exact"/>
              <w:rPr>
                <w:rFonts w:ascii="仿宋" w:hAnsi="仿宋" w:eastAsia="仿宋"/>
                <w:b w:val="0"/>
                <w:bCs/>
                <w:szCs w:val="21"/>
              </w:rPr>
            </w:pPr>
          </w:p>
        </w:tc>
        <w:tc>
          <w:tcPr>
            <w:tcW w:w="130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2"/>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wYjQzOTAxZGNlM2UwMTJhZTkyMTgxYWJkNjI2ZW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B03DFD"/>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26A0A"/>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BF1086"/>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037FCB"/>
    <w:rsid w:val="5F36302E"/>
    <w:rsid w:val="5F5D4F94"/>
    <w:rsid w:val="600E2F0E"/>
    <w:rsid w:val="60A0128E"/>
    <w:rsid w:val="613D6F0C"/>
    <w:rsid w:val="61563EDB"/>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7806C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 w:type="character" w:customStyle="1" w:styleId="19">
    <w:name w:val="font21"/>
    <w:basedOn w:val="12"/>
    <w:qFormat/>
    <w:uiPriority w:val="0"/>
    <w:rPr>
      <w:rFonts w:hint="default" w:ascii="Calibri" w:hAnsi="Calibri" w:cs="Calibri"/>
      <w:color w:val="000000"/>
      <w:sz w:val="32"/>
      <w:szCs w:val="32"/>
      <w:u w:val="none"/>
    </w:rPr>
  </w:style>
  <w:style w:type="character" w:customStyle="1" w:styleId="20">
    <w:name w:val="font11"/>
    <w:basedOn w:val="12"/>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2372</Words>
  <Characters>2515</Characters>
  <Lines>6</Lines>
  <Paragraphs>1</Paragraphs>
  <TotalTime>2</TotalTime>
  <ScaleCrop>false</ScaleCrop>
  <LinksUpToDate>false</LinksUpToDate>
  <CharactersWithSpaces>2673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2023-04-07T06:57:46Z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