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ascii="宋体" w:hAnsi="宋体" w:cs="宋体"/>
          <w:b/>
          <w:kern w:val="0"/>
          <w:sz w:val="32"/>
          <w:szCs w:val="32"/>
          <w:u w:val="single"/>
        </w:rPr>
        <w:t>彩色多普勒超声诊断系统</w:t>
      </w:r>
      <w:r>
        <w:rPr>
          <w:rFonts w:hint="eastAsia" w:ascii="宋体" w:hAnsi="宋体" w:cs="宋体"/>
          <w:b/>
          <w:kern w:val="0"/>
          <w:sz w:val="32"/>
          <w:szCs w:val="32"/>
          <w:u w:val="single"/>
          <w:lang w:eastAsia="zh-CN"/>
        </w:rPr>
        <w:t>（全身</w:t>
      </w:r>
      <w:r>
        <w:rPr>
          <w:rFonts w:hint="eastAsia" w:ascii="宋体" w:hAnsi="宋体" w:cs="宋体"/>
          <w:b/>
          <w:kern w:val="0"/>
          <w:sz w:val="32"/>
          <w:szCs w:val="32"/>
          <w:u w:val="single"/>
          <w:lang w:val="en-US" w:eastAsia="zh-CN"/>
        </w:rPr>
        <w:t>+肌骨</w:t>
      </w:r>
      <w:r>
        <w:rPr>
          <w:rFonts w:hint="eastAsia" w:ascii="宋体" w:hAnsi="宋体" w:cs="宋体"/>
          <w:b/>
          <w:kern w:val="0"/>
          <w:sz w:val="32"/>
          <w:szCs w:val="32"/>
          <w:u w:val="single"/>
          <w:lang w:eastAsia="zh-CN"/>
        </w:rPr>
        <w:t>）</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zCs w:val="21"/>
          <w:lang w:eastAsia="zh-CN"/>
        </w:rPr>
        <w:t>是否为中小企业、</w:t>
      </w:r>
      <w:r>
        <w:rPr>
          <w:rFonts w:hint="eastAsia" w:ascii="仿宋" w:hAnsi="仿宋" w:eastAsia="仿宋"/>
          <w:szCs w:val="21"/>
        </w:rPr>
        <w:t>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Laszyysbk@163.com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2"/>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18"/>
        <w:gridCol w:w="807"/>
        <w:gridCol w:w="4110"/>
        <w:gridCol w:w="885"/>
        <w:gridCol w:w="660"/>
        <w:gridCol w:w="887"/>
        <w:gridCol w:w="16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2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66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887"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678"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807"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4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8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660" w:type="dxa"/>
            <w:vMerge w:val="continue"/>
          </w:tcPr>
          <w:p>
            <w:pPr>
              <w:spacing w:line="320" w:lineRule="exact"/>
              <w:rPr>
                <w:rFonts w:ascii="仿宋" w:hAnsi="仿宋" w:eastAsia="仿宋"/>
                <w:b w:val="0"/>
                <w:bCs/>
                <w:szCs w:val="21"/>
              </w:rPr>
            </w:pPr>
          </w:p>
        </w:tc>
        <w:tc>
          <w:tcPr>
            <w:tcW w:w="887" w:type="dxa"/>
            <w:vMerge w:val="continue"/>
          </w:tcPr>
          <w:p>
            <w:pPr>
              <w:spacing w:line="320" w:lineRule="exact"/>
              <w:rPr>
                <w:rFonts w:ascii="仿宋" w:hAnsi="仿宋" w:eastAsia="仿宋"/>
                <w:b w:val="0"/>
                <w:bCs/>
                <w:szCs w:val="21"/>
              </w:rPr>
            </w:pPr>
          </w:p>
        </w:tc>
        <w:tc>
          <w:tcPr>
            <w:tcW w:w="1678"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bookmarkStart w:id="0" w:name="_GoBack" w:colFirst="0" w:colLast="0"/>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超高端全身彩色多普勒超声诊断系统，主要用于腹部、心脏、妇科及胎儿检查、血管、小器官、肌肉骨骼、神经、术中、弹性、造影及介入等方面的临床诊断和科研教学工作。所投机型为最新机型，且具备持续升级能力，可满足临床开展新技术应用的需求；</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招标文件中的所有功能和软件必需全部提供，用户无需另外付费功能缺失按其他投标人分项报价修改其投标总价;投标设备要求为最新版，本机型并具备持续升级能力；</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提供产品注册证及技术白皮书并加盖制造厂商公章</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主机系统性能概括</w:t>
            </w: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全新集束精准发射技术，全程动态聚焦发射声束，海量并行处理</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tabs>
                <w:tab w:val="center" w:pos="4393"/>
              </w:tabs>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数字处理通道数≥400万</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动态范围≥320DB</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数字化二维灰阶成像、M型和解剖M型技术,</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彩色多普勒成像技术</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彩色多普勒能量图、方向性能量图技术</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实时动态频谱多普勒显示及多参数分析系统</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组织多普勒成像技术</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具有空间成像技术或相干成像技术</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二维心脏造影技术</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二维、彩色血流和频率多普勒三同步功能, 可用于心脏模式</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脉冲反相谐波技术, 可与复合成像技术同时使用</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实时复合成像技术(多角度实时发射和接收，可达≥7种角度,)</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磁共振相素优化技术或类似技术，改善边界显示，提高分辨率，减少伪像，可分级调节。</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组织声束校正技术，适用于线阵探头，分级可调，以达到更精准的成像</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实时自动图像优化和一键优化功能，可实时优化二维灰阶图像、频谱多普勒和彩色多普勒；</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扫查专家技术：规范检查流程，自动检查记录及自动模式切换，自动加标注及体表标志，极大提高检查效率和检查的规范性</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心血管成像技术概括:</w:t>
            </w: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具备扇扩成像模式，心脏图像上可以有效的提供近场有效诊断视野，帮助心肌病和心尖部分的检测，特别加强了右心的显示。</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心脏在二维，血流，频谱上具有全域聚焦模式，有效加强了心脏近中远场图像的优化，减少远处的衰减和图像质量的降低</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心脏在二维，彩色上具备高清高帧频放大功能，在不降低图像质量的前提小，大幅度增加图像的细节分辨率和帧频，对心脏细节显示起到有效提升  </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具备两种解剖M性模式，要可以在原M形线基础上进行角度改变，和任意角度方向直线M形线选取</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清澈血流技术，自动消除因生理运动造成的彩色伪像，提高彩色分辨率，增强血流边界显示，减少伪像</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具备快速智能心脏血流模式，可以快速选择多种血流诊断模式，具备一键显示冠脉血流优势诊断能力</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血管增强技术，通过数字化减影技术，有效减少大血管及微细血管结构的噪声，提供更为清晰的血管壁定义和组织边界检测。有效增强深部血管和小血管管壁、管腔、血管内膜等结构的显示能力，可用于周围血管、浅表组织及胎心检查等，</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具备2D、 彩色、 多普勒 和M型模式下冻结和回放图像后处理功能</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智能图像一键优化技术，一键优化二维、彩色多普勒及造影图像质量，自动频谱多普勒优化技术，冻结瞬间自动优化频谱为最佳图像；</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测量和分析(B型、M型、频谱多普勒、彩色多普勒)</w:t>
            </w:r>
          </w:p>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一般测量</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多普勒血流测量及分析</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心脏功能测量与分析</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腹部测量与分析</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小器官测量与分析</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主要的先进临床应用功能</w:t>
            </w:r>
          </w:p>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灰阶超宽视野成像扫描技术：扩展成像视野，支持360°自由旋转，实时扫查时支持反转、支持放大、缩放及平移功能，具有速度指示器，测量功能，获取过程可暂停和退回，支持线阵探头</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彩色超宽视野成像扫描技术：以灰阶超宽视野成像技术为基础，采集过程优化多普勒能量图、速度图扩展成像视野，角度可达360度，具有屏幕速度指示器，获取过程可有暂停和退回操作，支持旋转、缩放及平移功能，适用于线阵探头；</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超声造影成像技术，采用相干脉冲成像造影技术，发射和接收过程中采用精确的相位和振幅调制控制，利用所获取的造影剂非线性基波及非线性谐波信息进行造影成像，具备低机械指数和中等机械指数两种选择模式，支持相控阵、凸阵、线阵、腔内探头</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双幅超声造影模式下支持双穿刺引导功能，且实时显示穿刺针进针路径，具有穿刺针增强功能</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实时应变弹性成像技术：能够以灰阶或彩阶图像方式显示感兴趣区组织的弹性硬度，无需人工加压，可测量局部应变值，应变值至少9量段以上；</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二维剪切波弹性成像技术：具备二维剪切波弹性成像技术，采用安全的声辐射力技术，可定性定量软组织弹性值，支持腹部、高频探头。测量取样框大小及位置可调，取样点数量无限制；</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自动描记寻边技术：采用边界检测技术，可对不规则面积与容积图像进行面积、最大直径和体积的测量，可对多个感兴趣区进行定量和标记（附图），</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图像存储 (电影) 回放重显，硬盘500GB, DVD/USB图像存储,电影回放重现单元2200帧</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参考信号：</w:t>
            </w: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心电、心电触发</w:t>
            </w:r>
          </w:p>
          <w:p>
            <w:pPr>
              <w:spacing w:line="320" w:lineRule="exact"/>
              <w:rPr>
                <w:rFonts w:hint="eastAsia" w:ascii="仿宋" w:hAnsi="仿宋" w:eastAsia="仿宋" w:cs="仿宋"/>
                <w:kern w:val="2"/>
                <w:sz w:val="24"/>
                <w:szCs w:val="24"/>
                <w:lang w:val="en-US" w:eastAsia="zh-CN" w:bidi="ar-SA"/>
              </w:rPr>
            </w:pP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输入/输出信号</w:t>
            </w:r>
          </w:p>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输入：VCR、外部视频、RGB彩色视频</w:t>
            </w:r>
          </w:p>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输出：复合视频、RGB 彩色视频/S-视频、HD高清输出</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超声图像及病案管理系统</w:t>
            </w:r>
          </w:p>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病案管理单元包括病人资料、报告、图像等的存储、修改、检索和打印等；</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可根据检查要求对工作站参数（存储、压缩、回放）进行编程调节；</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报告存储、检索和统计</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医学数字图像和通信DICOM3.0接口</w:t>
            </w:r>
          </w:p>
          <w:p>
            <w:pPr>
              <w:spacing w:line="320" w:lineRule="exact"/>
              <w:rPr>
                <w:rFonts w:hint="eastAsia" w:ascii="仿宋" w:hAnsi="仿宋" w:eastAsia="仿宋" w:cs="仿宋"/>
                <w:kern w:val="2"/>
                <w:sz w:val="24"/>
                <w:szCs w:val="24"/>
                <w:lang w:val="en-US" w:eastAsia="zh-CN" w:bidi="ar-SA"/>
              </w:rPr>
            </w:pP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系统通用功能</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高分辨率OLED或液晶显示器≥20英寸，不间断逐行扫描，可上下左右任意旋转，可前后折叠。</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操作面板具备液晶触摸屏≥10英寸（不含边框）。</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探头接口≥4个，全激活可互换通用</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探头规格参数及配置要求</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频率：超宽频带探头，频率 2 MHz 到18MHz</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二维、彩色、多普勒均可独立变频</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类型：电子扇扫、线阵、凸阵 、相控阵</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电子线阵探头有效阵元数≥256，电子凸阵探头有效阵元数≥192，电子相控阵探头有效阵元数≥80</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扫描深度≥30cm</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探头配置四把</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单晶体或纯净波相控阵探头：频率2-4.5MHz</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单晶体或纯净波凸阵探头（1把）:频率 2-5.0MHz</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高频线阵探头：频率5-11MHz</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超高频线阵肌骨探头：频率6-20.0MHz</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线阵探头可支持造影功能</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二维灰阶显像主要参数:</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成像速度：相控阵探头，全视野，17cm深度时，帧速度≥50帧/秒；</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凸阵探头，全视野，18cm深度时，帧速率≥45帧/秒</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线阵探头，全视野，4cm深度时，帧速率≥100帧/秒</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心脏探头谐波成像频率个数≥3,小器官血管探头的谐波频率个数≥3个,腹部探头的谐波频率个数≥3个</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增益调节：TGC增益补偿≥8 段，B/M/Color 可独立调节</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数字声束形成器：数字式全程动态聚焦，数字式可变孔径及动态变迹，A/D≥12bit</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高分辨率放大：放大时增加信息量，提高分辨率及帧率；</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二维灰阶成像 ≥256 灰阶。</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频谱多普勒：</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显示模式：脉冲多普勒 (PWD)、 高脉冲重复频率 (HPRF)、连续波多普勒（CW）</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发射频率: 电子相控阵: PWD,CWD1.6-1.8MHz；电子凸阵:PWD 2.0-2.2MHz</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电子线阵:PWD 5-7.0MHz</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显示方式： B/CDV/CW；B/D, B/C/D, D</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最大测量速度：PW血流速度最大≥+7.0m/s</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CW血流速度最大≥+18.0m/s</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最低测量速度：≤ 1mm/s (非噪音信号)；</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Doppler及M型电影回放：≥45 秒；</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滤波器：高通滤波或低通滤波两种，分级选择；</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取样宽度及位置范围：宽度 1.0mm至20mm多级可调；</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零位移动：≥ 6级；</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显示控制：反转显示 (上/下)、零移位、B-刷新、D 扩展、B/D 扩展，局放及移位；</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彩色多普勒：</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显示方式：速度方差显示、能量显示、速度显示、方差显示</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彩色显示角度: 20-90度选择</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扫描速率：相控阵探头，85度时，18 cm 深度，彩色帧率 ≥ 10 帧/秒；</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组织多普勒帧频：相控阵探头，85度时，18cm深度，帧频≥100帧/秒</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彩色增强功能：彩色多普勒能量图(CDE/CPI)</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显示控制：零位移动分+15级，黑白与彩色比较，彩色对比</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显示位置调整：线阵扫描感兴趣的图像范围：-30°～ +30°</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hint="eastAsia" w:ascii="仿宋" w:hAnsi="仿宋" w:eastAsia="仿宋" w:cs="仿宋"/>
                <w:kern w:val="2"/>
                <w:sz w:val="24"/>
                <w:szCs w:val="24"/>
                <w:lang w:val="en-US" w:eastAsia="zh-CN" w:bidi="ar-SA"/>
              </w:rPr>
            </w:pPr>
          </w:p>
        </w:tc>
        <w:tc>
          <w:tcPr>
            <w:tcW w:w="4110" w:type="dxa"/>
          </w:tcPr>
          <w:p>
            <w:pPr>
              <w:pStyle w:val="9"/>
              <w:shd w:val="clear" w:color="auto" w:fill="FFFFFF"/>
              <w:spacing w:line="4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超声功率输出调节: B/M、 PWD、彩色多普勒输出功率分级可调</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ascii="仿宋" w:hAnsi="仿宋" w:eastAsia="仿宋"/>
                <w:b w:val="0"/>
                <w:bCs/>
                <w:szCs w:val="21"/>
              </w:rPr>
            </w:pPr>
          </w:p>
        </w:tc>
        <w:tc>
          <w:tcPr>
            <w:tcW w:w="4110" w:type="dxa"/>
            <w:vAlign w:val="top"/>
          </w:tcPr>
          <w:p>
            <w:pPr>
              <w:pStyle w:val="10"/>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整机免费保修不少于三年（含所有零部件，包括须定期更换零部件）</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8" w:type="dxa"/>
          </w:tcPr>
          <w:p>
            <w:pPr>
              <w:numPr>
                <w:ilvl w:val="0"/>
                <w:numId w:val="2"/>
              </w:numPr>
              <w:spacing w:line="320" w:lineRule="exact"/>
              <w:ind w:left="425" w:leftChars="0" w:hanging="425" w:firstLineChars="0"/>
              <w:rPr>
                <w:rFonts w:ascii="仿宋" w:hAnsi="仿宋" w:eastAsia="仿宋"/>
                <w:b w:val="0"/>
                <w:bCs/>
                <w:szCs w:val="21"/>
              </w:rPr>
            </w:pPr>
          </w:p>
        </w:tc>
        <w:tc>
          <w:tcPr>
            <w:tcW w:w="807" w:type="dxa"/>
          </w:tcPr>
          <w:p>
            <w:pPr>
              <w:spacing w:line="320" w:lineRule="exact"/>
              <w:rPr>
                <w:rFonts w:ascii="仿宋" w:hAnsi="仿宋" w:eastAsia="仿宋"/>
                <w:b w:val="0"/>
                <w:bCs/>
                <w:szCs w:val="21"/>
              </w:rPr>
            </w:pPr>
          </w:p>
        </w:tc>
        <w:tc>
          <w:tcPr>
            <w:tcW w:w="4110"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88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88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bookmarkEnd w:id="0"/>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2"/>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1"/>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1"/>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6AFE5"/>
    <w:multiLevelType w:val="singleLevel"/>
    <w:tmpl w:val="AFF6AFE5"/>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3B3E5F"/>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CA5BC8"/>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614B99"/>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51A53"/>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jc w:val="left"/>
    </w:pPr>
    <w:rPr>
      <w:rFonts w:ascii="宋体" w:hAnsi="宋体" w:cs="宋体"/>
      <w:kern w:val="0"/>
      <w:sz w:val="24"/>
    </w:rPr>
  </w:style>
  <w:style w:type="paragraph" w:styleId="10">
    <w:name w:val="Body Text First Indent 2"/>
    <w:basedOn w:val="6"/>
    <w:semiHidden/>
    <w:unhideWhenUsed/>
    <w:qFormat/>
    <w:uiPriority w:val="99"/>
    <w:pPr>
      <w:ind w:firstLine="420" w:firstLineChars="200"/>
    </w:p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8"/>
    <w:semiHidden/>
    <w:qFormat/>
    <w:uiPriority w:val="99"/>
    <w:rPr>
      <w:sz w:val="18"/>
      <w:szCs w:val="18"/>
    </w:rPr>
  </w:style>
  <w:style w:type="character" w:customStyle="1" w:styleId="15">
    <w:name w:val="页脚 Char"/>
    <w:basedOn w:val="13"/>
    <w:link w:val="7"/>
    <w:qFormat/>
    <w:uiPriority w:val="99"/>
    <w:rPr>
      <w:sz w:val="18"/>
      <w:szCs w:val="18"/>
    </w:rPr>
  </w:style>
  <w:style w:type="paragraph" w:customStyle="1" w:styleId="16">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qFormat/>
    <w:uiPriority w:val="0"/>
  </w:style>
  <w:style w:type="character" w:customStyle="1" w:styleId="18">
    <w:name w:val="highlight"/>
    <w:basedOn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4063</Words>
  <Characters>4363</Characters>
  <Lines>6</Lines>
  <Paragraphs>1</Paragraphs>
  <TotalTime>2</TotalTime>
  <ScaleCrop>false</ScaleCrop>
  <LinksUpToDate>false</LinksUpToDate>
  <CharactersWithSpaces>4567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2023-03-31T01:29:19Z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89D27BE2C841473DB3462C2E31D90240</vt:lpwstr>
  </property>
  <property fmtid="{D5CDD505-2E9C-101B-9397-08002B2CF9AE}" pid="4" name="commondata">
    <vt:lpwstr>eyJoZGlkIjoiNzljOTE0MDRlMmUyY2M3ZGQ4Nzk0OWRiOWI1OGE3ZmYifQ==</vt:lpwstr>
  </property>
</Properties>
</file>