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单剂量药品分包机维保服务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laszyyygb</w:t>
      </w:r>
      <w:bookmarkStart w:id="0" w:name="_GoBack"/>
      <w:bookmarkEnd w:id="0"/>
      <w:r>
        <w:rPr>
          <w:rFonts w:hint="eastAsia" w:ascii="仿宋" w:hAnsi="仿宋" w:eastAsia="仿宋"/>
          <w:szCs w:val="21"/>
          <w:u w:val="single"/>
          <w:lang w:val="en-US" w:eastAsia="zh-CN"/>
        </w:rPr>
        <w:t>@163.com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85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566"/>
        <w:gridCol w:w="3367"/>
        <w:gridCol w:w="1155"/>
        <w:gridCol w:w="750"/>
        <w:gridCol w:w="735"/>
        <w:gridCol w:w="1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24"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50" w:type="dxa"/>
            <w:vMerge w:val="restart"/>
          </w:tcPr>
          <w:p>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735"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312" w:type="dxa"/>
            <w:vMerge w:val="restart"/>
          </w:tcPr>
          <w:p>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56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67"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50" w:type="dxa"/>
            <w:vMerge w:val="continue"/>
            <w:vAlign w:val="top"/>
          </w:tcPr>
          <w:p>
            <w:pPr>
              <w:spacing w:line="320" w:lineRule="exact"/>
              <w:jc w:val="center"/>
              <w:rPr>
                <w:rFonts w:hint="eastAsia" w:ascii="仿宋" w:hAnsi="仿宋" w:eastAsia="宋体" w:cs="宋体"/>
                <w:b w:val="0"/>
                <w:bCs/>
                <w:kern w:val="2"/>
                <w:sz w:val="21"/>
                <w:szCs w:val="21"/>
                <w:lang w:val="en-US" w:eastAsia="zh-CN" w:bidi="ar-SA"/>
              </w:rPr>
            </w:pPr>
          </w:p>
        </w:tc>
        <w:tc>
          <w:tcPr>
            <w:tcW w:w="735"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c>
          <w:tcPr>
            <w:tcW w:w="1312" w:type="dxa"/>
            <w:vMerge w:val="continue"/>
            <w:vAlign w:val="top"/>
          </w:tcPr>
          <w:p>
            <w:pPr>
              <w:spacing w:line="320" w:lineRule="exact"/>
              <w:jc w:val="center"/>
              <w:rPr>
                <w:rFonts w:hint="eastAsia" w:ascii="仿宋" w:hAnsi="仿宋" w:eastAsia="仿宋" w:cs="宋体"/>
                <w:b w:val="0"/>
                <w:bCs/>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1</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维保形式</w:t>
            </w:r>
          </w:p>
        </w:tc>
        <w:tc>
          <w:tcPr>
            <w:tcW w:w="3367"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全保，在保修服务期内免费提供所有保修所需配件及需定期更换的耗品；</w:t>
            </w:r>
          </w:p>
        </w:tc>
        <w:tc>
          <w:tcPr>
            <w:tcW w:w="1155" w:type="dxa"/>
          </w:tcPr>
          <w:p>
            <w:pPr>
              <w:spacing w:line="320" w:lineRule="exact"/>
              <w:rPr>
                <w:rFonts w:ascii="仿宋" w:hAnsi="仿宋" w:eastAsia="仿宋"/>
                <w:b w:val="0"/>
                <w:bCs/>
                <w:szCs w:val="21"/>
              </w:rPr>
            </w:pPr>
            <w:r>
              <w:rPr>
                <w:rFonts w:hint="eastAsia" w:ascii="仿宋" w:hAnsi="仿宋" w:eastAsia="仿宋"/>
                <w:b w:val="0"/>
                <w:bCs/>
                <w:szCs w:val="21"/>
                <w:lang w:eastAsia="zh-CN"/>
              </w:rPr>
              <w:t>★</w:t>
            </w:r>
          </w:p>
        </w:tc>
        <w:tc>
          <w:tcPr>
            <w:tcW w:w="750" w:type="dxa"/>
          </w:tcPr>
          <w:p>
            <w:pPr>
              <w:spacing w:line="320" w:lineRule="exact"/>
              <w:rPr>
                <w:rFonts w:hint="eastAsia" w:ascii="仿宋" w:hAnsi="仿宋" w:eastAsia="仿宋"/>
                <w:b w:val="0"/>
                <w:bCs/>
                <w:szCs w:val="21"/>
                <w:lang w:eastAsia="zh-CN"/>
              </w:rPr>
            </w:pPr>
          </w:p>
        </w:tc>
        <w:tc>
          <w:tcPr>
            <w:tcW w:w="735" w:type="dxa"/>
          </w:tcPr>
          <w:p>
            <w:pPr>
              <w:spacing w:line="320" w:lineRule="exact"/>
              <w:rPr>
                <w:rFonts w:hint="eastAsia" w:ascii="仿宋" w:hAnsi="仿宋" w:eastAsia="仿宋"/>
                <w:b w:val="0"/>
                <w:bCs/>
                <w:szCs w:val="21"/>
                <w:lang w:eastAsia="zh-CN"/>
              </w:rPr>
            </w:pPr>
          </w:p>
        </w:tc>
        <w:tc>
          <w:tcPr>
            <w:tcW w:w="1312" w:type="dxa"/>
          </w:tcPr>
          <w:p>
            <w:pPr>
              <w:spacing w:line="320" w:lineRule="exact"/>
              <w:rPr>
                <w:rFonts w:hint="eastAsia" w:ascii="仿宋" w:hAnsi="仿宋" w:eastAsia="仿宋"/>
                <w:b w:val="0"/>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维保期限</w:t>
            </w:r>
          </w:p>
        </w:tc>
        <w:tc>
          <w:tcPr>
            <w:tcW w:w="3367" w:type="dxa"/>
            <w:vAlign w:val="top"/>
          </w:tcPr>
          <w:p>
            <w:pPr>
              <w:spacing w:line="360" w:lineRule="auto"/>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本次招标服务周期为期3 年。合同一年一考核， 第一年度合同期满前二月，对中标单位进行评价，评价合格自动续签合同，合同要素不变，保修费用以临床科室签字确认单结算。</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3</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备品保障</w:t>
            </w:r>
          </w:p>
        </w:tc>
        <w:tc>
          <w:tcPr>
            <w:tcW w:w="3367" w:type="dxa"/>
            <w:vAlign w:val="top"/>
          </w:tcPr>
          <w:p>
            <w:p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保证故障发生时，如24小时内无法修复，延时一天，保修延长5天；</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val="en-US" w:eastAsia="zh-CN"/>
              </w:rPr>
              <w:t>4</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方案提供</w:t>
            </w: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本次项目是采购医疗设备维修保养服务商，供应商应承诺按照国家、行业标准规定，出具一项完善、合理和可行的维保服务方案，每季度巡检一次，并经使用科室确认后送设备科备案存档， 方案中应体现针对本项目的设备进行系统、全面维保所必须的具体措施，人员配置，质量保证、时间安排等内容</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5</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配件保障</w:t>
            </w: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供应商须保证至少</w:t>
            </w:r>
            <w:r>
              <w:rPr>
                <w:rFonts w:hint="eastAsia" w:ascii="仿宋" w:hAnsi="仿宋" w:eastAsia="仿宋" w:cs="仿宋"/>
                <w:kern w:val="2"/>
                <w:sz w:val="24"/>
                <w:szCs w:val="24"/>
                <w:highlight w:val="none"/>
                <w:lang w:val="en-US" w:eastAsia="zh-CN" w:bidi="ar-SA"/>
              </w:rPr>
              <w:t>在安徽设有备件</w:t>
            </w:r>
            <w:r>
              <w:rPr>
                <w:rFonts w:hint="eastAsia" w:ascii="仿宋" w:hAnsi="仿宋" w:eastAsia="仿宋" w:cs="仿宋"/>
                <w:kern w:val="2"/>
                <w:sz w:val="24"/>
                <w:szCs w:val="24"/>
                <w:lang w:val="en-US" w:eastAsia="zh-CN" w:bidi="ar-SA"/>
              </w:rPr>
              <w:t>库，具备充足的配件供应能力。供应商所提供的零配件具有规范的进货渠道，所有零配件为全新配件， 进口配件须提供报关证明，重要部件需提供出厂检测报告， 所有更换配件应与机器匹配，确保维保后设备质量达到厂家性能指标，并符合法定部门检测要求；维修站的专业工程师厂家资质不少于3名，相关维修经验不低于5年，提供工程师培训资质证书，且在本公司有缴纳社保记录证明与各厂家有亲密合作，提供多种维修方案，充足的配件库和耗材库（提供：仓库照片及板件摆放</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照片）；</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6</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人员保障</w:t>
            </w:r>
          </w:p>
          <w:p>
            <w:pPr>
              <w:spacing w:line="320" w:lineRule="exact"/>
              <w:rPr>
                <w:rFonts w:ascii="仿宋" w:hAnsi="仿宋" w:eastAsia="仿宋"/>
                <w:b w:val="0"/>
                <w:bCs/>
                <w:szCs w:val="21"/>
              </w:rPr>
            </w:pP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供应商应具有强大技术保障团队，安徽省内必须具有承担本项目所必须的专业技术工程师人数≥3名，</w:t>
            </w:r>
          </w:p>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并提供工程师社保缴纳证明；</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7" w:hRule="atLeast"/>
        </w:trPr>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7</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质量保障</w:t>
            </w:r>
          </w:p>
          <w:p>
            <w:pPr>
              <w:spacing w:line="320" w:lineRule="exact"/>
              <w:rPr>
                <w:rFonts w:ascii="仿宋" w:hAnsi="仿宋" w:eastAsia="仿宋"/>
                <w:b w:val="0"/>
                <w:bCs/>
                <w:szCs w:val="21"/>
              </w:rPr>
            </w:pP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服务期内：</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供应商应承诺提供完善的质量保证措施，对维保设备提供每年 4 次定期维护、保养、校正服务，包括设备安全检查，质量检查，状态检查，除尘保养，确保设备处于正常工作状态。定期维护结束后一周内，向用户方提交详细的检查报告；</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维修方指定工程师为用户提供每季度1次设备巡检，巡检内容包括附件外观检查、监护仪性能测试、运行状态检查等，定期上门巡检，提供巡检报告和维修报告给设备科及使用科室各一份；</w:t>
            </w:r>
          </w:p>
          <w:p>
            <w:pPr>
              <w:numPr>
                <w:ilvl w:val="0"/>
                <w:numId w:val="3"/>
              </w:num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每年维保服务结束前，将这一年度内维修服务报告、巡检、保养报告电子扫描件，统一提供设备科；</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8</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响应保障</w:t>
            </w: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为提供快速响应服务，供应商应在安徽省内地区设立常驻服务机构。并承诺提供每周 7ⅹ24 小时服务支持，当设备出现故障时，供应商须在 30 分钟内响应，提供电话技术支持。如电话解决不了设备故障， 供应商须在 4小时（包括节假日）内派出技术人员到达设备使用现场进行维修，对故障件免费提供备件支持，并负责故障件更换直至排除故障；为提供更专业、便捷的维修服务， 投标人必须提供客户服务专线电话；</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eastAsia" w:ascii="仿宋" w:hAnsi="仿宋" w:eastAsia="仿宋"/>
                <w:b w:val="0"/>
                <w:bCs/>
                <w:szCs w:val="21"/>
                <w:lang w:eastAsia="zh-CN"/>
              </w:rPr>
            </w:pPr>
            <w:r>
              <w:rPr>
                <w:rFonts w:hint="eastAsia" w:ascii="仿宋" w:hAnsi="仿宋" w:eastAsia="仿宋"/>
                <w:b w:val="0"/>
                <w:bCs/>
                <w:szCs w:val="21"/>
                <w:lang w:val="en-US" w:eastAsia="zh-CN"/>
              </w:rPr>
              <w:t>9</w:t>
            </w:r>
          </w:p>
        </w:tc>
        <w:tc>
          <w:tcPr>
            <w:tcW w:w="566" w:type="dxa"/>
          </w:tcPr>
          <w:p>
            <w:pPr>
              <w:spacing w:line="320" w:lineRule="exact"/>
              <w:rPr>
                <w:rFonts w:ascii="仿宋" w:hAnsi="仿宋" w:eastAsia="仿宋"/>
                <w:b w:val="0"/>
                <w:bCs/>
                <w:szCs w:val="21"/>
              </w:rPr>
            </w:pPr>
            <w:r>
              <w:rPr>
                <w:rFonts w:hint="eastAsia" w:ascii="仿宋" w:hAnsi="仿宋" w:eastAsia="仿宋" w:cs="仿宋"/>
                <w:kern w:val="2"/>
                <w:sz w:val="24"/>
                <w:szCs w:val="24"/>
                <w:lang w:val="en-US" w:eastAsia="zh-CN" w:bidi="ar-SA"/>
              </w:rPr>
              <w:t>其他约定</w:t>
            </w:r>
          </w:p>
        </w:tc>
        <w:tc>
          <w:tcPr>
            <w:tcW w:w="3367" w:type="dxa"/>
            <w:vAlign w:val="top"/>
          </w:tcPr>
          <w:p>
            <w:pPr>
              <w:spacing w:line="360" w:lineRule="auto"/>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供应商应承诺自行完成本项目，不得进行转包、分包或由组织外散在的无约束保障的人员参与；</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566" w:type="dxa"/>
          </w:tcPr>
          <w:p>
            <w:pPr>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保修数量</w:t>
            </w:r>
          </w:p>
        </w:tc>
        <w:tc>
          <w:tcPr>
            <w:tcW w:w="3367" w:type="dxa"/>
            <w:vAlign w:val="top"/>
          </w:tcPr>
          <w:p>
            <w:pPr>
              <w:spacing w:line="360" w:lineRule="auto"/>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一台</w:t>
            </w: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pPr>
              <w:numPr>
                <w:ilvl w:val="0"/>
                <w:numId w:val="0"/>
              </w:numPr>
              <w:spacing w:line="320" w:lineRule="exact"/>
              <w:ind w:left="210" w:leftChars="0"/>
              <w:rPr>
                <w:rFonts w:hint="default" w:ascii="仿宋" w:hAnsi="仿宋" w:eastAsia="仿宋"/>
                <w:b w:val="0"/>
                <w:bCs/>
                <w:szCs w:val="21"/>
                <w:lang w:val="en-US" w:eastAsia="zh-CN"/>
              </w:rPr>
            </w:pPr>
          </w:p>
        </w:tc>
        <w:tc>
          <w:tcPr>
            <w:tcW w:w="566" w:type="dxa"/>
          </w:tcPr>
          <w:p>
            <w:pPr>
              <w:spacing w:line="320" w:lineRule="exact"/>
              <w:rPr>
                <w:rFonts w:hint="eastAsia" w:ascii="仿宋" w:hAnsi="仿宋" w:eastAsia="仿宋" w:cs="仿宋"/>
                <w:kern w:val="2"/>
                <w:sz w:val="24"/>
                <w:szCs w:val="24"/>
                <w:lang w:val="en-US" w:eastAsia="zh-CN" w:bidi="ar-SA"/>
              </w:rPr>
            </w:pPr>
          </w:p>
        </w:tc>
        <w:tc>
          <w:tcPr>
            <w:tcW w:w="3367" w:type="dxa"/>
          </w:tcPr>
          <w:p>
            <w:pPr>
              <w:spacing w:line="360" w:lineRule="auto"/>
              <w:jc w:val="left"/>
              <w:rPr>
                <w:rFonts w:hint="eastAsia" w:ascii="仿宋" w:hAnsi="仿宋" w:eastAsia="仿宋" w:cs="仿宋"/>
                <w:kern w:val="2"/>
                <w:sz w:val="24"/>
                <w:szCs w:val="24"/>
                <w:lang w:val="en-US" w:eastAsia="zh-CN" w:bidi="ar-SA"/>
              </w:rPr>
            </w:pPr>
          </w:p>
        </w:tc>
        <w:tc>
          <w:tcPr>
            <w:tcW w:w="1155" w:type="dxa"/>
          </w:tcPr>
          <w:p>
            <w:pPr>
              <w:spacing w:line="320" w:lineRule="exact"/>
              <w:rPr>
                <w:rFonts w:ascii="仿宋" w:hAnsi="仿宋" w:eastAsia="仿宋"/>
                <w:b w:val="0"/>
                <w:bCs/>
                <w:szCs w:val="21"/>
              </w:rPr>
            </w:pPr>
          </w:p>
        </w:tc>
        <w:tc>
          <w:tcPr>
            <w:tcW w:w="750" w:type="dxa"/>
          </w:tcPr>
          <w:p>
            <w:pPr>
              <w:spacing w:line="320" w:lineRule="exact"/>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131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pPr>
        <w:pStyle w:val="2"/>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2F5CE"/>
    <w:multiLevelType w:val="singleLevel"/>
    <w:tmpl w:val="A532F5C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CB54385"/>
    <w:multiLevelType w:val="singleLevel"/>
    <w:tmpl w:val="7CB54385"/>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wYjQzOTAxZGNlM2UwMTJhZTkyMTgxYWJkNjI2ZW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DD5635"/>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 w:type="character" w:customStyle="1" w:styleId="17">
    <w:name w:val="Anrede1IhrZeichen"/>
    <w:basedOn w:val="12"/>
    <w:qFormat/>
    <w:uiPriority w:val="0"/>
    <w:rPr>
      <w:rFonts w:ascii="Arial" w:hAnsi="Arial"/>
      <w:sz w:val="20"/>
    </w:rPr>
  </w:style>
  <w:style w:type="paragraph" w:customStyle="1" w:styleId="18">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2215</Words>
  <Characters>2268</Characters>
  <Lines>6</Lines>
  <Paragraphs>1</Paragraphs>
  <TotalTime>1</TotalTime>
  <ScaleCrop>false</ScaleCrop>
  <LinksUpToDate>false</LinksUpToDate>
  <CharactersWithSpaces>2428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胡绪飞</cp:lastModifiedBy>
  <dcterms:modified xsi:type="dcterms:W3CDTF">2023-02-27T08:38:03Z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